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1"/>
        </w:rPr>
        <w:t xml:space="preserve">טענתו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החישוב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1"/>
        </w:rPr>
        <w:t xml:space="preserve">הטענה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המערער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שמעון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הכסטר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מתמקדת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בהפרש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שסוכמה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לטענתו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הבכירים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הנוסחה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שהונחתה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b w:val="1"/>
          <w:bCs w:val="1"/>
          <w:rtl w:val="1"/>
        </w:rPr>
        <w:t xml:space="preserve">טענתו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המרכזית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המערער</w:t>
      </w:r>
      <w:r w:rsidDel="00000000" w:rsidR="00000000" w:rsidRPr="00000000">
        <w:rPr>
          <w:b w:val="1"/>
          <w:bCs w:val="1"/>
          <w:rtl w:val="1"/>
        </w:rPr>
        <w:t xml:space="preserve"> – "</w:t>
      </w:r>
      <w:r w:rsidDel="00000000" w:rsidR="00000000" w:rsidRPr="00000000">
        <w:rPr>
          <w:b w:val="1"/>
          <w:bCs w:val="1"/>
          <w:rtl w:val="1"/>
        </w:rPr>
        <w:t xml:space="preserve">נוסחת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החוזה</w:t>
      </w:r>
      <w:r w:rsidDel="00000000" w:rsidR="00000000" w:rsidRPr="00000000">
        <w:rPr>
          <w:b w:val="1"/>
          <w:bCs w:val="1"/>
          <w:rtl w:val="0"/>
        </w:rPr>
        <w:t xml:space="preserve">"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המערער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הבכירים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'), </w:t>
      </w:r>
      <w:r w:rsidDel="00000000" w:rsidR="00000000" w:rsidRPr="00000000">
        <w:rPr>
          <w:rtl w:val="1"/>
        </w:rPr>
        <w:t xml:space="preserve">הגימלה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מרכיבים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תקופת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החוזה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מ</w:t>
      </w:r>
      <w:r w:rsidDel="00000000" w:rsidR="00000000" w:rsidRPr="00000000">
        <w:rPr>
          <w:b w:val="1"/>
          <w:bCs w:val="1"/>
          <w:rtl w:val="0"/>
        </w:rPr>
        <w:t xml:space="preserve">-1.4.1990):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2%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המשכורת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הקובעת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המעודכנת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החוזה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כפול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מספר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העבודה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בחוזה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ללא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שקלול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כלשהו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תקופת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כתב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המינוי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עד</w:t>
      </w:r>
      <w:r w:rsidDel="00000000" w:rsidR="00000000" w:rsidRPr="00000000">
        <w:rPr>
          <w:b w:val="1"/>
          <w:bCs w:val="1"/>
          <w:rtl w:val="0"/>
        </w:rPr>
        <w:t xml:space="preserve"> 31.3.1990):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2% </w:t>
      </w:r>
      <w:r w:rsidDel="00000000" w:rsidR="00000000" w:rsidRPr="00000000">
        <w:rPr>
          <w:rtl w:val="1"/>
        </w:rPr>
        <w:t xml:space="preserve">משכר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bCs w:val="1"/>
          <w:rtl w:val="1"/>
        </w:rPr>
        <w:t xml:space="preserve">דרגה</w:t>
      </w:r>
      <w:r w:rsidDel="00000000" w:rsidR="00000000" w:rsidRPr="00000000">
        <w:rPr>
          <w:b w:val="1"/>
          <w:bCs w:val="1"/>
          <w:rtl w:val="0"/>
        </w:rPr>
        <w:t xml:space="preserve"> 46+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הדרגה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בדירוג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הוותק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0"/>
        </w:rPr>
        <w:t xml:space="preserve">2. </w:t>
      </w:r>
      <w:r w:rsidDel="00000000" w:rsidR="00000000" w:rsidRPr="00000000">
        <w:rPr>
          <w:b w:val="1"/>
          <w:bCs w:val="1"/>
          <w:rtl w:val="1"/>
        </w:rPr>
        <w:t xml:space="preserve">שיטת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החישוב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הנתקפת</w:t>
      </w:r>
      <w:r w:rsidDel="00000000" w:rsidR="00000000" w:rsidRPr="00000000">
        <w:rPr>
          <w:b w:val="1"/>
          <w:bCs w:val="1"/>
          <w:rtl w:val="1"/>
        </w:rPr>
        <w:t xml:space="preserve"> – "</w:t>
      </w:r>
      <w:r w:rsidDel="00000000" w:rsidR="00000000" w:rsidRPr="00000000">
        <w:rPr>
          <w:b w:val="1"/>
          <w:bCs w:val="1"/>
          <w:rtl w:val="1"/>
        </w:rPr>
        <w:t xml:space="preserve">נוסחת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אהרונוב</w:t>
      </w:r>
      <w:r w:rsidDel="00000000" w:rsidR="00000000" w:rsidRPr="00000000">
        <w:rPr>
          <w:b w:val="1"/>
          <w:bCs w:val="1"/>
          <w:rtl w:val="0"/>
        </w:rPr>
        <w:t xml:space="preserve">"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המערער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שהונחתה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לטענתו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וגוזלת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סכומי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ניכרים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שיטת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החישוב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הכללית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**"</w:t>
      </w:r>
      <w:r w:rsidDel="00000000" w:rsidR="00000000" w:rsidRPr="00000000">
        <w:rPr>
          <w:rtl w:val="1"/>
        </w:rPr>
        <w:t xml:space="preserve">ממוצע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משוקלל</w:t>
      </w:r>
      <w:r w:rsidDel="00000000" w:rsidR="00000000" w:rsidRPr="00000000">
        <w:rPr>
          <w:rtl w:val="1"/>
        </w:rPr>
        <w:t xml:space="preserve">"**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והמשכורת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לטענת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המערער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נוסחה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מעוותת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וחסרת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1.5%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2%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החוזה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דרגת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הפרישה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לתקופת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כתב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המינוי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החישוב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44+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בדירוג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דרגה</w:t>
      </w:r>
      <w:r w:rsidDel="00000000" w:rsidR="00000000" w:rsidRPr="00000000">
        <w:rPr>
          <w:rtl w:val="1"/>
        </w:rPr>
        <w:t xml:space="preserve"> 46+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שנטען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שהובטח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b w:val="1"/>
          <w:bCs w:val="1"/>
          <w:rtl w:val="1"/>
        </w:rPr>
        <w:t xml:space="preserve">הגורם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שהנחה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שיטת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החישוב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הגורם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הנתקפת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מאיר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אהרונוב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1"/>
        </w:rPr>
        <w:t xml:space="preserve">שכיהן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b w:val="1"/>
          <w:bCs w:val="1"/>
          <w:rtl w:val="1"/>
        </w:rPr>
        <w:t xml:space="preserve">סגן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נציב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המדינה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הבכיר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ההנחיה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נשלחה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21.8.2012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שוורץ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האוצר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הנוסחה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משוקלל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ודרגת</w:t>
      </w:r>
      <w:r w:rsidDel="00000000" w:rsidR="00000000" w:rsidRPr="00000000">
        <w:rPr>
          <w:rtl w:val="0"/>
        </w:rPr>
        <w:t xml:space="preserve"> 44+.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גילוי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ההנחיה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המערער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דצמבר</w:t>
      </w:r>
      <w:r w:rsidDel="00000000" w:rsidR="00000000" w:rsidRPr="00000000">
        <w:rPr>
          <w:b w:val="1"/>
          <w:bCs w:val="1"/>
          <w:rtl w:val="0"/>
        </w:rPr>
        <w:t xml:space="preserve"> 2012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הגימלאות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התיישנות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Sources: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New folder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-RzTGRIZsTGK9XhKgHcS-ryDn2r-t5f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