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TITLE PAGE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Course:</w:t>
      </w:r>
      <w:r w:rsidDel="00000000" w:rsidR="00000000" w:rsidRPr="00000000">
        <w:rPr>
          <w:rFonts w:ascii="Google Sans" w:cs="Google Sans" w:eastAsia="Google Sans" w:hAnsi="Google Sans"/>
          <w:color w:val="1f1f1f"/>
          <w:rtl w:val="0"/>
        </w:rPr>
        <w:t xml:space="preserve"> German Social History in the 20th Century (Course #54674)</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Instructor:</w:t>
      </w:r>
      <w:r w:rsidDel="00000000" w:rsidR="00000000" w:rsidRPr="00000000">
        <w:rPr>
          <w:rFonts w:ascii="Google Sans" w:cs="Google Sans" w:eastAsia="Google Sans" w:hAnsi="Google Sans"/>
          <w:color w:val="1f1f1f"/>
          <w:rtl w:val="0"/>
        </w:rPr>
        <w:t xml:space="preserve"> [Insert Instructor Name]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Student Name:</w:t>
      </w:r>
      <w:r w:rsidDel="00000000" w:rsidR="00000000" w:rsidRPr="00000000">
        <w:rPr>
          <w:rFonts w:ascii="Google Sans" w:cs="Google Sans" w:eastAsia="Google Sans" w:hAnsi="Google Sans"/>
          <w:color w:val="1f1f1f"/>
          <w:rtl w:val="0"/>
        </w:rPr>
        <w:t xml:space="preserve"> Benny Hochster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Student ID:</w:t>
      </w:r>
      <w:r w:rsidDel="00000000" w:rsidR="00000000" w:rsidRPr="00000000">
        <w:rPr>
          <w:rFonts w:ascii="Google Sans" w:cs="Google Sans" w:eastAsia="Google Sans" w:hAnsi="Google Sans"/>
          <w:color w:val="1f1f1f"/>
          <w:rtl w:val="0"/>
        </w:rPr>
        <w:t xml:space="preserve"> [Insert ID Number]</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Date:</w:t>
      </w:r>
      <w:r w:rsidDel="00000000" w:rsidR="00000000" w:rsidRPr="00000000">
        <w:rPr>
          <w:rFonts w:ascii="Google Sans" w:cs="Google Sans" w:eastAsia="Google Sans" w:hAnsi="Google Sans"/>
          <w:color w:val="1f1f1f"/>
          <w:rtl w:val="0"/>
        </w:rPr>
        <w:t xml:space="preserve"> March 15, 2026</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Paper Title:</w:t>
      </w:r>
      <w:r w:rsidDel="00000000" w:rsidR="00000000" w:rsidRPr="00000000">
        <w:rPr>
          <w:rFonts w:ascii="Google Sans" w:cs="Google Sans" w:eastAsia="Google Sans" w:hAnsi="Google Sans"/>
          <w:color w:val="1f1f1f"/>
          <w:rtl w:val="0"/>
        </w:rPr>
        <w:t xml:space="preserve"> Negotiating "German-ness" from the Margins: The Treatment and Marginalization of Afro-German "Mischlingskinder" in Post-War West Germany (1945–1960)</w:t>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TABLE OF CONTENTS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Introduction</w:t>
      </w:r>
      <w:r w:rsidDel="00000000" w:rsidR="00000000" w:rsidRPr="00000000">
        <w:rPr>
          <w:rFonts w:ascii="Google Sans" w:cs="Google Sans" w:eastAsia="Google Sans" w:hAnsi="Google Sans"/>
          <w:color w:val="1f1f1f"/>
          <w:rtl w:val="0"/>
        </w:rPr>
        <w:t xml:space="preserve"> ..................................................................................... 1</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Myth of "Zero Hour" and the Crisis of Modernity</w:t>
      </w:r>
      <w:r w:rsidDel="00000000" w:rsidR="00000000" w:rsidRPr="00000000">
        <w:rPr>
          <w:rFonts w:ascii="Google Sans" w:cs="Google Sans" w:eastAsia="Google Sans" w:hAnsi="Google Sans"/>
          <w:color w:val="1f1f1f"/>
          <w:rtl w:val="0"/>
        </w:rPr>
        <w:t xml:space="preserve"> .................... 2</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Historical Context: Allied Occupation and the GI Presence</w:t>
      </w:r>
      <w:r w:rsidDel="00000000" w:rsidR="00000000" w:rsidRPr="00000000">
        <w:rPr>
          <w:rFonts w:ascii="Google Sans" w:cs="Google Sans" w:eastAsia="Google Sans" w:hAnsi="Google Sans"/>
          <w:color w:val="1f1f1f"/>
          <w:rtl w:val="0"/>
        </w:rPr>
        <w:t xml:space="preserve"> ............ 4</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Institutional Gaze: Welfare, Race, and the Jugendamt</w:t>
      </w:r>
      <w:r w:rsidDel="00000000" w:rsidR="00000000" w:rsidRPr="00000000">
        <w:rPr>
          <w:rFonts w:ascii="Google Sans" w:cs="Google Sans" w:eastAsia="Google Sans" w:hAnsi="Google Sans"/>
          <w:color w:val="1f1f1f"/>
          <w:rtl w:val="0"/>
        </w:rPr>
        <w:t xml:space="preserve"> ............ 6</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"Double Stigma": Intersectionality of Race and Gender</w:t>
      </w:r>
      <w:r w:rsidDel="00000000" w:rsidR="00000000" w:rsidRPr="00000000">
        <w:rPr>
          <w:rFonts w:ascii="Google Sans" w:cs="Google Sans" w:eastAsia="Google Sans" w:hAnsi="Google Sans"/>
          <w:color w:val="1f1f1f"/>
          <w:rtl w:val="0"/>
        </w:rPr>
        <w:t xml:space="preserve"> .......... 8</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Separation as "Care": Kinderheime and Transatlantic Adoption</w:t>
      </w:r>
      <w:r w:rsidDel="00000000" w:rsidR="00000000" w:rsidRPr="00000000">
        <w:rPr>
          <w:rFonts w:ascii="Google Sans" w:cs="Google Sans" w:eastAsia="Google Sans" w:hAnsi="Google Sans"/>
          <w:color w:val="1f1f1f"/>
          <w:rtl w:val="0"/>
        </w:rPr>
        <w:t xml:space="preserve"> ... 11</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Cultural Representation: A Detailed Analysis of </w:t>
      </w:r>
      <w:r w:rsidDel="00000000" w:rsidR="00000000" w:rsidRPr="00000000">
        <w:rPr>
          <w:rFonts w:ascii="Google Sans" w:cs="Google Sans" w:eastAsia="Google Sans" w:hAnsi="Google Sans"/>
          <w:b w:val="1"/>
          <w:bCs w:val="1"/>
          <w:i w:val="1"/>
          <w:iCs w:val="1"/>
          <w:color w:val="1f1f1f"/>
          <w:rtl w:val="0"/>
        </w:rPr>
        <w:t xml:space="preserve">Toxi</w:t>
      </w:r>
      <w:r w:rsidDel="00000000" w:rsidR="00000000" w:rsidRPr="00000000">
        <w:rPr>
          <w:rFonts w:ascii="Google Sans" w:cs="Google Sans" w:eastAsia="Google Sans" w:hAnsi="Google Sans"/>
          <w:b w:val="1"/>
          <w:bCs w:val="1"/>
          <w:color w:val="1f1f1f"/>
          <w:rtl w:val="0"/>
        </w:rPr>
        <w:t xml:space="preserve"> (1952)</w:t>
      </w:r>
      <w:r w:rsidDel="00000000" w:rsidR="00000000" w:rsidRPr="00000000">
        <w:rPr>
          <w:rFonts w:ascii="Google Sans" w:cs="Google Sans" w:eastAsia="Google Sans" w:hAnsi="Google Sans"/>
          <w:color w:val="1f1f1f"/>
          <w:rtl w:val="0"/>
        </w:rPr>
        <w:t xml:space="preserve"> ...... 14</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Lived Experience: Identity and Visibility in </w:t>
      </w:r>
      <w:r w:rsidDel="00000000" w:rsidR="00000000" w:rsidRPr="00000000">
        <w:rPr>
          <w:rFonts w:ascii="Google Sans" w:cs="Google Sans" w:eastAsia="Google Sans" w:hAnsi="Google Sans"/>
          <w:b w:val="1"/>
          <w:bCs w:val="1"/>
          <w:i w:val="1"/>
          <w:iCs w:val="1"/>
          <w:color w:val="1f1f1f"/>
          <w:rtl w:val="0"/>
        </w:rPr>
        <w:t xml:space="preserve">Invisible Woman</w:t>
      </w:r>
      <w:r w:rsidDel="00000000" w:rsidR="00000000" w:rsidRPr="00000000">
        <w:rPr>
          <w:rFonts w:ascii="Google Sans" w:cs="Google Sans" w:eastAsia="Google Sans" w:hAnsi="Google Sans"/>
          <w:color w:val="1f1f1f"/>
          <w:rtl w:val="0"/>
        </w:rPr>
        <w:t xml:space="preserve"> ...... 16</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1980s Turning Point: From Welfare Cases to Subjects</w:t>
      </w:r>
      <w:r w:rsidDel="00000000" w:rsidR="00000000" w:rsidRPr="00000000">
        <w:rPr>
          <w:rFonts w:ascii="Google Sans" w:cs="Google Sans" w:eastAsia="Google Sans" w:hAnsi="Google Sans"/>
          <w:color w:val="1f1f1f"/>
          <w:rtl w:val="0"/>
        </w:rPr>
        <w:t xml:space="preserve"> .......... 18</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Conclusion and Outlook</w:t>
      </w:r>
      <w:r w:rsidDel="00000000" w:rsidR="00000000" w:rsidRPr="00000000">
        <w:rPr>
          <w:rFonts w:ascii="Google Sans" w:cs="Google Sans" w:eastAsia="Google Sans" w:hAnsi="Google Sans"/>
          <w:color w:val="1f1f1f"/>
          <w:rtl w:val="0"/>
        </w:rPr>
        <w:t xml:space="preserve"> ............................................................... 20</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Bibliography</w:t>
      </w:r>
      <w:r w:rsidDel="00000000" w:rsidR="00000000" w:rsidRPr="00000000">
        <w:rPr>
          <w:rFonts w:ascii="Google Sans" w:cs="Google Sans" w:eastAsia="Google Sans" w:hAnsi="Google Sans"/>
          <w:color w:val="1f1f1f"/>
          <w:rtl w:val="0"/>
        </w:rPr>
        <w:t xml:space="preserve"> ................................................................................... 22</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Introduction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end of the Second World War in 1945, famously termed </w:t>
      </w:r>
      <w:r w:rsidDel="00000000" w:rsidR="00000000" w:rsidRPr="00000000">
        <w:rPr>
          <w:rFonts w:ascii="Google Sans" w:cs="Google Sans" w:eastAsia="Google Sans" w:hAnsi="Google Sans"/>
          <w:i w:val="1"/>
          <w:iCs w:val="1"/>
          <w:color w:val="1f1f1f"/>
          <w:rtl w:val="0"/>
        </w:rPr>
        <w:t xml:space="preserve">Stunde Null</w:t>
      </w:r>
      <w:r w:rsidDel="00000000" w:rsidR="00000000" w:rsidRPr="00000000">
        <w:rPr>
          <w:rFonts w:ascii="Google Sans" w:cs="Google Sans" w:eastAsia="Google Sans" w:hAnsi="Google Sans"/>
          <w:color w:val="1f1f1f"/>
          <w:rtl w:val="0"/>
        </w:rPr>
        <w:t xml:space="preserve"> (Zero Hour), is often conceptualized as a clean break from the horrors of National Socialism. As the Allied powers occupied a nation physically and morally in ruins, the project of reconstruction began. However, through the lens of social history, it becomes clear that the "Zero Hour" was more a myth of political convenience than a sociological reality. While the legal structures of the Third Reich were dismantled, the psychological, cultural, and administrative frameworks of racialized thinking did not vanish overnight. Instead, they were reconfigured to fit the new democratic landscape of the Federal Republic of Germany (FRG).</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paper examines a specific demographic that became a focal point for post-war anxieties regarding national identity and what many historians call the "crisis of modernity": the "Mischlingskinder"—the children born to German mothers and African American soldiers stationed in the Western occupation zones. These children, often referred to as "occupation children" (</w:t>
      </w:r>
      <w:r w:rsidDel="00000000" w:rsidR="00000000" w:rsidRPr="00000000">
        <w:rPr>
          <w:rFonts w:ascii="Google Sans" w:cs="Google Sans" w:eastAsia="Google Sans" w:hAnsi="Google Sans"/>
          <w:i w:val="1"/>
          <w:iCs w:val="1"/>
          <w:color w:val="1f1f1f"/>
          <w:rtl w:val="0"/>
        </w:rPr>
        <w:t xml:space="preserve">Besatzungskinder</w:t>
      </w:r>
      <w:r w:rsidDel="00000000" w:rsidR="00000000" w:rsidRPr="00000000">
        <w:rPr>
          <w:rFonts w:ascii="Google Sans" w:cs="Google Sans" w:eastAsia="Google Sans" w:hAnsi="Google Sans"/>
          <w:color w:val="1f1f1f"/>
          <w:rtl w:val="0"/>
        </w:rPr>
        <w:t xml:space="preserve">), were treated not merely as private individuals or family members, but as public "problem cases" that required management by the state. Their presence challenged the nascent democracy to define whether "Germanness" was a matter of shared values and citizenship or remained rooted in the biological and racial exclusionary practices of the past.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Through a social history lens, this paper explores the following research question: </w:t>
      </w:r>
      <w:r w:rsidDel="00000000" w:rsidR="00000000" w:rsidRPr="00000000">
        <w:rPr>
          <w:rFonts w:ascii="Google Sans" w:cs="Google Sans" w:eastAsia="Google Sans" w:hAnsi="Google Sans"/>
          <w:b w:val="1"/>
          <w:bCs w:val="1"/>
          <w:color w:val="1f1f1f"/>
          <w:rtl w:val="0"/>
        </w:rPr>
        <w:t xml:space="preserve">How did the marginalization and institutional management of Afro-German children reflect the limits of West German "democratization" and the persistence of racialized definitions of national belonging?</w:t>
      </w:r>
      <w:r w:rsidDel="00000000" w:rsidR="00000000" w:rsidRPr="00000000">
        <w:rPr>
          <w:rFonts w:ascii="Google Sans" w:cs="Google Sans" w:eastAsia="Google Sans" w:hAnsi="Google Sans"/>
          <w:color w:val="1f1f1f"/>
          <w:rtl w:val="0"/>
        </w:rPr>
        <w:t xml:space="preserve"> By analyzing the mechanisms of social exclusion, the "pedagogical" rhetoric of welfare institutions, the logic of international adoption, and cultural representations like the film </w:t>
      </w:r>
      <w:r w:rsidDel="00000000" w:rsidR="00000000" w:rsidRPr="00000000">
        <w:rPr>
          <w:rFonts w:ascii="Google Sans" w:cs="Google Sans" w:eastAsia="Google Sans" w:hAnsi="Google Sans"/>
          <w:i w:val="1"/>
          <w:iCs w:val="1"/>
          <w:color w:val="1f1f1f"/>
          <w:rtl w:val="0"/>
        </w:rPr>
        <w:t xml:space="preserve">Toxi</w:t>
      </w:r>
      <w:r w:rsidDel="00000000" w:rsidR="00000000" w:rsidRPr="00000000">
        <w:rPr>
          <w:rFonts w:ascii="Google Sans" w:cs="Google Sans" w:eastAsia="Google Sans" w:hAnsi="Google Sans"/>
          <w:color w:val="1f1f1f"/>
          <w:rtl w:val="0"/>
        </w:rPr>
        <w:t xml:space="preserve">, this study argues that the early Federal Republic utilized the rhetoric of "care" and "protection" to mask the systematic removal and exclusion of racial difference. In doing so, it negotiated a new German identity that ostensibly embraced democratic values while remaining fundamentally tethered to an exclusionary, racialized core of </w:t>
      </w:r>
      <w:r w:rsidDel="00000000" w:rsidR="00000000" w:rsidRPr="00000000">
        <w:rPr>
          <w:rFonts w:ascii="Google Sans" w:cs="Google Sans" w:eastAsia="Google Sans" w:hAnsi="Google Sans"/>
          <w:i w:val="1"/>
          <w:iCs w:val="1"/>
          <w:color w:val="1f1f1f"/>
          <w:rtl w:val="0"/>
        </w:rPr>
        <w:t xml:space="preserve">Volksgemeinschaft</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The Myth of "Zero Hour" and the Crisis of Modernity</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understand the experience of Afro-German children, one must first deconstruct the historiographical notion of 1945 as a total rupture. The transition from the "Total Integration" of the Nazi state to the liberal democracy of the Adenauer era was characterized by profound continuities in the German social fabric. As historian Heide Fehrenbach argues in </w:t>
      </w:r>
      <w:r w:rsidDel="00000000" w:rsidR="00000000" w:rsidRPr="00000000">
        <w:rPr>
          <w:rFonts w:ascii="Google Sans" w:cs="Google Sans" w:eastAsia="Google Sans" w:hAnsi="Google Sans"/>
          <w:i w:val="1"/>
          <w:iCs w:val="1"/>
          <w:color w:val="1f1f1f"/>
          <w:rtl w:val="0"/>
        </w:rPr>
        <w:t xml:space="preserve">Race after Hitler</w:t>
      </w:r>
      <w:r w:rsidDel="00000000" w:rsidR="00000000" w:rsidRPr="00000000">
        <w:rPr>
          <w:rFonts w:ascii="Google Sans" w:cs="Google Sans" w:eastAsia="Google Sans" w:hAnsi="Google Sans"/>
          <w:color w:val="1f1f1f"/>
          <w:rtl w:val="0"/>
        </w:rPr>
        <w:t xml:space="preserve">, the post-war "crisis" of identity necessitated a reconfiguration of race rather than its abandonment. If the Nazi state was a </w:t>
      </w:r>
      <w:r w:rsidDel="00000000" w:rsidR="00000000" w:rsidRPr="00000000">
        <w:rPr>
          <w:rFonts w:ascii="Google Sans" w:cs="Google Sans" w:eastAsia="Google Sans" w:hAnsi="Google Sans"/>
          <w:i w:val="1"/>
          <w:iCs w:val="1"/>
          <w:color w:val="1f1f1f"/>
          <w:rtl w:val="0"/>
        </w:rPr>
        <w:t xml:space="preserve">Rassenstaat</w:t>
      </w:r>
      <w:r w:rsidDel="00000000" w:rsidR="00000000" w:rsidRPr="00000000">
        <w:rPr>
          <w:rFonts w:ascii="Google Sans" w:cs="Google Sans" w:eastAsia="Google Sans" w:hAnsi="Google Sans"/>
          <w:color w:val="1f1f1f"/>
          <w:rtl w:val="0"/>
        </w:rPr>
        <w:t xml:space="preserve"> (racial state), the early FRG was a society attempting to "normalize" itself by suppressing the recent past while simultaneously clinging to traditional, homogeneous definitions of the German people.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period fits into Reinhart Koselleck's conceptualization of "crisis"—a historical moment where the old structures have collapsed but the new ones are not yet fully formed. For West Germany, the crisis was one of legitimacy. How could a nation that had just committed industrial-scale genocide re-enter the community of "civilized" nations? The presence of Mischlingskinder acted as a catalyst for this crisis. They were the literal "visual history" of the nation's defeat and its perceived "contamination" by the occupation forces. Their very existence forced a confrontation with the "modern" problem of diversity in a society that had spent the previous twelve years perfecting the art of exclusion.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Methodologically, this paper adopts the approach of </w:t>
      </w:r>
      <w:r w:rsidDel="00000000" w:rsidR="00000000" w:rsidRPr="00000000">
        <w:rPr>
          <w:rFonts w:ascii="Google Sans" w:cs="Google Sans" w:eastAsia="Google Sans" w:hAnsi="Google Sans"/>
          <w:i w:val="1"/>
          <w:iCs w:val="1"/>
          <w:color w:val="1f1f1f"/>
          <w:rtl w:val="0"/>
        </w:rPr>
        <w:t xml:space="preserve">Alltagsgeschichte</w:t>
      </w:r>
      <w:r w:rsidDel="00000000" w:rsidR="00000000" w:rsidRPr="00000000">
        <w:rPr>
          <w:rFonts w:ascii="Google Sans" w:cs="Google Sans" w:eastAsia="Google Sans" w:hAnsi="Google Sans"/>
          <w:color w:val="1f1f1f"/>
          <w:rtl w:val="0"/>
        </w:rPr>
        <w:t xml:space="preserve"> (everyday history), as proposed by Thomas Lindenberger. By looking at the "everyday" interactions between Black children, their mothers, and their German neighbors, we can perceive the underlying tensions of a society in transition. These children were not just footnotes in history; they were the "margins" from which the center of West German identity was being renegotiated. The state’s response—ranging from welfare surveillance to international adoption—was an attempt to resolve the "crisis of modernity" by reverting to a sanitized version of racial homogeneity.</w:t>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Historical Context: Allied Occupation and the GI Presence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arrival of the U.S. Army in 1945 brought approximately 1.6 million soldiers to German soil, including roughly 100,000 to 150,000 African American GIs. This encounter was staged within a unique colonial-like dynamic where the "conquerors" brought their own internal racial hierarchies. The U.S. military was segregated until 1948, and even after Executive Order 9981, de facto segregation remained the norm for years. This exported the American "Jim Crow" system to the heart of Europe, creating a bizarre scenario where Black GIs often found more freedom in occupied Germany than they did in the American South, yet were still subjected to the racial policing of their own officers.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White American officers frequently warned German women against associating with Black GIs, often using racist tropes that mirrored Nazi propaganda regarding "racial shame." This created a transatlantic consensus on Black inferiority that validated German prejudices. By the early 1950s, several thousand children had been born from these "fraternizations." While children fathered by white soldiers also faced the stigma of illegitimacy, they possessed the "privilege of invisibility"—they could eventually disappear into the majority population. Afro-German children, however, were "visibly different," making them permanent, public reminders of "fraternization"—a term that carried heavy moral and nationalistic condemnation.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social atmosphere was one of "moral panic." German mothers of Black children were subjected to intense public shaming, often being labeled as "GI-whores" (</w:t>
      </w:r>
      <w:r w:rsidDel="00000000" w:rsidR="00000000" w:rsidRPr="00000000">
        <w:rPr>
          <w:rFonts w:ascii="Google Sans" w:cs="Google Sans" w:eastAsia="Google Sans" w:hAnsi="Google Sans"/>
          <w:i w:val="1"/>
          <w:iCs w:val="1"/>
          <w:color w:val="1f1f1f"/>
          <w:rtl w:val="0"/>
        </w:rPr>
        <w:t xml:space="preserve">Ami-Huren</w:t>
      </w:r>
      <w:r w:rsidDel="00000000" w:rsidR="00000000" w:rsidRPr="00000000">
        <w:rPr>
          <w:rFonts w:ascii="Google Sans" w:cs="Google Sans" w:eastAsia="Google Sans" w:hAnsi="Google Sans"/>
          <w:color w:val="1f1f1f"/>
          <w:rtl w:val="0"/>
        </w:rPr>
        <w:t xml:space="preserve">). This shaming was not merely about sexual morality; it was about the perceived betrayal of the German nation. The Black child became the "evidence" of this betrayal. In the context of post-war "moral reconstruction," the control of German women’s bodies became a surrogate for the control of German national sovereignty. Consequently, the children entered a world where their very existence was viewed as a "category of concern" for the public, rather than a private joy for a family.</w:t>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The Institutional Gaze: Welfare, Race, and the Jugendamt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w:t>
      </w:r>
      <w:r w:rsidDel="00000000" w:rsidR="00000000" w:rsidRPr="00000000">
        <w:rPr>
          <w:rFonts w:ascii="Google Sans" w:cs="Google Sans" w:eastAsia="Google Sans" w:hAnsi="Google Sans"/>
          <w:i w:val="1"/>
          <w:iCs w:val="1"/>
          <w:color w:val="1f1f1f"/>
          <w:rtl w:val="0"/>
        </w:rPr>
        <w:t xml:space="preserve">Jugendamt</w:t>
      </w:r>
      <w:r w:rsidDel="00000000" w:rsidR="00000000" w:rsidRPr="00000000">
        <w:rPr>
          <w:rFonts w:ascii="Google Sans" w:cs="Google Sans" w:eastAsia="Google Sans" w:hAnsi="Google Sans"/>
          <w:color w:val="1f1f1f"/>
          <w:rtl w:val="0"/>
        </w:rPr>
        <w:t xml:space="preserve"> (Youth Office) served as the bureaucratic engine of marginalization. Because the vast majority of Mischlingskinder were born out of wedlock, the state assumed legal guardianship (</w:t>
      </w:r>
      <w:r w:rsidDel="00000000" w:rsidR="00000000" w:rsidRPr="00000000">
        <w:rPr>
          <w:rFonts w:ascii="Google Sans" w:cs="Google Sans" w:eastAsia="Google Sans" w:hAnsi="Google Sans"/>
          <w:i w:val="1"/>
          <w:iCs w:val="1"/>
          <w:color w:val="1f1f1f"/>
          <w:rtl w:val="0"/>
        </w:rPr>
        <w:t xml:space="preserve">Amtspflegschaft</w:t>
      </w:r>
      <w:r w:rsidDel="00000000" w:rsidR="00000000" w:rsidRPr="00000000">
        <w:rPr>
          <w:rFonts w:ascii="Google Sans" w:cs="Google Sans" w:eastAsia="Google Sans" w:hAnsi="Google Sans"/>
          <w:color w:val="1f1f1f"/>
          <w:rtl w:val="0"/>
        </w:rPr>
        <w:t xml:space="preserve">) over them. This allowed welfare officials to intervene in the most intimate aspects of these children's lives, from their education to their living arrangements. This institutional gaze was not neutral; it was filtered through a lens that viewed racial difference as a "deficit."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review of administrative records from the late 1940s reveals a sophisticated shift in language. Explicitly biological racism was deemed "uncivilized" in the new democratic context. Instead, officials adopted a "pedagogical" tone. Reports often described these children as possessing "different temperaments" or "special musical talents." While these might seem like positive stereotypes, in the context of 1950s welfare, they were used to categorize the children as "other." If a child was "naturally" different, the logic followed that they required "special" management.</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 Yara-Colette Lemke Muniz de Faria demonstrates, this professionalized "care" was a mechanism of exclusion. The </w:t>
      </w:r>
      <w:r w:rsidDel="00000000" w:rsidR="00000000" w:rsidRPr="00000000">
        <w:rPr>
          <w:rFonts w:ascii="Google Sans" w:cs="Google Sans" w:eastAsia="Google Sans" w:hAnsi="Google Sans"/>
          <w:i w:val="1"/>
          <w:iCs w:val="1"/>
          <w:color w:val="1f1f1f"/>
          <w:rtl w:val="0"/>
        </w:rPr>
        <w:t xml:space="preserve">Jugendamt</w:t>
      </w:r>
      <w:r w:rsidDel="00000000" w:rsidR="00000000" w:rsidRPr="00000000">
        <w:rPr>
          <w:rFonts w:ascii="Google Sans" w:cs="Google Sans" w:eastAsia="Google Sans" w:hAnsi="Google Sans"/>
          <w:color w:val="1f1f1f"/>
          <w:rtl w:val="0"/>
        </w:rPr>
        <w:t xml:space="preserve"> acted as a classification machine. They monitored the children's progress with an eye toward "integration," but integration was defined as the total suppression of their Black identity. When a child proved "too visible"—whether through their appearance or their refusal to conform—the recommendation shifted toward "protection" through separation. By framing their concerns in terms of child welfare and "modern" pedagogy, the </w:t>
      </w:r>
      <w:r w:rsidDel="00000000" w:rsidR="00000000" w:rsidRPr="00000000">
        <w:rPr>
          <w:rFonts w:ascii="Google Sans" w:cs="Google Sans" w:eastAsia="Google Sans" w:hAnsi="Google Sans"/>
          <w:i w:val="1"/>
          <w:iCs w:val="1"/>
          <w:color w:val="1f1f1f"/>
          <w:rtl w:val="0"/>
        </w:rPr>
        <w:t xml:space="preserve">Jugendamt</w:t>
      </w:r>
      <w:r w:rsidDel="00000000" w:rsidR="00000000" w:rsidRPr="00000000">
        <w:rPr>
          <w:rFonts w:ascii="Google Sans" w:cs="Google Sans" w:eastAsia="Google Sans" w:hAnsi="Google Sans"/>
          <w:color w:val="1f1f1f"/>
          <w:rtl w:val="0"/>
        </w:rPr>
        <w:t xml:space="preserve"> perpetuated racial hierarchies while ostensibly upholding the democratic values of the new Federal Republic. This "welfare dictatorship," as Konrad Jarausch might call it, used the language of care to enforce a racialized social order.</w:t>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The "Double Stigma": Intersectionality of Race and Gender</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marginalization of the Mischlingskinder cannot be understood without an intersectional analysis of race, gender, and class. These children suffered what Ika Hügel-Marshall calls a "double stigma": the stigma of being "colored" in a white society and the stigma of being "illegitimate" in a deeply conservative, patriarchal one. This intersection created a unique form of social invisibility that was both institutional and interpersonal.</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For the mothers, the birth of a Black child often meant social death. Many were ostracized by their families and neighborhoods, forced into low-paying jobs or isolation. In the conservative Adenauer era, the "integrity" of the German family was paramount. A mother with a Black child was a living disruption to that integrity. This environment of "shame" was the primary socialization for the children. They grew up sensing that their very presence was a source of distress for those they loved most, leading to a deep-seated "identity crisis" that would haunt many into adulthood.</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 public life, the "daily racism" was relentless. Memoirs describe how strangers would touch their hair or skin without permission, how teachers would ignore them in class, and how they were frequently excluded from neighborhood play. This was a "crisis of belonging" that was both institutional and interpersonal. They were present in the physical sense but absent from the national narrative of "reconstruction." They were the "unwanted" leftovers of a war that everyone else was trying to forget. This social exclusion was reinforced by the media, which often portrayed them as "exotic" curiosities or "tragic" figures who could never truly be German. This "tragic mulatto" trope served to justify their eventual removal from society, framing it as an act of mercy rather than an act of exclusion.</w:t>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Separation as "Care": Kinderheime and Transatlantic Adoption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As the "first generation" of Mischlingskinder approached school age in the early 1950s, the West German parliament (</w:t>
      </w:r>
      <w:r w:rsidDel="00000000" w:rsidR="00000000" w:rsidRPr="00000000">
        <w:rPr>
          <w:rFonts w:ascii="Google Sans" w:cs="Google Sans" w:eastAsia="Google Sans" w:hAnsi="Google Sans"/>
          <w:i w:val="1"/>
          <w:iCs w:val="1"/>
          <w:color w:val="1f1f1f"/>
          <w:rtl w:val="0"/>
        </w:rPr>
        <w:t xml:space="preserve">Bundestag</w:t>
      </w:r>
      <w:r w:rsidDel="00000000" w:rsidR="00000000" w:rsidRPr="00000000">
        <w:rPr>
          <w:rFonts w:ascii="Google Sans" w:cs="Google Sans" w:eastAsia="Google Sans" w:hAnsi="Google Sans"/>
          <w:color w:val="1f1f1f"/>
          <w:rtl w:val="0"/>
        </w:rPr>
        <w:t xml:space="preserve">) debated their future. The consensus among many politicians was that Germany was "not yet a land of immigration" and that these children would inevitably suffer if they stayed. This led to a policy direction that prioritized physical removal over social integration. The "problem" was not the racism of German society, but the presence of the Black child within it.</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Two primary "solutions" emerged. The first was placement in </w:t>
      </w:r>
      <w:r w:rsidDel="00000000" w:rsidR="00000000" w:rsidRPr="00000000">
        <w:rPr>
          <w:rFonts w:ascii="Google Sans" w:cs="Google Sans" w:eastAsia="Google Sans" w:hAnsi="Google Sans"/>
          <w:i w:val="1"/>
          <w:iCs w:val="1"/>
          <w:color w:val="1f1f1f"/>
          <w:rtl w:val="0"/>
        </w:rPr>
        <w:t xml:space="preserve">Kinderheime</w:t>
      </w:r>
      <w:r w:rsidDel="00000000" w:rsidR="00000000" w:rsidRPr="00000000">
        <w:rPr>
          <w:rFonts w:ascii="Google Sans" w:cs="Google Sans" w:eastAsia="Google Sans" w:hAnsi="Google Sans"/>
          <w:color w:val="1f1f1f"/>
          <w:rtl w:val="0"/>
        </w:rPr>
        <w:t xml:space="preserve"> (children's homes). Many of these homes were run by religious institutions that viewed the children through a lens of "sin" and "redemption." Ika Hügel-Marshall’s memoir recounts the trauma of these homes, where she was told she was "the child of sin" and where her identity was systematically suppressed. The homes were not places of care, but places of "normalization," designed to erase any trace of the child's African American heritage.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second, and more radical, solution was the transatlantic adoption program. Between 1950 and 1960, thousands of Afro-German children were sent to the United States to be adopted by African American families. This program was championed by figures like Mabel Grammer, an African American journalist for the </w:t>
      </w:r>
      <w:r w:rsidDel="00000000" w:rsidR="00000000" w:rsidRPr="00000000">
        <w:rPr>
          <w:rFonts w:ascii="Google Sans" w:cs="Google Sans" w:eastAsia="Google Sans" w:hAnsi="Google Sans"/>
          <w:i w:val="1"/>
          <w:iCs w:val="1"/>
          <w:color w:val="1f1f1f"/>
          <w:rtl w:val="0"/>
        </w:rPr>
        <w:t xml:space="preserve">Afro-American</w:t>
      </w:r>
      <w:r w:rsidDel="00000000" w:rsidR="00000000" w:rsidRPr="00000000">
        <w:rPr>
          <w:rFonts w:ascii="Google Sans" w:cs="Google Sans" w:eastAsia="Google Sans" w:hAnsi="Google Sans"/>
          <w:color w:val="1f1f1f"/>
          <w:rtl w:val="0"/>
        </w:rPr>
        <w:t xml:space="preserve"> newspaper. Grammer believed that the children would have a better life in the U.S. Black community, where they would not be "exceptions" but would belong to a "people."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While these adoptions were framed as "humanitarian rescues," social historians must critically examine the state's role. The </w:t>
      </w:r>
      <w:r w:rsidDel="00000000" w:rsidR="00000000" w:rsidRPr="00000000">
        <w:rPr>
          <w:rFonts w:ascii="Google Sans" w:cs="Google Sans" w:eastAsia="Google Sans" w:hAnsi="Google Sans"/>
          <w:i w:val="1"/>
          <w:iCs w:val="1"/>
          <w:color w:val="1f1f1f"/>
          <w:rtl w:val="0"/>
        </w:rPr>
        <w:t xml:space="preserve">Jugendamt</w:t>
      </w:r>
      <w:r w:rsidDel="00000000" w:rsidR="00000000" w:rsidRPr="00000000">
        <w:rPr>
          <w:rFonts w:ascii="Google Sans" w:cs="Google Sans" w:eastAsia="Google Sans" w:hAnsi="Google Sans"/>
          <w:color w:val="1f1f1f"/>
          <w:rtl w:val="0"/>
        </w:rPr>
        <w:t xml:space="preserve"> facilitated these adoptions with surprising efficiency. By exporting the children, the West German government was able to "export" its perceived race problem. It was a strategy of "removal through adoption." For the children, the results were often traumatic: the loss of their mothers, their language, and their primary culture. The documentary </w:t>
      </w:r>
      <w:r w:rsidDel="00000000" w:rsidR="00000000" w:rsidRPr="00000000">
        <w:rPr>
          <w:rFonts w:ascii="Google Sans" w:cs="Google Sans" w:eastAsia="Google Sans" w:hAnsi="Google Sans"/>
          <w:i w:val="1"/>
          <w:iCs w:val="1"/>
          <w:color w:val="1f1f1f"/>
          <w:rtl w:val="0"/>
        </w:rPr>
        <w:t xml:space="preserve">Brown Babies</w:t>
      </w:r>
      <w:r w:rsidDel="00000000" w:rsidR="00000000" w:rsidRPr="00000000">
        <w:rPr>
          <w:rFonts w:ascii="Google Sans" w:cs="Google Sans" w:eastAsia="Google Sans" w:hAnsi="Google Sans"/>
          <w:color w:val="1f1f1f"/>
          <w:rtl w:val="0"/>
        </w:rPr>
        <w:t xml:space="preserve"> captures the bittersweet nature of these reunions decades later, highlighting the profound sense of "homelessness" many adoptees felt. They were "too German" for America and "too Black" for Germany—living embodiments of the asymmetrical development of post-war societies.</w:t>
      </w:r>
    </w:p>
    <w:p w:rsidR="00000000" w:rsidDel="00000000" w:rsidP="00000000" w:rsidRDefault="00000000" w:rsidRPr="00000000" w14:paraId="0000002D">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Cultural Representation: A Detailed Analysis of </w:t>
      </w:r>
      <w:r w:rsidDel="00000000" w:rsidR="00000000" w:rsidRPr="00000000">
        <w:rPr>
          <w:rFonts w:ascii="Google Sans" w:cs="Google Sans" w:eastAsia="Google Sans" w:hAnsi="Google Sans"/>
          <w:b w:val="1"/>
          <w:bCs w:val="1"/>
          <w:i w:val="1"/>
          <w:iCs w:val="1"/>
          <w:color w:val="1f1f1f"/>
          <w:sz w:val="48"/>
          <w:szCs w:val="48"/>
          <w:rtl w:val="0"/>
        </w:rPr>
        <w:t xml:space="preserve">Toxi</w:t>
      </w:r>
      <w:r w:rsidDel="00000000" w:rsidR="00000000" w:rsidRPr="00000000">
        <w:rPr>
          <w:rFonts w:ascii="Google Sans" w:cs="Google Sans" w:eastAsia="Google Sans" w:hAnsi="Google Sans"/>
          <w:color w:val="1f1f1f"/>
          <w:rtl w:val="0"/>
        </w:rPr>
        <w:t xml:space="preserve"> (1952)</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film </w:t>
      </w:r>
      <w:r w:rsidDel="00000000" w:rsidR="00000000" w:rsidRPr="00000000">
        <w:rPr>
          <w:rFonts w:ascii="Google Sans" w:cs="Google Sans" w:eastAsia="Google Sans" w:hAnsi="Google Sans"/>
          <w:i w:val="1"/>
          <w:iCs w:val="1"/>
          <w:color w:val="1f1f1f"/>
          <w:rtl w:val="0"/>
        </w:rPr>
        <w:t xml:space="preserve">Toxi</w:t>
      </w:r>
      <w:r w:rsidDel="00000000" w:rsidR="00000000" w:rsidRPr="00000000">
        <w:rPr>
          <w:rFonts w:ascii="Google Sans" w:cs="Google Sans" w:eastAsia="Google Sans" w:hAnsi="Google Sans"/>
          <w:color w:val="1f1f1f"/>
          <w:rtl w:val="0"/>
        </w:rPr>
        <w:t xml:space="preserve"> (1952) represents a crucial moment in the "visual history" of post-war Germany. It was the first major film to address the issue of the "occupation child." The story centers on a young girl, Toxi, who is left with a wealthy white German family. The film was explicitly designed as a "pedagogical tool" for the German public, intended to foster tolerance in a nation still reeling from its Nazi past.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However, a close reading of the film reveals the limits of the Adenauer era's "democratization." Toxi is portrayed as "hyper-cute" and "angelic"—a "Good Black" trope that makes her palatable to white audiences. Her "value" in the film is measured by how much "joy" she brings to the white characters and how much "moral growth" she inspires in the grumpy white grandfather. The child herself has very little agency; she is an object through which the white characters negotiate their own sense of morality.</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most revealing part of the film is its ending. Rather than being integrated into the German family, Toxi’s African American father returns from the U.S. to take her "home." The film’s "happy ending" is the child's removal from Germany. This reflected the contemporary political consensus: that while Germans should be "kind" to these children, their "true" belonging lay elsewhere. </w:t>
      </w:r>
      <w:r w:rsidDel="00000000" w:rsidR="00000000" w:rsidRPr="00000000">
        <w:rPr>
          <w:rFonts w:ascii="Google Sans" w:cs="Google Sans" w:eastAsia="Google Sans" w:hAnsi="Google Sans"/>
          <w:i w:val="1"/>
          <w:iCs w:val="1"/>
          <w:color w:val="1f1f1f"/>
          <w:rtl w:val="0"/>
        </w:rPr>
        <w:t xml:space="preserve">Toxi</w:t>
      </w:r>
      <w:r w:rsidDel="00000000" w:rsidR="00000000" w:rsidRPr="00000000">
        <w:rPr>
          <w:rFonts w:ascii="Google Sans" w:cs="Google Sans" w:eastAsia="Google Sans" w:hAnsi="Google Sans"/>
          <w:color w:val="1f1f1f"/>
          <w:rtl w:val="0"/>
        </w:rPr>
        <w:t xml:space="preserve"> provided the German audience with a way to feel "cured" of their racism without actually having to live with Black citizens. It was "sympathy without equality," a hallmark of early West German liberalism. The film’s success demonstrated that the West German public was willing to accept "Blackness" as a temporary guest, but not as a permanent feature of the German landscape.</w:t>
      </w:r>
    </w:p>
    <w:p w:rsidR="00000000" w:rsidDel="00000000" w:rsidP="00000000" w:rsidRDefault="00000000" w:rsidRPr="00000000" w14:paraId="0000003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1"/>
          <w:iCs w:val="1"/>
          <w:color w:val="1f1f1f"/>
          <w:sz w:val="48"/>
          <w:szCs w:val="48"/>
        </w:rPr>
      </w:pPr>
      <w:r w:rsidDel="00000000" w:rsidR="00000000" w:rsidRPr="00000000">
        <w:rPr>
          <w:rFonts w:ascii="Google Sans" w:cs="Google Sans" w:eastAsia="Google Sans" w:hAnsi="Google Sans"/>
          <w:color w:val="1f1f1f"/>
          <w:rtl w:val="0"/>
        </w:rPr>
        <w:t xml:space="preserve">8. Lived Experience: Identity and Visibility in </w:t>
      </w:r>
      <w:r w:rsidDel="00000000" w:rsidR="00000000" w:rsidRPr="00000000">
        <w:rPr>
          <w:rFonts w:ascii="Google Sans" w:cs="Google Sans" w:eastAsia="Google Sans" w:hAnsi="Google Sans"/>
          <w:b w:val="1"/>
          <w:bCs w:val="1"/>
          <w:i w:val="1"/>
          <w:iCs w:val="1"/>
          <w:color w:val="1f1f1f"/>
          <w:sz w:val="48"/>
          <w:szCs w:val="48"/>
          <w:rtl w:val="0"/>
        </w:rPr>
        <w:t xml:space="preserve">Invisible Woman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move from the "state view" to the "lived experience," we must turn to first-person testimonies. Ika Hügel-Marshall’s memoir </w:t>
      </w:r>
      <w:r w:rsidDel="00000000" w:rsidR="00000000" w:rsidRPr="00000000">
        <w:rPr>
          <w:rFonts w:ascii="Google Sans" w:cs="Google Sans" w:eastAsia="Google Sans" w:hAnsi="Google Sans"/>
          <w:i w:val="1"/>
          <w:iCs w:val="1"/>
          <w:color w:val="1f1f1f"/>
          <w:rtl w:val="0"/>
        </w:rPr>
        <w:t xml:space="preserve">Invisible Woman: Growing Up Black in Germany</w:t>
      </w:r>
      <w:r w:rsidDel="00000000" w:rsidR="00000000" w:rsidRPr="00000000">
        <w:rPr>
          <w:rFonts w:ascii="Google Sans" w:cs="Google Sans" w:eastAsia="Google Sans" w:hAnsi="Google Sans"/>
          <w:color w:val="1f1f1f"/>
          <w:rtl w:val="0"/>
        </w:rPr>
        <w:t xml:space="preserve"> provides a visceral account of the 1950s. Born in 1947, Hügel-Marshall spent most of her childhood in a state-run home. She describes the institutional racism that was baked into the "care" she received. Her memoir is a direct challenge to the "humanitarian" narrative of the welfare state.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She recounts being told by nuns that her skin color was a mark of her "fallen nature." This internalizing of shame led to a profound sense of "social invisibility." For Hügel-Marshall, the primary struggle was not just against external laws, but against the internal belief that she had no right to exist in the land of her birth. She speaks of the "double stigma"—the shame of being Black and the shame of being "illegitimate"—which left her with no social standing in a society that valued "purity" and "tradition."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Her narrative is a case study in the "crisis of identity" that faced all Mischlingskinder. They were culturally German—speaking only German, eating German food, sharing German traditions—yet they were treated as "foreigners" in their own skin. This dissonance was the defining feature of their childhood. They were the first generation to challenge the biological definition of "Germanness" by simply existing. Their struggle for visibility was a struggle for the right to be both Black and German, a synthesis that the post-war state found impossible to imagine.</w:t>
      </w:r>
    </w:p>
    <w:p w:rsidR="00000000" w:rsidDel="00000000" w:rsidP="00000000" w:rsidRDefault="00000000" w:rsidRPr="00000000" w14:paraId="00000035">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9. The 1980s Turning Point: From Welfare Cases to Subjects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history of the Mischlingskinder does not end in the 1950s. A crucial shift occurred in the 1980s with the rise of the Afro-German movement. For decades, these children (now adults) had lived in isolation, often believing they were the only ones who felt this way. The arrival of African American poet Audre Lorde in Berlin in 1984 served as a catalyst for a new collective identity. Lorde challenged them to look at their history not as a source of shame, but as a source of power.</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publication of </w:t>
      </w:r>
      <w:r w:rsidDel="00000000" w:rsidR="00000000" w:rsidRPr="00000000">
        <w:rPr>
          <w:rFonts w:ascii="Google Sans" w:cs="Google Sans" w:eastAsia="Google Sans" w:hAnsi="Google Sans"/>
          <w:i w:val="1"/>
          <w:iCs w:val="1"/>
          <w:color w:val="1f1f1f"/>
          <w:rtl w:val="0"/>
        </w:rPr>
        <w:t xml:space="preserve">Farbe bekennen</w:t>
      </w:r>
      <w:r w:rsidDel="00000000" w:rsidR="00000000" w:rsidRPr="00000000">
        <w:rPr>
          <w:rFonts w:ascii="Google Sans" w:cs="Google Sans" w:eastAsia="Google Sans" w:hAnsi="Google Sans"/>
          <w:color w:val="1f1f1f"/>
          <w:rtl w:val="0"/>
        </w:rPr>
        <w:t xml:space="preserve"> (Showing Our Colors) in 1986 was a revolutionary act in German social history. For the first time, "occupation children" were not being spoken </w:t>
      </w:r>
      <w:r w:rsidDel="00000000" w:rsidR="00000000" w:rsidRPr="00000000">
        <w:rPr>
          <w:rFonts w:ascii="Google Sans" w:cs="Google Sans" w:eastAsia="Google Sans" w:hAnsi="Google Sans"/>
          <w:i w:val="1"/>
          <w:iCs w:val="1"/>
          <w:color w:val="1f1f1f"/>
          <w:rtl w:val="0"/>
        </w:rPr>
        <w:t xml:space="preserve">about</w:t>
      </w:r>
      <w:r w:rsidDel="00000000" w:rsidR="00000000" w:rsidRPr="00000000">
        <w:rPr>
          <w:rFonts w:ascii="Google Sans" w:cs="Google Sans" w:eastAsia="Google Sans" w:hAnsi="Google Sans"/>
          <w:color w:val="1f1f1f"/>
          <w:rtl w:val="0"/>
        </w:rPr>
        <w:t xml:space="preserve"> by welfare officials or film directors; they were speaking </w:t>
      </w:r>
      <w:r w:rsidDel="00000000" w:rsidR="00000000" w:rsidRPr="00000000">
        <w:rPr>
          <w:rFonts w:ascii="Google Sans" w:cs="Google Sans" w:eastAsia="Google Sans" w:hAnsi="Google Sans"/>
          <w:i w:val="1"/>
          <w:iCs w:val="1"/>
          <w:color w:val="1f1f1f"/>
          <w:rtl w:val="0"/>
        </w:rPr>
        <w:t xml:space="preserve">for themselves</w:t>
      </w:r>
      <w:r w:rsidDel="00000000" w:rsidR="00000000" w:rsidRPr="00000000">
        <w:rPr>
          <w:rFonts w:ascii="Google Sans" w:cs="Google Sans" w:eastAsia="Google Sans" w:hAnsi="Google Sans"/>
          <w:color w:val="1f1f1f"/>
          <w:rtl w:val="0"/>
        </w:rPr>
        <w:t xml:space="preserve">. They reclaimed the term "Afro-German," asserting that one could be both Black and German without contradiction. This was a direct assault on the "either/or" logic of the post-war state.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movement transformed them from "welfare cases" or "social problems" into political and historical subjects. It challenged the "care" narrative of the 1950s by exposing it as a form of structural violence. By looking back at their own history, these activists forced the broader German society to confront the "unspoken race problem" of the post-war era. They reframed their identity as a "diasporic" one, connecting their struggle to the broader Black Atlantic. This shift is vital for our study because it shows how the "margins" eventually moved to the center to challenge the national narrative of "reconstruction" and "modernization."</w:t>
      </w:r>
    </w:p>
    <w:p w:rsidR="00000000" w:rsidDel="00000000" w:rsidP="00000000" w:rsidRDefault="00000000" w:rsidRPr="00000000" w14:paraId="00000039">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10. Conclusion and Outlook</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treatment of Afro-German children in post-war West Germany reveals the deep-seated "ambivalences of modernity" in the young Federal Republic. While West Germany successfully built a "stable democracy," this stability was predicated on a quiet continuity of racialized social structures. The "Mischlingskinder" were marginalized not by accident, but by a proactive institutional effort to define the new German identity as white and homogeneous. The rhetoric of "care" and "protection" was used to mask a project of racial exclusion and removal.</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"care" provided by the </w:t>
      </w:r>
      <w:r w:rsidDel="00000000" w:rsidR="00000000" w:rsidRPr="00000000">
        <w:rPr>
          <w:rFonts w:ascii="Google Sans" w:cs="Google Sans" w:eastAsia="Google Sans" w:hAnsi="Google Sans"/>
          <w:i w:val="1"/>
          <w:iCs w:val="1"/>
          <w:color w:val="1f1f1f"/>
          <w:rtl w:val="0"/>
        </w:rPr>
        <w:t xml:space="preserve">Jugendamt</w:t>
      </w:r>
      <w:r w:rsidDel="00000000" w:rsidR="00000000" w:rsidRPr="00000000">
        <w:rPr>
          <w:rFonts w:ascii="Google Sans" w:cs="Google Sans" w:eastAsia="Google Sans" w:hAnsi="Google Sans"/>
          <w:color w:val="1f1f1f"/>
          <w:rtl w:val="0"/>
        </w:rPr>
        <w:t xml:space="preserve">, the paternalistic sympathy of the film </w:t>
      </w:r>
      <w:r w:rsidDel="00000000" w:rsidR="00000000" w:rsidRPr="00000000">
        <w:rPr>
          <w:rFonts w:ascii="Google Sans" w:cs="Google Sans" w:eastAsia="Google Sans" w:hAnsi="Google Sans"/>
          <w:i w:val="1"/>
          <w:iCs w:val="1"/>
          <w:color w:val="1f1f1f"/>
          <w:rtl w:val="0"/>
        </w:rPr>
        <w:t xml:space="preserve">Toxi</w:t>
      </w:r>
      <w:r w:rsidDel="00000000" w:rsidR="00000000" w:rsidRPr="00000000">
        <w:rPr>
          <w:rFonts w:ascii="Google Sans" w:cs="Google Sans" w:eastAsia="Google Sans" w:hAnsi="Google Sans"/>
          <w:color w:val="1f1f1f"/>
          <w:rtl w:val="0"/>
        </w:rPr>
        <w:t xml:space="preserve">, and the "humanitarian" removal of children through international adoption all point toward a common theme: the early FRG was a society that preferred to manage and exclude racial difference rather than confront its own prejudices. The experience of these children serves as a vital counter-archive to the official myth of </w:t>
      </w:r>
      <w:r w:rsidDel="00000000" w:rsidR="00000000" w:rsidRPr="00000000">
        <w:rPr>
          <w:rFonts w:ascii="Google Sans" w:cs="Google Sans" w:eastAsia="Google Sans" w:hAnsi="Google Sans"/>
          <w:i w:val="1"/>
          <w:iCs w:val="1"/>
          <w:color w:val="1f1f1f"/>
          <w:rtl w:val="0"/>
        </w:rPr>
        <w:t xml:space="preserve">Stunde Null</w:t>
      </w:r>
      <w:r w:rsidDel="00000000" w:rsidR="00000000" w:rsidRPr="00000000">
        <w:rPr>
          <w:rFonts w:ascii="Google Sans" w:cs="Google Sans" w:eastAsia="Google Sans" w:hAnsi="Google Sans"/>
          <w:color w:val="1f1f1f"/>
          <w:rtl w:val="0"/>
        </w:rPr>
        <w:t xml:space="preserve">. They represent the "cracks" in the post-war reconstruction, showing that the "crisis of modernity" was resolved through a sanitized return to homogeneity.</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Outlook and Future Research:</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paper has focused primarily on West Germany. A significant area for future research would be a comparative study of Afro-German children in the GDR. While East Germany officially promoted "socialist internationalism," anecdotal evidence suggests that Black children there faced similar, albeit differently articulated, forms of marginalization. Furthermore, a deeper study into the "second generation" (the children of the Mischlingskinder) would provide insight into the long-term legacies of this post-war crisis of belonging. The story of the Mischlingskinder is not just a story of the past; it is a story of how modern democracies continue to negotiate difference, belonging, and the weight of their own histories.</w:t>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Bibliography</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Primary Sources</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color w:val="1f1f1f"/>
          <w:rtl w:val="0"/>
        </w:rPr>
        <w:t xml:space="preserve">Hügel-Marshall, Ika. </w:t>
      </w:r>
      <w:r w:rsidDel="00000000" w:rsidR="00000000" w:rsidRPr="00000000">
        <w:rPr>
          <w:rFonts w:ascii="Google Sans" w:cs="Google Sans" w:eastAsia="Google Sans" w:hAnsi="Google Sans"/>
          <w:i w:val="1"/>
          <w:iCs w:val="1"/>
          <w:color w:val="1f1f1f"/>
          <w:rtl w:val="0"/>
        </w:rPr>
        <w:t xml:space="preserve">Invisible Woman: Growing Up Black in Germany</w:t>
      </w:r>
      <w:r w:rsidDel="00000000" w:rsidR="00000000" w:rsidRPr="00000000">
        <w:rPr>
          <w:rFonts w:ascii="Google Sans" w:cs="Google Sans" w:eastAsia="Google Sans" w:hAnsi="Google Sans"/>
          <w:color w:val="1f1f1f"/>
          <w:rtl w:val="0"/>
        </w:rPr>
        <w:t xml:space="preserve">. Translated by Elizabeth Gaffney. New York: Continuum, 2001.</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i w:val="1"/>
          <w:iCs w:val="1"/>
          <w:color w:val="1f1f1f"/>
          <w:rtl w:val="0"/>
        </w:rPr>
        <w:t xml:space="preserve">Toxi</w:t>
      </w:r>
      <w:r w:rsidDel="00000000" w:rsidR="00000000" w:rsidRPr="00000000">
        <w:rPr>
          <w:rFonts w:ascii="Google Sans" w:cs="Google Sans" w:eastAsia="Google Sans" w:hAnsi="Google Sans"/>
          <w:color w:val="1f1f1f"/>
          <w:rtl w:val="0"/>
        </w:rPr>
        <w:t xml:space="preserve">. Directed by Robert A. Stemmle. Fono-Film, 1952.</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i w:val="1"/>
          <w:iCs w:val="1"/>
          <w:color w:val="1f1f1f"/>
          <w:rtl w:val="0"/>
        </w:rPr>
        <w:t xml:space="preserve">Brown Babies: The Mischlingskinder Story</w:t>
      </w:r>
      <w:r w:rsidDel="00000000" w:rsidR="00000000" w:rsidRPr="00000000">
        <w:rPr>
          <w:rFonts w:ascii="Google Sans" w:cs="Google Sans" w:eastAsia="Google Sans" w:hAnsi="Google Sans"/>
          <w:color w:val="1f1f1f"/>
          <w:rtl w:val="0"/>
        </w:rPr>
        <w:t xml:space="preserve">. Documentary directed by Regina Griffin. 2011.</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Oguntoye, Katharina, May Opitz, and Dagmar Schultz, eds. </w:t>
      </w:r>
      <w:r w:rsidDel="00000000" w:rsidR="00000000" w:rsidRPr="00000000">
        <w:rPr>
          <w:rFonts w:ascii="Google Sans" w:cs="Google Sans" w:eastAsia="Google Sans" w:hAnsi="Google Sans"/>
          <w:i w:val="1"/>
          <w:iCs w:val="1"/>
          <w:color w:val="1f1f1f"/>
          <w:rtl w:val="0"/>
        </w:rPr>
        <w:t xml:space="preserve">Showing Our Colors: Afro-German Women Speak Out</w:t>
      </w:r>
      <w:r w:rsidDel="00000000" w:rsidR="00000000" w:rsidRPr="00000000">
        <w:rPr>
          <w:rFonts w:ascii="Google Sans" w:cs="Google Sans" w:eastAsia="Google Sans" w:hAnsi="Google Sans"/>
          <w:color w:val="1f1f1f"/>
          <w:rtl w:val="0"/>
        </w:rPr>
        <w:t xml:space="preserve">. Amherst: University of Massachusetts Press, 1992.</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Adenauer, Konrad. </w:t>
      </w:r>
      <w:r w:rsidDel="00000000" w:rsidR="00000000" w:rsidRPr="00000000">
        <w:rPr>
          <w:rFonts w:ascii="Google Sans" w:cs="Google Sans" w:eastAsia="Google Sans" w:hAnsi="Google Sans"/>
          <w:i w:val="1"/>
          <w:iCs w:val="1"/>
          <w:color w:val="1f1f1f"/>
          <w:rtl w:val="0"/>
        </w:rPr>
        <w:t xml:space="preserve">Memoirs 1945–53</w:t>
      </w:r>
      <w:r w:rsidDel="00000000" w:rsidR="00000000" w:rsidRPr="00000000">
        <w:rPr>
          <w:rFonts w:ascii="Google Sans" w:cs="Google Sans" w:eastAsia="Google Sans" w:hAnsi="Google Sans"/>
          <w:color w:val="1f1f1f"/>
          <w:rtl w:val="0"/>
        </w:rPr>
        <w:t xml:space="preserve">. Chicago: Henry Regnery Company, 1966.</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i w:val="1"/>
          <w:iCs w:val="1"/>
          <w:color w:val="1f1f1f"/>
          <w:rtl w:val="0"/>
        </w:rPr>
        <w:t xml:space="preserve">Ebony</w:t>
      </w:r>
      <w:r w:rsidDel="00000000" w:rsidR="00000000" w:rsidRPr="00000000">
        <w:rPr>
          <w:rFonts w:ascii="Google Sans" w:cs="Google Sans" w:eastAsia="Google Sans" w:hAnsi="Google Sans"/>
          <w:color w:val="1f1f1f"/>
          <w:rtl w:val="0"/>
        </w:rPr>
        <w:t xml:space="preserve"> Magazine Archives (1950–1960). Articles on "Germany's Brown Babies."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Secondary Sources</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color w:val="1f1f1f"/>
          <w:rtl w:val="0"/>
        </w:rPr>
        <w:t xml:space="preserve">Fehrenbach, Heide. </w:t>
      </w:r>
      <w:r w:rsidDel="00000000" w:rsidR="00000000" w:rsidRPr="00000000">
        <w:rPr>
          <w:rFonts w:ascii="Google Sans" w:cs="Google Sans" w:eastAsia="Google Sans" w:hAnsi="Google Sans"/>
          <w:i w:val="1"/>
          <w:iCs w:val="1"/>
          <w:color w:val="1f1f1f"/>
          <w:rtl w:val="0"/>
        </w:rPr>
        <w:t xml:space="preserve">Race after Hitler: Black Occupation Children in Postwar Germany and America</w:t>
      </w:r>
      <w:r w:rsidDel="00000000" w:rsidR="00000000" w:rsidRPr="00000000">
        <w:rPr>
          <w:rFonts w:ascii="Google Sans" w:cs="Google Sans" w:eastAsia="Google Sans" w:hAnsi="Google Sans"/>
          <w:color w:val="1f1f1f"/>
          <w:rtl w:val="0"/>
        </w:rPr>
        <w:t xml:space="preserve">. Princeton, NJ: Princeton University Press, 2005.</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Lemke Muniz de Faria, Yara-Colette. "Germany's 'Brown Babies' Must Be Helped! Will You?": Black Occupation Children in Post-1945 West Germany." </w:t>
      </w:r>
      <w:r w:rsidDel="00000000" w:rsidR="00000000" w:rsidRPr="00000000">
        <w:rPr>
          <w:rFonts w:ascii="Google Sans" w:cs="Google Sans" w:eastAsia="Google Sans" w:hAnsi="Google Sans"/>
          <w:i w:val="1"/>
          <w:iCs w:val="1"/>
          <w:color w:val="1f1f1f"/>
          <w:rtl w:val="0"/>
        </w:rPr>
        <w:t xml:space="preserve">Callaloo</w:t>
      </w:r>
      <w:r w:rsidDel="00000000" w:rsidR="00000000" w:rsidRPr="00000000">
        <w:rPr>
          <w:rFonts w:ascii="Google Sans" w:cs="Google Sans" w:eastAsia="Google Sans" w:hAnsi="Google Sans"/>
          <w:color w:val="1f1f1f"/>
          <w:rtl w:val="0"/>
        </w:rPr>
        <w:t xml:space="preserve"> 26, no. 2 (2003): 342-362.</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Campt, Tina. </w:t>
      </w:r>
      <w:r w:rsidDel="00000000" w:rsidR="00000000" w:rsidRPr="00000000">
        <w:rPr>
          <w:rFonts w:ascii="Google Sans" w:cs="Google Sans" w:eastAsia="Google Sans" w:hAnsi="Google Sans"/>
          <w:i w:val="1"/>
          <w:iCs w:val="1"/>
          <w:color w:val="1f1f1f"/>
          <w:rtl w:val="0"/>
        </w:rPr>
        <w:t xml:space="preserve">Other Germans: Black Germans and the Politics of Race, Gender, and Memory in the Third Reich</w:t>
      </w:r>
      <w:r w:rsidDel="00000000" w:rsidR="00000000" w:rsidRPr="00000000">
        <w:rPr>
          <w:rFonts w:ascii="Google Sans" w:cs="Google Sans" w:eastAsia="Google Sans" w:hAnsi="Google Sans"/>
          <w:color w:val="1f1f1f"/>
          <w:rtl w:val="0"/>
        </w:rPr>
        <w:t xml:space="preserve">. Ann Arbor: University of Michigan Press, 2004.</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Moeller, Robert G., ed. </w:t>
      </w:r>
      <w:r w:rsidDel="00000000" w:rsidR="00000000" w:rsidRPr="00000000">
        <w:rPr>
          <w:rFonts w:ascii="Google Sans" w:cs="Google Sans" w:eastAsia="Google Sans" w:hAnsi="Google Sans"/>
          <w:i w:val="1"/>
          <w:iCs w:val="1"/>
          <w:color w:val="1f1f1f"/>
          <w:rtl w:val="0"/>
        </w:rPr>
        <w:t xml:space="preserve">West Germany under Construction: Politics, Society, and Culture in the Adenauer Era</w:t>
      </w:r>
      <w:r w:rsidDel="00000000" w:rsidR="00000000" w:rsidRPr="00000000">
        <w:rPr>
          <w:rFonts w:ascii="Google Sans" w:cs="Google Sans" w:eastAsia="Google Sans" w:hAnsi="Google Sans"/>
          <w:color w:val="1f1f1f"/>
          <w:rtl w:val="0"/>
        </w:rPr>
        <w:t xml:space="preserve">. Ann Arbor: University of Michigan Press, 1997.</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Poiger, Uta G. </w:t>
      </w:r>
      <w:r w:rsidDel="00000000" w:rsidR="00000000" w:rsidRPr="00000000">
        <w:rPr>
          <w:rFonts w:ascii="Google Sans" w:cs="Google Sans" w:eastAsia="Google Sans" w:hAnsi="Google Sans"/>
          <w:i w:val="1"/>
          <w:iCs w:val="1"/>
          <w:color w:val="1f1f1f"/>
          <w:rtl w:val="0"/>
        </w:rPr>
        <w:t xml:space="preserve">Jazz, Rock, and Rebels: Cold War Politics and American Culture in a Divided Germany</w:t>
      </w:r>
      <w:r w:rsidDel="00000000" w:rsidR="00000000" w:rsidRPr="00000000">
        <w:rPr>
          <w:rFonts w:ascii="Google Sans" w:cs="Google Sans" w:eastAsia="Google Sans" w:hAnsi="Google Sans"/>
          <w:color w:val="1f1f1f"/>
          <w:rtl w:val="0"/>
        </w:rPr>
        <w:t xml:space="preserve">. Berkeley: University of California Press, 2000.</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Lindenberger, Thomas. "Everyday History: New Approaches to the History of the Post-War Germanys." </w:t>
      </w:r>
      <w:r w:rsidDel="00000000" w:rsidR="00000000" w:rsidRPr="00000000">
        <w:rPr>
          <w:rFonts w:ascii="Google Sans" w:cs="Google Sans" w:eastAsia="Google Sans" w:hAnsi="Google Sans"/>
          <w:i w:val="1"/>
          <w:iCs w:val="1"/>
          <w:color w:val="1f1f1f"/>
          <w:rtl w:val="0"/>
        </w:rPr>
        <w:t xml:space="preserve">The Divided Past</w:t>
      </w:r>
      <w:r w:rsidDel="00000000" w:rsidR="00000000" w:rsidRPr="00000000">
        <w:rPr>
          <w:rFonts w:ascii="Google Sans" w:cs="Google Sans" w:eastAsia="Google Sans" w:hAnsi="Google Sans"/>
          <w:color w:val="1f1f1f"/>
          <w:rtl w:val="0"/>
        </w:rPr>
        <w:t xml:space="preserve">. Ed. Christoph Klessmann. Oxford: Berg, 2001. 43-67.</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Schildt, Axel, and Arnold Sywottek. </w:t>
      </w:r>
      <w:r w:rsidDel="00000000" w:rsidR="00000000" w:rsidRPr="00000000">
        <w:rPr>
          <w:rFonts w:ascii="Google Sans" w:cs="Google Sans" w:eastAsia="Google Sans" w:hAnsi="Google Sans"/>
          <w:i w:val="1"/>
          <w:iCs w:val="1"/>
          <w:color w:val="1f1f1f"/>
          <w:rtl w:val="0"/>
        </w:rPr>
        <w:t xml:space="preserve">Modernization in West Germany</w:t>
      </w:r>
      <w:r w:rsidDel="00000000" w:rsidR="00000000" w:rsidRPr="00000000">
        <w:rPr>
          <w:rFonts w:ascii="Google Sans" w:cs="Google Sans" w:eastAsia="Google Sans" w:hAnsi="Google Sans"/>
          <w:color w:val="1f1f1f"/>
          <w:rtl w:val="0"/>
        </w:rPr>
        <w:t xml:space="preserve">. Ann Arbor: University of Michigan Press, 1997.</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Kocka, Jürgen. </w:t>
      </w:r>
      <w:r w:rsidDel="00000000" w:rsidR="00000000" w:rsidRPr="00000000">
        <w:rPr>
          <w:rFonts w:ascii="Google Sans" w:cs="Google Sans" w:eastAsia="Google Sans" w:hAnsi="Google Sans"/>
          <w:i w:val="1"/>
          <w:iCs w:val="1"/>
          <w:color w:val="1f1f1f"/>
          <w:rtl w:val="0"/>
        </w:rPr>
        <w:t xml:space="preserve">Civil Society and Dictatorship in Modern German History</w:t>
      </w:r>
      <w:r w:rsidDel="00000000" w:rsidR="00000000" w:rsidRPr="00000000">
        <w:rPr>
          <w:rFonts w:ascii="Google Sans" w:cs="Google Sans" w:eastAsia="Google Sans" w:hAnsi="Google Sans"/>
          <w:color w:val="1f1f1f"/>
          <w:rtl w:val="0"/>
        </w:rPr>
        <w:t xml:space="preserve">. Hanover: University Press of New England, 2010.</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Chin, Rita. </w:t>
      </w:r>
      <w:r w:rsidDel="00000000" w:rsidR="00000000" w:rsidRPr="00000000">
        <w:rPr>
          <w:rFonts w:ascii="Google Sans" w:cs="Google Sans" w:eastAsia="Google Sans" w:hAnsi="Google Sans"/>
          <w:i w:val="1"/>
          <w:iCs w:val="1"/>
          <w:color w:val="1f1f1f"/>
          <w:rtl w:val="0"/>
        </w:rPr>
        <w:t xml:space="preserve">The Guest Worker Question in Postwar Germany</w:t>
      </w:r>
      <w:r w:rsidDel="00000000" w:rsidR="00000000" w:rsidRPr="00000000">
        <w:rPr>
          <w:rFonts w:ascii="Google Sans" w:cs="Google Sans" w:eastAsia="Google Sans" w:hAnsi="Google Sans"/>
          <w:color w:val="1f1f1f"/>
          <w:rtl w:val="0"/>
        </w:rPr>
        <w:t xml:space="preserve">. Cambridge: Cambridge University Press, 2007.</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Jarausch, Konrad H. "Care and Coercion: The GDR as Welfare Dictatorship." </w:t>
      </w:r>
      <w:r w:rsidDel="00000000" w:rsidR="00000000" w:rsidRPr="00000000">
        <w:rPr>
          <w:rFonts w:ascii="Google Sans" w:cs="Google Sans" w:eastAsia="Google Sans" w:hAnsi="Google Sans"/>
          <w:i w:val="1"/>
          <w:iCs w:val="1"/>
          <w:color w:val="1f1f1f"/>
          <w:rtl w:val="0"/>
        </w:rPr>
        <w:t xml:space="preserve">Dictatorship as Experience</w:t>
      </w:r>
      <w:r w:rsidDel="00000000" w:rsidR="00000000" w:rsidRPr="00000000">
        <w:rPr>
          <w:rFonts w:ascii="Google Sans" w:cs="Google Sans" w:eastAsia="Google Sans" w:hAnsi="Google Sans"/>
          <w:color w:val="1f1f1f"/>
          <w:rtl w:val="0"/>
        </w:rPr>
        <w:t xml:space="preserve">. Ed. Konrad H. Jarausch. New York: Berghahn, 1999.</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Koselleck, Reinhart. </w:t>
      </w:r>
      <w:r w:rsidDel="00000000" w:rsidR="00000000" w:rsidRPr="00000000">
        <w:rPr>
          <w:rFonts w:ascii="Google Sans" w:cs="Google Sans" w:eastAsia="Google Sans" w:hAnsi="Google Sans"/>
          <w:i w:val="1"/>
          <w:iCs w:val="1"/>
          <w:color w:val="1f1f1f"/>
          <w:rtl w:val="0"/>
        </w:rPr>
        <w:t xml:space="preserve">The Practice of Conceptual History: Timing History, Spacing Concepts</w:t>
      </w:r>
      <w:r w:rsidDel="00000000" w:rsidR="00000000" w:rsidRPr="00000000">
        <w:rPr>
          <w:rFonts w:ascii="Google Sans" w:cs="Google Sans" w:eastAsia="Google Sans" w:hAnsi="Google Sans"/>
          <w:color w:val="1f1f1f"/>
          <w:rtl w:val="0"/>
        </w:rPr>
        <w:t xml:space="preserve">. Stanford: Stanford University Press, 2002.</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7"/>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