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365" w:rsidRPr="000B11C2" w:rsidRDefault="00C3303D" w:rsidP="000B11C2">
      <w:pPr>
        <w:pStyle w:val="7"/>
        <w:numPr>
          <w:ilvl w:val="0"/>
          <w:numId w:val="3"/>
        </w:numPr>
        <w:spacing w:after="120" w:line="360" w:lineRule="auto"/>
        <w:ind w:left="674" w:hanging="630"/>
        <w:rPr>
          <w:rFonts w:cs="David"/>
          <w:sz w:val="28"/>
          <w:szCs w:val="28"/>
          <w:rtl/>
        </w:rPr>
      </w:pPr>
      <w:bookmarkStart w:id="0" w:name="_GoBack"/>
      <w:bookmarkEnd w:id="0"/>
      <w:r w:rsidRPr="000B11C2">
        <w:rPr>
          <w:rFonts w:cs="David"/>
          <w:sz w:val="28"/>
          <w:szCs w:val="28"/>
          <w:rtl/>
        </w:rPr>
        <w:t>מבוא</w:t>
      </w:r>
      <w:r w:rsidR="002302DF" w:rsidRPr="000B11C2">
        <w:rPr>
          <w:rFonts w:cs="David"/>
          <w:sz w:val="28"/>
          <w:szCs w:val="28"/>
          <w:rtl/>
        </w:rPr>
        <w:t xml:space="preserve"> ועיקרי הדברים</w:t>
      </w:r>
    </w:p>
    <w:p w:rsidR="00E75908" w:rsidRPr="000B11C2" w:rsidRDefault="00E75908" w:rsidP="000E3B23">
      <w:pPr>
        <w:pStyle w:val="a8"/>
        <w:tabs>
          <w:tab w:val="left" w:pos="674"/>
        </w:tabs>
        <w:spacing w:after="120" w:line="360" w:lineRule="auto"/>
        <w:ind w:left="44"/>
        <w:rPr>
          <w:rStyle w:val="emailstyle17"/>
          <w:rFonts w:cs="David"/>
          <w:sz w:val="26"/>
          <w:szCs w:val="26"/>
          <w:u w:val="single"/>
        </w:rPr>
      </w:pPr>
      <w:r w:rsidRPr="000B11C2">
        <w:rPr>
          <w:rStyle w:val="emailstyle17"/>
          <w:rFonts w:cs="David"/>
          <w:b/>
          <w:bCs/>
          <w:sz w:val="26"/>
          <w:szCs w:val="26"/>
          <w:rtl/>
        </w:rPr>
        <w:t>א.1.</w:t>
      </w:r>
      <w:r w:rsidRPr="000B11C2">
        <w:rPr>
          <w:rStyle w:val="emailstyle17"/>
          <w:rFonts w:cs="David"/>
          <w:b/>
          <w:bCs/>
          <w:sz w:val="26"/>
          <w:szCs w:val="26"/>
          <w:rtl/>
        </w:rPr>
        <w:tab/>
      </w:r>
      <w:r w:rsidRPr="000B11C2">
        <w:rPr>
          <w:rStyle w:val="emailstyle17"/>
          <w:rFonts w:cs="David"/>
          <w:b/>
          <w:bCs/>
          <w:sz w:val="26"/>
          <w:szCs w:val="26"/>
          <w:u w:val="single"/>
          <w:rtl/>
        </w:rPr>
        <w:t>העסקתו של המערער בחוזה בכירים</w:t>
      </w:r>
    </w:p>
    <w:p w:rsidR="0022735D" w:rsidRPr="000B11C2" w:rsidRDefault="00A50F9C" w:rsidP="0013771F">
      <w:pPr>
        <w:pStyle w:val="a8"/>
        <w:numPr>
          <w:ilvl w:val="0"/>
          <w:numId w:val="9"/>
        </w:numPr>
        <w:tabs>
          <w:tab w:val="left" w:pos="674"/>
        </w:tabs>
        <w:spacing w:after="220" w:line="360" w:lineRule="auto"/>
        <w:ind w:left="674" w:hanging="630"/>
        <w:rPr>
          <w:rFonts w:ascii="David" w:hAnsi="David" w:cs="David"/>
        </w:rPr>
      </w:pPr>
      <w:r w:rsidRPr="000B11C2">
        <w:rPr>
          <w:rFonts w:ascii="David" w:hAnsi="David" w:cs="David"/>
          <w:rtl/>
        </w:rPr>
        <w:t>המערער החל לעבוד במדינה כ"עובד ארעי" בשנת 1964 לתקופה של שמונה חודשים</w:t>
      </w:r>
      <w:r w:rsidR="000E3B23" w:rsidRPr="000B11C2">
        <w:rPr>
          <w:rFonts w:ascii="David" w:hAnsi="David" w:cs="David"/>
          <w:rtl/>
        </w:rPr>
        <w:t xml:space="preserve"> (שהמערער רכש בהמשך את זכויות הפנסיה ביחס לתקופה זאת)</w:t>
      </w:r>
      <w:r w:rsidRPr="000B11C2">
        <w:rPr>
          <w:rFonts w:ascii="David" w:hAnsi="David" w:cs="David"/>
          <w:rtl/>
        </w:rPr>
        <w:t xml:space="preserve">. </w:t>
      </w:r>
      <w:r w:rsidR="003B54C3" w:rsidRPr="000B11C2">
        <w:rPr>
          <w:rFonts w:ascii="David" w:hAnsi="David" w:cs="David"/>
          <w:rtl/>
        </w:rPr>
        <w:t>ב</w:t>
      </w:r>
      <w:r w:rsidRPr="000B11C2">
        <w:rPr>
          <w:rFonts w:ascii="David" w:hAnsi="David" w:cs="David"/>
          <w:rtl/>
        </w:rPr>
        <w:t xml:space="preserve">שנת 1970 חזר המערער לעבודה במדינה, במשרד האוצר, ועבד </w:t>
      </w:r>
      <w:r w:rsidR="003B54C3" w:rsidRPr="000B11C2">
        <w:rPr>
          <w:rFonts w:ascii="David" w:hAnsi="David" w:cs="David"/>
          <w:rtl/>
        </w:rPr>
        <w:t>ברציפות</w:t>
      </w:r>
      <w:r w:rsidRPr="000B11C2">
        <w:rPr>
          <w:rFonts w:ascii="David" w:hAnsi="David" w:cs="David"/>
          <w:rtl/>
        </w:rPr>
        <w:t xml:space="preserve"> במשך כ- 42 שנים, תחת שני חוזי התקשרות עיקריים</w:t>
      </w:r>
      <w:r w:rsidR="00655EE8">
        <w:rPr>
          <w:rStyle w:val="ac"/>
          <w:rFonts w:ascii="Arial" w:hAnsi="Arial" w:cs="David"/>
          <w:sz w:val="22"/>
          <w:rtl/>
        </w:rPr>
        <w:t xml:space="preserve"> </w:t>
      </w:r>
      <w:r w:rsidR="00655EE8">
        <w:rPr>
          <w:rFonts w:ascii="Arial" w:hAnsi="Arial" w:cs="David"/>
          <w:sz w:val="22"/>
          <w:rtl/>
        </w:rPr>
        <w:t>(סעיף 1 לפסק הדין)</w:t>
      </w:r>
      <w:r w:rsidRPr="000B11C2">
        <w:rPr>
          <w:rFonts w:ascii="David" w:hAnsi="David" w:cs="David"/>
          <w:rtl/>
        </w:rPr>
        <w:t>:</w:t>
      </w:r>
    </w:p>
    <w:p w:rsidR="0022735D" w:rsidRPr="000B11C2" w:rsidRDefault="0068513F" w:rsidP="0013771F">
      <w:pPr>
        <w:pStyle w:val="a8"/>
        <w:tabs>
          <w:tab w:val="left" w:pos="1178"/>
        </w:tabs>
        <w:spacing w:after="220" w:line="360" w:lineRule="auto"/>
        <w:ind w:left="1178" w:hanging="509"/>
        <w:rPr>
          <w:rFonts w:ascii="David" w:hAnsi="David" w:cs="David"/>
          <w:rtl/>
        </w:rPr>
      </w:pPr>
      <w:r w:rsidRPr="000B11C2">
        <w:rPr>
          <w:rFonts w:cs="David"/>
          <w:rtl/>
        </w:rPr>
        <w:t xml:space="preserve"> </w:t>
      </w:r>
      <w:r w:rsidRPr="000B11C2">
        <w:rPr>
          <w:rFonts w:ascii="David" w:hAnsi="David" w:cs="David"/>
          <w:b/>
          <w:bCs/>
          <w:u w:val="single"/>
          <w:rtl/>
        </w:rPr>
        <w:t>(1)</w:t>
      </w:r>
      <w:r w:rsidRPr="000B11C2">
        <w:rPr>
          <w:rFonts w:ascii="David" w:hAnsi="David" w:cs="David"/>
          <w:rtl/>
        </w:rPr>
        <w:t xml:space="preserve"> </w:t>
      </w:r>
      <w:r w:rsidR="000E3B23" w:rsidRPr="000B11C2">
        <w:rPr>
          <w:rFonts w:ascii="David" w:hAnsi="David" w:cs="David"/>
          <w:rtl/>
        </w:rPr>
        <w:tab/>
      </w:r>
      <w:r w:rsidRPr="000B11C2">
        <w:rPr>
          <w:rFonts w:ascii="David" w:hAnsi="David" w:cs="David"/>
          <w:b/>
          <w:bCs/>
          <w:rtl/>
        </w:rPr>
        <w:t xml:space="preserve">בתקופה שבין שנת 1970 ועד לשנת 1990 הועסק המערער </w:t>
      </w:r>
      <w:r w:rsidR="000E3B23" w:rsidRPr="000B11C2">
        <w:rPr>
          <w:rFonts w:ascii="David" w:hAnsi="David" w:cs="David"/>
          <w:b/>
          <w:bCs/>
          <w:rtl/>
        </w:rPr>
        <w:t xml:space="preserve">לפי כתב מינוי, </w:t>
      </w:r>
      <w:r w:rsidR="0022735D" w:rsidRPr="000B11C2">
        <w:rPr>
          <w:rFonts w:cs="David"/>
          <w:rtl/>
        </w:rPr>
        <w:t xml:space="preserve">במשרה צמיתה, שאינה מוגבלת בזמן (להלן: </w:t>
      </w:r>
      <w:r w:rsidR="000E3B23" w:rsidRPr="000B11C2">
        <w:rPr>
          <w:rFonts w:cs="David"/>
          <w:rtl/>
        </w:rPr>
        <w:t>"</w:t>
      </w:r>
      <w:r w:rsidR="0022735D" w:rsidRPr="000B11C2">
        <w:rPr>
          <w:rFonts w:cs="David"/>
          <w:b/>
          <w:bCs/>
          <w:rtl/>
        </w:rPr>
        <w:t>תקופת כתב המינוי</w:t>
      </w:r>
      <w:r w:rsidR="000E3B23" w:rsidRPr="000B11C2">
        <w:rPr>
          <w:rFonts w:cs="David"/>
          <w:rtl/>
        </w:rPr>
        <w:t>"</w:t>
      </w:r>
      <w:r w:rsidR="0022735D" w:rsidRPr="000B11C2">
        <w:rPr>
          <w:rFonts w:ascii="David" w:hAnsi="David" w:cs="David"/>
          <w:rtl/>
        </w:rPr>
        <w:t>)</w:t>
      </w:r>
      <w:r w:rsidR="00912E6B" w:rsidRPr="000B11C2">
        <w:rPr>
          <w:rFonts w:ascii="David" w:hAnsi="David" w:cs="David"/>
          <w:rtl/>
        </w:rPr>
        <w:t>;</w:t>
      </w:r>
      <w:r w:rsidR="00AA5571" w:rsidRPr="000B11C2">
        <w:rPr>
          <w:rFonts w:ascii="David" w:hAnsi="David" w:cs="David"/>
          <w:rtl/>
        </w:rPr>
        <w:t xml:space="preserve">  </w:t>
      </w:r>
    </w:p>
    <w:p w:rsidR="00AA5571" w:rsidRPr="000B11C2" w:rsidRDefault="0068513F" w:rsidP="0013771F">
      <w:pPr>
        <w:pStyle w:val="a8"/>
        <w:tabs>
          <w:tab w:val="left" w:pos="1178"/>
        </w:tabs>
        <w:spacing w:after="220" w:line="360" w:lineRule="auto"/>
        <w:ind w:left="1178" w:hanging="509"/>
        <w:rPr>
          <w:rtl/>
        </w:rPr>
      </w:pPr>
      <w:r w:rsidRPr="000B11C2">
        <w:rPr>
          <w:rFonts w:ascii="David" w:hAnsi="David" w:cs="David"/>
          <w:rtl/>
        </w:rPr>
        <w:t xml:space="preserve"> </w:t>
      </w:r>
      <w:r w:rsidRPr="000B11C2">
        <w:rPr>
          <w:rFonts w:ascii="David" w:hAnsi="David" w:cs="David"/>
          <w:b/>
          <w:bCs/>
          <w:u w:val="single"/>
          <w:rtl/>
        </w:rPr>
        <w:t>(2)</w:t>
      </w:r>
      <w:r w:rsidR="000E2088" w:rsidRPr="000B11C2">
        <w:rPr>
          <w:rFonts w:cs="David"/>
          <w:b/>
          <w:bCs/>
          <w:rtl/>
        </w:rPr>
        <w:t xml:space="preserve"> </w:t>
      </w:r>
      <w:r w:rsidR="000E3B23" w:rsidRPr="000B11C2">
        <w:rPr>
          <w:rFonts w:cs="David"/>
          <w:b/>
          <w:bCs/>
          <w:rtl/>
        </w:rPr>
        <w:tab/>
        <w:t>החל מ</w:t>
      </w:r>
      <w:r w:rsidR="00AA5571" w:rsidRPr="000B11C2">
        <w:rPr>
          <w:rFonts w:cs="David"/>
          <w:b/>
          <w:bCs/>
          <w:rtl/>
        </w:rPr>
        <w:t>שנת 1990 ועד לסיום עבודתו הכפוי של התובע בשנת 2012,</w:t>
      </w:r>
      <w:r w:rsidR="00AA5571" w:rsidRPr="000B11C2">
        <w:rPr>
          <w:rFonts w:cs="David"/>
          <w:rtl/>
        </w:rPr>
        <w:t xml:space="preserve"> </w:t>
      </w:r>
      <w:r w:rsidR="00AA5571" w:rsidRPr="000B11C2">
        <w:rPr>
          <w:rFonts w:cs="David"/>
          <w:b/>
          <w:bCs/>
          <w:rtl/>
        </w:rPr>
        <w:t xml:space="preserve">הועסק המערער בחוזה אישי (חוזה בכירים) </w:t>
      </w:r>
      <w:r w:rsidR="00912E6B" w:rsidRPr="000B11C2">
        <w:rPr>
          <w:rFonts w:cs="David"/>
          <w:b/>
          <w:bCs/>
          <w:rtl/>
        </w:rPr>
        <w:t xml:space="preserve">לתקופה קצובה, </w:t>
      </w:r>
      <w:r w:rsidR="00AA5571" w:rsidRPr="000B11C2">
        <w:rPr>
          <w:rFonts w:cs="David"/>
          <w:rtl/>
        </w:rPr>
        <w:t>שנוסח ונחתם בשם נציב שרות המדינה (להלן</w:t>
      </w:r>
      <w:r w:rsidR="000E3B23" w:rsidRPr="000B11C2">
        <w:rPr>
          <w:rFonts w:cs="David"/>
          <w:rtl/>
        </w:rPr>
        <w:t>:</w:t>
      </w:r>
      <w:r w:rsidR="00AA5571" w:rsidRPr="000B11C2">
        <w:rPr>
          <w:rFonts w:cs="David"/>
          <w:rtl/>
        </w:rPr>
        <w:t xml:space="preserve"> </w:t>
      </w:r>
      <w:r w:rsidR="000E3B23" w:rsidRPr="000B11C2">
        <w:rPr>
          <w:rFonts w:cs="David"/>
          <w:rtl/>
        </w:rPr>
        <w:t>"</w:t>
      </w:r>
      <w:r w:rsidR="00AA5571" w:rsidRPr="000B11C2">
        <w:rPr>
          <w:rFonts w:cs="David"/>
          <w:b/>
          <w:bCs/>
          <w:rtl/>
        </w:rPr>
        <w:t>החוזה</w:t>
      </w:r>
      <w:r w:rsidR="000E3B23" w:rsidRPr="000B11C2">
        <w:rPr>
          <w:rFonts w:cs="David"/>
          <w:rtl/>
        </w:rPr>
        <w:t>"</w:t>
      </w:r>
      <w:r w:rsidR="00AA5571" w:rsidRPr="000B11C2">
        <w:rPr>
          <w:rFonts w:cs="David"/>
          <w:rtl/>
        </w:rPr>
        <w:t>).</w:t>
      </w:r>
    </w:p>
    <w:p w:rsidR="000E2088" w:rsidRPr="000B11C2" w:rsidRDefault="00C752EC" w:rsidP="0013771F">
      <w:pPr>
        <w:pStyle w:val="a8"/>
        <w:numPr>
          <w:ilvl w:val="0"/>
          <w:numId w:val="9"/>
        </w:numPr>
        <w:tabs>
          <w:tab w:val="left" w:pos="674"/>
        </w:tabs>
        <w:spacing w:after="220" w:line="360" w:lineRule="auto"/>
        <w:ind w:left="674" w:hanging="630"/>
        <w:rPr>
          <w:rStyle w:val="emailstyle17"/>
          <w:rFonts w:ascii="David" w:hAnsi="David" w:cs="David"/>
          <w:color w:val="auto"/>
          <w:sz w:val="24"/>
        </w:rPr>
      </w:pPr>
      <w:r w:rsidRPr="000B11C2">
        <w:rPr>
          <w:rFonts w:cs="David"/>
          <w:rtl/>
        </w:rPr>
        <w:t xml:space="preserve">השינוי בצורת ההעסקה </w:t>
      </w:r>
      <w:r w:rsidR="00CA2B98" w:rsidRPr="000B11C2">
        <w:rPr>
          <w:rFonts w:cs="David"/>
          <w:rtl/>
        </w:rPr>
        <w:t>התרחש</w:t>
      </w:r>
      <w:r w:rsidR="000E2088" w:rsidRPr="000B11C2">
        <w:rPr>
          <w:rFonts w:cs="David"/>
          <w:b/>
          <w:bCs/>
          <w:rtl/>
        </w:rPr>
        <w:t xml:space="preserve"> </w:t>
      </w:r>
      <w:r w:rsidRPr="000B11C2">
        <w:rPr>
          <w:rFonts w:cs="David"/>
          <w:b/>
          <w:bCs/>
          <w:rtl/>
        </w:rPr>
        <w:t xml:space="preserve">ביוזמת המדינה </w:t>
      </w:r>
      <w:r w:rsidR="00B649E3" w:rsidRPr="000B11C2">
        <w:rPr>
          <w:rFonts w:cs="David"/>
          <w:b/>
          <w:bCs/>
          <w:rtl/>
        </w:rPr>
        <w:t>שרצתה ל</w:t>
      </w:r>
      <w:r w:rsidRPr="000B11C2">
        <w:rPr>
          <w:rFonts w:cs="David"/>
          <w:b/>
          <w:bCs/>
          <w:rtl/>
        </w:rPr>
        <w:t>שפר את תנאי העסקת עובדי</w:t>
      </w:r>
      <w:r w:rsidR="00CA2B98" w:rsidRPr="000B11C2">
        <w:rPr>
          <w:rFonts w:cs="David"/>
          <w:b/>
          <w:bCs/>
          <w:rtl/>
        </w:rPr>
        <w:t>ה</w:t>
      </w:r>
      <w:r w:rsidRPr="000B11C2">
        <w:rPr>
          <w:rFonts w:cs="David"/>
          <w:b/>
          <w:bCs/>
          <w:rtl/>
        </w:rPr>
        <w:t xml:space="preserve"> </w:t>
      </w:r>
      <w:r w:rsidR="00CA2B98" w:rsidRPr="000B11C2">
        <w:rPr>
          <w:rFonts w:cs="David"/>
          <w:b/>
          <w:bCs/>
          <w:rtl/>
        </w:rPr>
        <w:t>ה</w:t>
      </w:r>
      <w:r w:rsidRPr="000B11C2">
        <w:rPr>
          <w:rFonts w:cs="David"/>
          <w:b/>
          <w:bCs/>
          <w:rtl/>
        </w:rPr>
        <w:t>בכירים</w:t>
      </w:r>
      <w:r w:rsidR="00391D1E" w:rsidRPr="000B11C2">
        <w:rPr>
          <w:rFonts w:cs="David"/>
          <w:b/>
          <w:bCs/>
          <w:rtl/>
        </w:rPr>
        <w:t>,</w:t>
      </w:r>
      <w:r w:rsidRPr="000B11C2">
        <w:rPr>
          <w:rFonts w:cs="David"/>
          <w:b/>
          <w:bCs/>
          <w:rtl/>
        </w:rPr>
        <w:t xml:space="preserve"> </w:t>
      </w:r>
      <w:r w:rsidR="00CA2B98" w:rsidRPr="000B11C2">
        <w:rPr>
          <w:rFonts w:ascii="David" w:hAnsi="David" w:cs="David"/>
          <w:rtl/>
        </w:rPr>
        <w:t>שדרגתם היא אחת משתי הדרגות העליונות בדרוג המח"ר</w:t>
      </w:r>
      <w:r w:rsidR="00391D1E" w:rsidRPr="000B11C2">
        <w:rPr>
          <w:rFonts w:ascii="David" w:hAnsi="David" w:cs="David"/>
          <w:rtl/>
        </w:rPr>
        <w:t>, וזאת</w:t>
      </w:r>
      <w:r w:rsidR="00B649E3" w:rsidRPr="000B11C2">
        <w:rPr>
          <w:rFonts w:ascii="David" w:hAnsi="David" w:cs="David"/>
          <w:rtl/>
        </w:rPr>
        <w:t xml:space="preserve"> כדי להבטיח את המשך עבודתם בשרות המדינ</w:t>
      </w:r>
      <w:r w:rsidR="00B649E3" w:rsidRPr="001A50DD">
        <w:rPr>
          <w:rFonts w:ascii="David" w:hAnsi="David" w:cs="David"/>
          <w:rtl/>
        </w:rPr>
        <w:t>ה</w:t>
      </w:r>
      <w:r w:rsidR="00D408AF" w:rsidRPr="0013771F">
        <w:rPr>
          <w:rStyle w:val="ac"/>
          <w:rFonts w:ascii="David" w:hAnsi="David" w:cs="David"/>
          <w:rtl/>
        </w:rPr>
        <w:t xml:space="preserve"> </w:t>
      </w:r>
      <w:r w:rsidR="00D408AF" w:rsidRPr="0013771F">
        <w:rPr>
          <w:rFonts w:ascii="David" w:hAnsi="David" w:cs="David"/>
          <w:rtl/>
        </w:rPr>
        <w:t>(</w:t>
      </w:r>
      <w:r w:rsidR="00D408AF" w:rsidRPr="0013771F">
        <w:rPr>
          <w:rFonts w:ascii="David" w:hAnsi="David" w:cs="David"/>
          <w:i/>
          <w:iCs/>
          <w:rtl/>
        </w:rPr>
        <w:t>ראו המבוא לחוזה)</w:t>
      </w:r>
      <w:r w:rsidR="00D408AF" w:rsidRPr="001A50DD">
        <w:rPr>
          <w:rFonts w:ascii="David" w:hAnsi="David" w:cs="David"/>
          <w:rtl/>
        </w:rPr>
        <w:t>.</w:t>
      </w:r>
      <w:r w:rsidR="00D408AF" w:rsidRPr="000B11C2">
        <w:rPr>
          <w:rFonts w:ascii="David" w:hAnsi="David" w:cs="David"/>
          <w:rtl/>
        </w:rPr>
        <w:t xml:space="preserve"> </w:t>
      </w:r>
      <w:r w:rsidR="00B649E3" w:rsidRPr="000B11C2">
        <w:rPr>
          <w:rFonts w:cs="David"/>
          <w:b/>
          <w:bCs/>
          <w:rtl/>
        </w:rPr>
        <w:t>ל</w:t>
      </w:r>
      <w:r w:rsidR="00CA2B98" w:rsidRPr="000B11C2">
        <w:rPr>
          <w:rFonts w:cs="David"/>
          <w:b/>
          <w:bCs/>
          <w:rtl/>
        </w:rPr>
        <w:t>מ</w:t>
      </w:r>
      <w:r w:rsidRPr="000B11C2">
        <w:rPr>
          <w:rFonts w:cs="David"/>
          <w:b/>
          <w:bCs/>
          <w:rtl/>
        </w:rPr>
        <w:t>ערער</w:t>
      </w:r>
      <w:r w:rsidRPr="000B11C2">
        <w:rPr>
          <w:rFonts w:cs="David"/>
          <w:rtl/>
        </w:rPr>
        <w:t xml:space="preserve">, </w:t>
      </w:r>
      <w:r w:rsidR="00B649E3" w:rsidRPr="000B11C2">
        <w:rPr>
          <w:rStyle w:val="emailstyle17"/>
          <w:rFonts w:cs="David"/>
          <w:color w:val="auto"/>
          <w:sz w:val="22"/>
          <w:rtl/>
        </w:rPr>
        <w:t xml:space="preserve">שבאותה </w:t>
      </w:r>
      <w:r w:rsidR="009B45B7" w:rsidRPr="000B11C2">
        <w:rPr>
          <w:rStyle w:val="emailstyle17"/>
          <w:rFonts w:cs="David"/>
          <w:color w:val="auto"/>
          <w:sz w:val="22"/>
          <w:rtl/>
        </w:rPr>
        <w:t xml:space="preserve">עת </w:t>
      </w:r>
      <w:r w:rsidRPr="000B11C2">
        <w:rPr>
          <w:rStyle w:val="emailstyle17"/>
          <w:rFonts w:cs="David"/>
          <w:color w:val="auto"/>
          <w:sz w:val="22"/>
          <w:rtl/>
        </w:rPr>
        <w:t>הועסק כחשב בכיר בדרגה 12</w:t>
      </w:r>
      <w:r w:rsidR="00391D1E" w:rsidRPr="000B11C2">
        <w:rPr>
          <w:rStyle w:val="emailstyle17"/>
          <w:rFonts w:cs="David"/>
          <w:color w:val="auto"/>
          <w:sz w:val="22"/>
          <w:rtl/>
        </w:rPr>
        <w:t xml:space="preserve"> -</w:t>
      </w:r>
      <w:r w:rsidRPr="000B11C2">
        <w:rPr>
          <w:rStyle w:val="emailstyle17"/>
          <w:rFonts w:cs="David"/>
          <w:color w:val="auto"/>
          <w:sz w:val="22"/>
          <w:rtl/>
        </w:rPr>
        <w:t xml:space="preserve"> דרגה אחת מתחת לדרגת השיא בסולם דרגות המח"ר בזמנו</w:t>
      </w:r>
      <w:r w:rsidR="00CA2B98" w:rsidRPr="000B11C2">
        <w:rPr>
          <w:rFonts w:cs="David"/>
          <w:rtl/>
        </w:rPr>
        <w:t>,</w:t>
      </w:r>
      <w:r w:rsidR="0068513F" w:rsidRPr="000B11C2">
        <w:rPr>
          <w:rFonts w:ascii="David" w:hAnsi="David" w:cs="David"/>
          <w:rtl/>
        </w:rPr>
        <w:t xml:space="preserve"> </w:t>
      </w:r>
      <w:r w:rsidR="00B649E3" w:rsidRPr="000B11C2">
        <w:rPr>
          <w:rFonts w:cs="David"/>
          <w:rtl/>
        </w:rPr>
        <w:t xml:space="preserve">הוצע </w:t>
      </w:r>
      <w:r w:rsidR="006651D8" w:rsidRPr="000B11C2">
        <w:rPr>
          <w:rFonts w:cs="David"/>
          <w:rtl/>
        </w:rPr>
        <w:t>לוותר על כתב המינוי</w:t>
      </w:r>
      <w:r w:rsidR="00391D1E" w:rsidRPr="000B11C2">
        <w:rPr>
          <w:rFonts w:cs="David"/>
          <w:rtl/>
        </w:rPr>
        <w:t>,</w:t>
      </w:r>
      <w:r w:rsidR="00CA2B98" w:rsidRPr="000B11C2">
        <w:rPr>
          <w:rFonts w:cs="David"/>
          <w:rtl/>
        </w:rPr>
        <w:t xml:space="preserve"> </w:t>
      </w:r>
      <w:r w:rsidR="006651D8" w:rsidRPr="000B11C2">
        <w:rPr>
          <w:rFonts w:cs="David"/>
          <w:rtl/>
        </w:rPr>
        <w:t>ו</w:t>
      </w:r>
      <w:r w:rsidR="00CA2B98" w:rsidRPr="000B11C2">
        <w:rPr>
          <w:rFonts w:cs="David"/>
          <w:rtl/>
        </w:rPr>
        <w:t xml:space="preserve">ממילא גם </w:t>
      </w:r>
      <w:r w:rsidR="000E2088" w:rsidRPr="000B11C2">
        <w:rPr>
          <w:rFonts w:cs="David"/>
          <w:rtl/>
        </w:rPr>
        <w:t xml:space="preserve">על </w:t>
      </w:r>
      <w:r w:rsidR="006651D8" w:rsidRPr="000B11C2">
        <w:rPr>
          <w:rFonts w:cs="David"/>
          <w:rtl/>
        </w:rPr>
        <w:t xml:space="preserve">הקביעות </w:t>
      </w:r>
      <w:r w:rsidR="00061658" w:rsidRPr="000B11C2">
        <w:rPr>
          <w:rStyle w:val="emailstyle17"/>
          <w:rFonts w:cs="David"/>
          <w:color w:val="auto"/>
          <w:sz w:val="22"/>
          <w:rtl/>
        </w:rPr>
        <w:t xml:space="preserve">הנובעת מכך, </w:t>
      </w:r>
      <w:r w:rsidR="000E2088" w:rsidRPr="000B11C2">
        <w:rPr>
          <w:rStyle w:val="emailstyle17"/>
          <w:rFonts w:cs="David"/>
          <w:color w:val="auto"/>
          <w:sz w:val="22"/>
          <w:rtl/>
        </w:rPr>
        <w:t>ולהעסיק</w:t>
      </w:r>
      <w:r w:rsidR="00CA2B98" w:rsidRPr="000B11C2">
        <w:rPr>
          <w:rStyle w:val="emailstyle17"/>
          <w:rFonts w:cs="David"/>
          <w:color w:val="auto"/>
          <w:sz w:val="22"/>
          <w:rtl/>
        </w:rPr>
        <w:t>ו</w:t>
      </w:r>
      <w:r w:rsidR="000E2088" w:rsidRPr="000B11C2">
        <w:rPr>
          <w:rStyle w:val="emailstyle17"/>
          <w:rFonts w:cs="David"/>
          <w:color w:val="auto"/>
          <w:sz w:val="22"/>
          <w:rtl/>
        </w:rPr>
        <w:t xml:space="preserve"> </w:t>
      </w:r>
      <w:r w:rsidR="000E2088" w:rsidRPr="000B11C2">
        <w:rPr>
          <w:rStyle w:val="emailstyle17"/>
          <w:rFonts w:cs="David"/>
          <w:bCs/>
          <w:color w:val="auto"/>
          <w:sz w:val="22"/>
          <w:rtl/>
        </w:rPr>
        <w:t>בתנאי שכר ופרישה משופרים</w:t>
      </w:r>
      <w:r w:rsidR="000E2088" w:rsidRPr="000B11C2">
        <w:rPr>
          <w:rStyle w:val="emailstyle17"/>
          <w:rFonts w:cs="David"/>
          <w:color w:val="auto"/>
          <w:sz w:val="22"/>
          <w:rtl/>
        </w:rPr>
        <w:t xml:space="preserve">, בחוזה אישי </w:t>
      </w:r>
      <w:r w:rsidR="000E2088" w:rsidRPr="000B11C2">
        <w:rPr>
          <w:rStyle w:val="emailstyle17"/>
          <w:rFonts w:cs="David"/>
          <w:bCs/>
          <w:color w:val="auto"/>
          <w:sz w:val="22"/>
          <w:rtl/>
        </w:rPr>
        <w:t>לתקופה קצובה</w:t>
      </w:r>
      <w:r w:rsidR="000E2088" w:rsidRPr="000B11C2">
        <w:rPr>
          <w:rStyle w:val="emailstyle17"/>
          <w:rFonts w:cs="David"/>
          <w:color w:val="auto"/>
          <w:sz w:val="22"/>
          <w:rtl/>
        </w:rPr>
        <w:t xml:space="preserve">, </w:t>
      </w:r>
      <w:r w:rsidR="000E2088" w:rsidRPr="000B11C2">
        <w:rPr>
          <w:rStyle w:val="emailstyle17"/>
          <w:rFonts w:cs="David"/>
          <w:b/>
          <w:bCs/>
          <w:color w:val="auto"/>
          <w:sz w:val="22"/>
          <w:rtl/>
        </w:rPr>
        <w:t>שיחודש</w:t>
      </w:r>
      <w:r w:rsidR="0031090D" w:rsidRPr="000B11C2">
        <w:rPr>
          <w:rStyle w:val="emailstyle17"/>
          <w:rFonts w:cs="David"/>
          <w:b/>
          <w:bCs/>
          <w:color w:val="auto"/>
          <w:sz w:val="22"/>
          <w:rtl/>
        </w:rPr>
        <w:t xml:space="preserve"> </w:t>
      </w:r>
      <w:r w:rsidR="0031090D" w:rsidRPr="000B11C2">
        <w:rPr>
          <w:rStyle w:val="emailstyle17"/>
          <w:rFonts w:cs="David"/>
          <w:b/>
          <w:bCs/>
          <w:color w:val="auto"/>
          <w:sz w:val="22"/>
          <w:u w:val="single"/>
          <w:rtl/>
        </w:rPr>
        <w:t>מאליו</w:t>
      </w:r>
      <w:r w:rsidR="000E2088" w:rsidRPr="000B11C2">
        <w:rPr>
          <w:rStyle w:val="emailstyle17"/>
          <w:rFonts w:cs="David"/>
          <w:b/>
          <w:bCs/>
          <w:color w:val="auto"/>
          <w:sz w:val="22"/>
          <w:rtl/>
        </w:rPr>
        <w:t xml:space="preserve"> מדי 4 שנים</w:t>
      </w:r>
      <w:r w:rsidR="00D408AF">
        <w:rPr>
          <w:rStyle w:val="ac"/>
          <w:rFonts w:ascii="Arial" w:hAnsi="Arial" w:cs="David"/>
          <w:sz w:val="22"/>
          <w:rtl/>
        </w:rPr>
        <w:t xml:space="preserve"> </w:t>
      </w:r>
      <w:r w:rsidR="00D408AF">
        <w:rPr>
          <w:rFonts w:ascii="Arial" w:hAnsi="Arial" w:cs="David"/>
          <w:sz w:val="22"/>
          <w:rtl/>
        </w:rPr>
        <w:t>(</w:t>
      </w:r>
      <w:r w:rsidR="00D408AF" w:rsidRPr="0013771F">
        <w:rPr>
          <w:rFonts w:ascii="Arial" w:hAnsi="Arial" w:cs="David"/>
          <w:i/>
          <w:iCs/>
          <w:sz w:val="22"/>
          <w:rtl/>
        </w:rPr>
        <w:t>החוזה צורף כנספח 1 לכתב התביעה</w:t>
      </w:r>
      <w:r w:rsidR="00D408AF">
        <w:rPr>
          <w:rFonts w:ascii="Arial" w:hAnsi="Arial" w:cs="David"/>
          <w:sz w:val="22"/>
          <w:rtl/>
        </w:rPr>
        <w:t>)</w:t>
      </w:r>
      <w:r w:rsidR="00D408AF" w:rsidRPr="000B11C2">
        <w:rPr>
          <w:rStyle w:val="emailstyle17"/>
          <w:rFonts w:cs="David"/>
          <w:color w:val="auto"/>
          <w:sz w:val="22"/>
          <w:rtl/>
        </w:rPr>
        <w:t>.</w:t>
      </w:r>
    </w:p>
    <w:p w:rsidR="00E5283C" w:rsidRPr="000B11C2" w:rsidRDefault="00E5283C" w:rsidP="0013771F">
      <w:pPr>
        <w:pStyle w:val="a8"/>
        <w:numPr>
          <w:ilvl w:val="0"/>
          <w:numId w:val="9"/>
        </w:numPr>
        <w:tabs>
          <w:tab w:val="left" w:pos="674"/>
        </w:tabs>
        <w:spacing w:after="220" w:line="360" w:lineRule="auto"/>
        <w:ind w:left="674" w:hanging="630"/>
        <w:rPr>
          <w:rFonts w:cs="David"/>
        </w:rPr>
      </w:pPr>
      <w:r w:rsidRPr="000B11C2">
        <w:rPr>
          <w:rFonts w:cs="David"/>
          <w:rtl/>
        </w:rPr>
        <w:t xml:space="preserve">מרכיב מרכזי </w:t>
      </w:r>
      <w:r w:rsidR="00CF5D73">
        <w:rPr>
          <w:rFonts w:cs="David"/>
          <w:rtl/>
        </w:rPr>
        <w:t>החוזה הוא</w:t>
      </w:r>
      <w:r w:rsidRPr="000B11C2">
        <w:rPr>
          <w:rFonts w:cs="David"/>
          <w:rtl/>
        </w:rPr>
        <w:t xml:space="preserve"> הקביעה המפורשת בחוזה כי </w:t>
      </w:r>
      <w:r w:rsidRPr="0013771F">
        <w:rPr>
          <w:rFonts w:cs="David"/>
          <w:b/>
          <w:bCs/>
          <w:rtl/>
        </w:rPr>
        <w:t xml:space="preserve">חוק שירות המדינה (גימלאות) [נוסח משולב], תש"ל </w:t>
      </w:r>
      <w:r w:rsidRPr="001A50DD">
        <w:rPr>
          <w:rFonts w:cs="David"/>
          <w:b/>
          <w:bCs/>
          <w:rtl/>
        </w:rPr>
        <w:t>–</w:t>
      </w:r>
      <w:r w:rsidRPr="0013771F">
        <w:rPr>
          <w:rFonts w:cs="David"/>
          <w:b/>
          <w:bCs/>
          <w:rtl/>
        </w:rPr>
        <w:t xml:space="preserve"> 1970 </w:t>
      </w:r>
      <w:r w:rsidRPr="001A50DD">
        <w:rPr>
          <w:rFonts w:cs="David"/>
          <w:rtl/>
        </w:rPr>
        <w:t>(להלן: "חוק הגימלאות")</w:t>
      </w:r>
      <w:r w:rsidRPr="0013771F">
        <w:rPr>
          <w:rFonts w:cs="David"/>
          <w:b/>
          <w:bCs/>
          <w:rtl/>
        </w:rPr>
        <w:t xml:space="preserve"> </w:t>
      </w:r>
      <w:r w:rsidRPr="0013771F">
        <w:rPr>
          <w:rFonts w:cs="David"/>
          <w:b/>
          <w:bCs/>
          <w:u w:val="single"/>
          <w:rtl/>
        </w:rPr>
        <w:t>אינו</w:t>
      </w:r>
      <w:r w:rsidRPr="0013771F">
        <w:rPr>
          <w:rFonts w:cs="David"/>
          <w:b/>
          <w:bCs/>
          <w:rtl/>
        </w:rPr>
        <w:t xml:space="preserve"> חל על היחסים בין הצדדים</w:t>
      </w:r>
      <w:r w:rsidRPr="000B11C2">
        <w:rPr>
          <w:rFonts w:cs="David"/>
          <w:rtl/>
        </w:rPr>
        <w:t>, אלא במידה שנקבעה בחוזה</w:t>
      </w:r>
      <w:r w:rsidR="00CF5D73">
        <w:rPr>
          <w:rFonts w:cs="David"/>
          <w:rtl/>
        </w:rPr>
        <w:t xml:space="preserve"> </w:t>
      </w:r>
      <w:r w:rsidR="00CF5D73" w:rsidRPr="000B11C2">
        <w:rPr>
          <w:rFonts w:cs="David"/>
          <w:rtl/>
        </w:rPr>
        <w:t>(בעניין זה נרחיב בהמשך)</w:t>
      </w:r>
      <w:r w:rsidRPr="000B11C2">
        <w:rPr>
          <w:rFonts w:cs="David"/>
          <w:rtl/>
        </w:rPr>
        <w:t>.</w:t>
      </w:r>
    </w:p>
    <w:p w:rsidR="00F60EF7" w:rsidRPr="000B11C2" w:rsidRDefault="000E2088" w:rsidP="0013771F">
      <w:pPr>
        <w:pStyle w:val="a8"/>
        <w:numPr>
          <w:ilvl w:val="0"/>
          <w:numId w:val="9"/>
        </w:numPr>
        <w:tabs>
          <w:tab w:val="left" w:pos="674"/>
        </w:tabs>
        <w:spacing w:after="220" w:line="360" w:lineRule="auto"/>
        <w:ind w:left="674" w:hanging="630"/>
        <w:rPr>
          <w:rFonts w:cs="David"/>
        </w:rPr>
      </w:pPr>
      <w:r w:rsidRPr="000B11C2">
        <w:rPr>
          <w:rFonts w:cs="David"/>
          <w:rtl/>
        </w:rPr>
        <w:t xml:space="preserve">על אף הסיכונים בוויתור על הקביעות, במיוחד לעובדים </w:t>
      </w:r>
      <w:r w:rsidR="00E5283C" w:rsidRPr="000B11C2">
        <w:rPr>
          <w:rFonts w:cs="David"/>
          <w:rtl/>
        </w:rPr>
        <w:t>צעירים</w:t>
      </w:r>
      <w:r w:rsidRPr="000B11C2">
        <w:rPr>
          <w:rFonts w:cs="David"/>
          <w:rtl/>
        </w:rPr>
        <w:t xml:space="preserve">, </w:t>
      </w:r>
      <w:r w:rsidR="00796120" w:rsidRPr="000B11C2">
        <w:rPr>
          <w:rFonts w:cs="David"/>
          <w:rtl/>
        </w:rPr>
        <w:t xml:space="preserve">ומתוך אמון ביכולותיו האישיות, </w:t>
      </w:r>
      <w:r w:rsidR="009A298B" w:rsidRPr="000B11C2">
        <w:rPr>
          <w:rFonts w:cs="David"/>
          <w:rtl/>
        </w:rPr>
        <w:t xml:space="preserve">ובהסתמכו על סעיף 17 לחוזה </w:t>
      </w:r>
      <w:r w:rsidR="00E5283C" w:rsidRPr="000B11C2">
        <w:rPr>
          <w:rFonts w:cs="David"/>
          <w:rtl/>
        </w:rPr>
        <w:t xml:space="preserve">לפיו </w:t>
      </w:r>
      <w:r w:rsidR="009A298B" w:rsidRPr="000B11C2">
        <w:rPr>
          <w:rFonts w:cs="David"/>
          <w:rtl/>
        </w:rPr>
        <w:t xml:space="preserve">ככל שיהיו שינויים לטובת העובדים באותו מעמד </w:t>
      </w:r>
      <w:r w:rsidR="00E5283C" w:rsidRPr="000B11C2">
        <w:rPr>
          <w:rFonts w:cs="David"/>
          <w:rtl/>
        </w:rPr>
        <w:t>כשלו,</w:t>
      </w:r>
      <w:r w:rsidR="009A298B" w:rsidRPr="000B11C2">
        <w:rPr>
          <w:rFonts w:cs="David"/>
          <w:rtl/>
        </w:rPr>
        <w:t xml:space="preserve"> הם יחולו גם עליו, הסכים </w:t>
      </w:r>
      <w:r w:rsidRPr="000B11C2">
        <w:rPr>
          <w:rFonts w:cs="David"/>
          <w:rtl/>
        </w:rPr>
        <w:t xml:space="preserve">המערער (שהיה בן 45 באותה עת) להפסקת שירותו בכתב מינוי, ולחתום על </w:t>
      </w:r>
      <w:r w:rsidR="00E5283C" w:rsidRPr="000B11C2">
        <w:rPr>
          <w:rFonts w:cs="David"/>
          <w:rtl/>
        </w:rPr>
        <w:t>ה</w:t>
      </w:r>
      <w:r w:rsidRPr="000B11C2">
        <w:rPr>
          <w:rFonts w:cs="David"/>
          <w:rtl/>
        </w:rPr>
        <w:t>חוזה</w:t>
      </w:r>
      <w:r w:rsidR="003C5CA9" w:rsidRPr="000B11C2">
        <w:rPr>
          <w:rFonts w:cs="David"/>
          <w:rtl/>
        </w:rPr>
        <w:t>.</w:t>
      </w:r>
    </w:p>
    <w:p w:rsidR="00500796" w:rsidRPr="000B11C2" w:rsidRDefault="009A298B" w:rsidP="0013771F">
      <w:pPr>
        <w:pStyle w:val="a8"/>
        <w:tabs>
          <w:tab w:val="left" w:pos="674"/>
        </w:tabs>
        <w:spacing w:after="220" w:line="360" w:lineRule="auto"/>
        <w:ind w:left="674"/>
        <w:rPr>
          <w:rFonts w:cs="David"/>
        </w:rPr>
      </w:pPr>
      <w:r w:rsidRPr="000B11C2">
        <w:rPr>
          <w:rFonts w:cs="David"/>
          <w:rtl/>
        </w:rPr>
        <w:t xml:space="preserve">החוזה </w:t>
      </w:r>
      <w:r w:rsidR="00D43524" w:rsidRPr="000B11C2">
        <w:rPr>
          <w:rFonts w:cs="David"/>
          <w:rtl/>
        </w:rPr>
        <w:t xml:space="preserve">נכנס </w:t>
      </w:r>
      <w:r w:rsidRPr="000B11C2">
        <w:rPr>
          <w:rFonts w:cs="David"/>
          <w:rtl/>
        </w:rPr>
        <w:t xml:space="preserve">לתוקף </w:t>
      </w:r>
      <w:r w:rsidR="00D43524" w:rsidRPr="000B11C2">
        <w:rPr>
          <w:rFonts w:cs="David"/>
          <w:rtl/>
        </w:rPr>
        <w:t xml:space="preserve">ב-1.4.1990 </w:t>
      </w:r>
      <w:r w:rsidRPr="000B11C2">
        <w:rPr>
          <w:rFonts w:cs="David"/>
          <w:rtl/>
        </w:rPr>
        <w:t xml:space="preserve">והמערער הועסק על פיו </w:t>
      </w:r>
      <w:r w:rsidR="006651D8" w:rsidRPr="000B11C2">
        <w:rPr>
          <w:rFonts w:cs="David"/>
          <w:rtl/>
        </w:rPr>
        <w:t>מ</w:t>
      </w:r>
      <w:r w:rsidRPr="000B11C2">
        <w:rPr>
          <w:rFonts w:cs="David"/>
          <w:rtl/>
        </w:rPr>
        <w:t xml:space="preserve">אותו </w:t>
      </w:r>
      <w:r w:rsidR="006651D8" w:rsidRPr="000B11C2">
        <w:rPr>
          <w:rFonts w:cs="David"/>
          <w:rtl/>
        </w:rPr>
        <w:t xml:space="preserve">יום </w:t>
      </w:r>
      <w:r w:rsidR="006C0793" w:rsidRPr="000B11C2">
        <w:rPr>
          <w:rFonts w:cs="David"/>
          <w:b/>
          <w:bCs/>
          <w:rtl/>
        </w:rPr>
        <w:t>לתקופה קצובה של 4 שנים</w:t>
      </w:r>
      <w:r w:rsidR="00B81FCC" w:rsidRPr="000B11C2">
        <w:rPr>
          <w:rFonts w:cs="David"/>
          <w:rtl/>
        </w:rPr>
        <w:t>.</w:t>
      </w:r>
      <w:r w:rsidR="006C0793" w:rsidRPr="000B11C2">
        <w:rPr>
          <w:rFonts w:cs="David"/>
          <w:rtl/>
        </w:rPr>
        <w:t xml:space="preserve"> תוקפו </w:t>
      </w:r>
      <w:r w:rsidR="00B81FCC" w:rsidRPr="000B11C2">
        <w:rPr>
          <w:rFonts w:cs="David"/>
          <w:rtl/>
        </w:rPr>
        <w:t xml:space="preserve">של החוזה </w:t>
      </w:r>
      <w:r w:rsidR="006C0793" w:rsidRPr="000B11C2">
        <w:rPr>
          <w:rFonts w:cs="David"/>
          <w:rtl/>
        </w:rPr>
        <w:t>הוארך</w:t>
      </w:r>
      <w:r w:rsidR="0031090D" w:rsidRPr="000B11C2">
        <w:rPr>
          <w:rFonts w:cs="David"/>
          <w:rtl/>
        </w:rPr>
        <w:t xml:space="preserve"> מאליו</w:t>
      </w:r>
      <w:r w:rsidR="00D43524" w:rsidRPr="000B11C2">
        <w:rPr>
          <w:rFonts w:cs="David"/>
          <w:rtl/>
        </w:rPr>
        <w:t xml:space="preserve"> חמש פעמים,</w:t>
      </w:r>
      <w:r w:rsidR="00E37E36" w:rsidRPr="000B11C2">
        <w:rPr>
          <w:rFonts w:cs="David"/>
          <w:rtl/>
        </w:rPr>
        <w:t xml:space="preserve"> </w:t>
      </w:r>
      <w:r w:rsidR="003C5CA9" w:rsidRPr="000B11C2">
        <w:rPr>
          <w:rFonts w:cs="David"/>
          <w:rtl/>
        </w:rPr>
        <w:t>לאחרונה ב</w:t>
      </w:r>
      <w:r w:rsidR="00E37E36" w:rsidRPr="000B11C2">
        <w:rPr>
          <w:rFonts w:cs="David"/>
          <w:rtl/>
        </w:rPr>
        <w:t xml:space="preserve">יום </w:t>
      </w:r>
      <w:r w:rsidR="003C5CA9" w:rsidRPr="000B11C2">
        <w:rPr>
          <w:rFonts w:cs="David"/>
          <w:rtl/>
        </w:rPr>
        <w:t>1.4.2010</w:t>
      </w:r>
      <w:r w:rsidR="00E37E36" w:rsidRPr="000B11C2">
        <w:rPr>
          <w:rFonts w:cs="David"/>
          <w:rtl/>
        </w:rPr>
        <w:t>,</w:t>
      </w:r>
      <w:r w:rsidR="00B0532B" w:rsidRPr="000B11C2">
        <w:rPr>
          <w:rFonts w:cs="David"/>
          <w:rtl/>
        </w:rPr>
        <w:t xml:space="preserve"> </w:t>
      </w:r>
      <w:r w:rsidR="00E37E36" w:rsidRPr="000B11C2">
        <w:rPr>
          <w:rFonts w:cs="David"/>
          <w:b/>
          <w:bCs/>
          <w:rtl/>
        </w:rPr>
        <w:t>ו</w:t>
      </w:r>
      <w:r w:rsidR="00B0532B" w:rsidRPr="000B11C2">
        <w:rPr>
          <w:rFonts w:cs="David"/>
          <w:b/>
          <w:bCs/>
          <w:rtl/>
        </w:rPr>
        <w:t>היה אמור להסתיים ביום 31.3.2014</w:t>
      </w:r>
      <w:r w:rsidR="00B0532B" w:rsidRPr="000B11C2">
        <w:rPr>
          <w:rFonts w:cs="David"/>
          <w:rtl/>
        </w:rPr>
        <w:t xml:space="preserve">. </w:t>
      </w:r>
    </w:p>
    <w:p w:rsidR="00950634" w:rsidRPr="000B11C2" w:rsidRDefault="00950634" w:rsidP="0013771F">
      <w:pPr>
        <w:pStyle w:val="a8"/>
        <w:numPr>
          <w:ilvl w:val="0"/>
          <w:numId w:val="9"/>
        </w:numPr>
        <w:tabs>
          <w:tab w:val="left" w:pos="674"/>
        </w:tabs>
        <w:spacing w:after="220" w:line="360" w:lineRule="auto"/>
        <w:ind w:left="674" w:hanging="630"/>
        <w:rPr>
          <w:rFonts w:cs="David"/>
        </w:rPr>
      </w:pPr>
      <w:r w:rsidRPr="000B11C2">
        <w:rPr>
          <w:rFonts w:cs="David"/>
          <w:rtl/>
        </w:rPr>
        <w:t xml:space="preserve">בשנת 1995 ביקשה </w:t>
      </w:r>
      <w:r w:rsidR="00E37E36" w:rsidRPr="000B11C2">
        <w:rPr>
          <w:rFonts w:cs="David"/>
          <w:rtl/>
        </w:rPr>
        <w:t>ה</w:t>
      </w:r>
      <w:r w:rsidRPr="000B11C2">
        <w:rPr>
          <w:rFonts w:cs="David"/>
          <w:rtl/>
        </w:rPr>
        <w:t>נציבות לשנות את נוסח החוזה, כך ש</w:t>
      </w:r>
      <w:r w:rsidR="00E37E36" w:rsidRPr="000B11C2">
        <w:rPr>
          <w:rFonts w:cs="David"/>
          <w:rtl/>
        </w:rPr>
        <w:t>ה</w:t>
      </w:r>
      <w:r w:rsidRPr="000B11C2">
        <w:rPr>
          <w:rFonts w:cs="David"/>
          <w:rtl/>
        </w:rPr>
        <w:t>הארכ</w:t>
      </w:r>
      <w:r w:rsidR="00E37E36" w:rsidRPr="000B11C2">
        <w:rPr>
          <w:rFonts w:cs="David"/>
          <w:rtl/>
        </w:rPr>
        <w:t xml:space="preserve">ה </w:t>
      </w:r>
      <w:r w:rsidRPr="000B11C2">
        <w:rPr>
          <w:rFonts w:cs="David"/>
          <w:rtl/>
        </w:rPr>
        <w:t>בתום תוקפו לא תהיה "מאליו</w:t>
      </w:r>
      <w:r w:rsidR="00E37E36" w:rsidRPr="000B11C2">
        <w:rPr>
          <w:rFonts w:cs="David"/>
          <w:rtl/>
        </w:rPr>
        <w:t xml:space="preserve">", </w:t>
      </w:r>
      <w:r w:rsidRPr="000B11C2">
        <w:rPr>
          <w:rFonts w:cs="David"/>
          <w:rtl/>
        </w:rPr>
        <w:t>אלא רק לאחר קבלת המלצת הממונה הישיר</w:t>
      </w:r>
      <w:r w:rsidR="00E5283C" w:rsidRPr="000B11C2">
        <w:rPr>
          <w:rFonts w:cs="David"/>
          <w:rtl/>
        </w:rPr>
        <w:t>,</w:t>
      </w:r>
      <w:r w:rsidRPr="000B11C2">
        <w:rPr>
          <w:rFonts w:cs="David"/>
          <w:rtl/>
        </w:rPr>
        <w:t xml:space="preserve"> </w:t>
      </w:r>
      <w:r w:rsidR="0029294F" w:rsidRPr="000B11C2">
        <w:rPr>
          <w:rFonts w:cs="David"/>
          <w:rtl/>
        </w:rPr>
        <w:t>ב</w:t>
      </w:r>
      <w:r w:rsidRPr="000B11C2">
        <w:rPr>
          <w:rFonts w:cs="David"/>
          <w:rtl/>
        </w:rPr>
        <w:t>תמור</w:t>
      </w:r>
      <w:r w:rsidR="0029294F" w:rsidRPr="000B11C2">
        <w:rPr>
          <w:rFonts w:cs="David"/>
          <w:rtl/>
        </w:rPr>
        <w:t>ה ל</w:t>
      </w:r>
      <w:r w:rsidRPr="000B11C2">
        <w:rPr>
          <w:rFonts w:cs="David"/>
          <w:rtl/>
        </w:rPr>
        <w:t xml:space="preserve">שיפור כביכול בתנאי הפרישה. המערער סירב לשינוי מהותי זה, ובדיעבד אף התברר שאילו הסכים לשינוי, הפנסיה שלו </w:t>
      </w:r>
      <w:r w:rsidR="0029294F" w:rsidRPr="000B11C2">
        <w:rPr>
          <w:rFonts w:cs="David"/>
          <w:rtl/>
        </w:rPr>
        <w:t xml:space="preserve">היתה </w:t>
      </w:r>
      <w:r w:rsidRPr="000B11C2">
        <w:rPr>
          <w:rFonts w:cs="David"/>
          <w:rtl/>
        </w:rPr>
        <w:t>קטנה (</w:t>
      </w:r>
      <w:r w:rsidRPr="000B11C2">
        <w:rPr>
          <w:rFonts w:cs="David"/>
          <w:i/>
          <w:iCs/>
          <w:rtl/>
        </w:rPr>
        <w:t>סעיף 17 לכתב התביעה</w:t>
      </w:r>
      <w:r w:rsidRPr="000B11C2">
        <w:rPr>
          <w:rFonts w:cs="David"/>
          <w:rtl/>
        </w:rPr>
        <w:t xml:space="preserve">). המשיבה חזרה והציעה את השינוי בשנת 1997, והמערער לא הסכים לכך פעם נוספת. </w:t>
      </w:r>
    </w:p>
    <w:p w:rsidR="000B11C2" w:rsidRPr="0013771F" w:rsidRDefault="009D2385" w:rsidP="0013771F">
      <w:pPr>
        <w:pStyle w:val="a8"/>
        <w:spacing w:after="220" w:line="360" w:lineRule="auto"/>
        <w:ind w:left="674"/>
        <w:rPr>
          <w:rFonts w:ascii="David" w:hAnsi="David" w:cs="David"/>
          <w:rtl/>
        </w:rPr>
      </w:pPr>
      <w:r w:rsidRPr="000B11C2">
        <w:rPr>
          <w:rFonts w:ascii="David" w:hAnsi="David" w:cs="David"/>
          <w:rtl/>
        </w:rPr>
        <w:t>ב</w:t>
      </w:r>
      <w:r w:rsidR="00950634" w:rsidRPr="000B11C2">
        <w:rPr>
          <w:rFonts w:ascii="David" w:hAnsi="David" w:cs="David"/>
          <w:rtl/>
        </w:rPr>
        <w:t>שנת 2005 עלתה במשרד האוצר השאלה האם הארכת החוזה האוטומטית</w:t>
      </w:r>
      <w:r w:rsidR="00F00698" w:rsidRPr="000B11C2">
        <w:rPr>
          <w:rFonts w:ascii="David" w:hAnsi="David" w:cs="David"/>
          <w:rtl/>
        </w:rPr>
        <w:t xml:space="preserve"> </w:t>
      </w:r>
      <w:r w:rsidR="00950634" w:rsidRPr="000B11C2">
        <w:rPr>
          <w:rFonts w:ascii="David" w:hAnsi="David" w:cs="David"/>
          <w:rtl/>
        </w:rPr>
        <w:t>משנת 2002 תקפה ללא חתימה על חוזה הארכה. המשנה לנציב שרות המדינה הודיע למערער ביום 8.5.2005, כי מאחר שה</w:t>
      </w:r>
      <w:r w:rsidR="00F00698" w:rsidRPr="000B11C2">
        <w:rPr>
          <w:rFonts w:ascii="David" w:hAnsi="David" w:cs="David"/>
          <w:rtl/>
        </w:rPr>
        <w:t>וא</w:t>
      </w:r>
      <w:r w:rsidR="00950634" w:rsidRPr="000B11C2">
        <w:rPr>
          <w:rFonts w:ascii="David" w:hAnsi="David" w:cs="David"/>
          <w:rtl/>
        </w:rPr>
        <w:t xml:space="preserve"> לא הסכים לשינוי החוזה הנ"ל, הרי ש-"</w:t>
      </w:r>
      <w:r w:rsidR="00950634" w:rsidRPr="000B11C2">
        <w:rPr>
          <w:rFonts w:ascii="David" w:hAnsi="David" w:cs="David"/>
          <w:b/>
          <w:bCs/>
          <w:i/>
          <w:iCs/>
          <w:rtl/>
        </w:rPr>
        <w:t>החוזה המקורי ממשיך בתוקפו</w:t>
      </w:r>
      <w:r w:rsidR="00950634" w:rsidRPr="000B11C2">
        <w:rPr>
          <w:rFonts w:ascii="David" w:hAnsi="David" w:cs="David"/>
          <w:rtl/>
        </w:rPr>
        <w:t xml:space="preserve">" ללא </w:t>
      </w:r>
      <w:r w:rsidR="00950634" w:rsidRPr="001A50DD">
        <w:rPr>
          <w:rFonts w:ascii="David" w:hAnsi="David" w:cs="David"/>
          <w:rtl/>
        </w:rPr>
        <w:t>שינוי</w:t>
      </w:r>
      <w:r w:rsidR="00D408AF" w:rsidRPr="0013771F">
        <w:rPr>
          <w:rFonts w:ascii="David" w:hAnsi="David" w:cs="David"/>
          <w:rtl/>
        </w:rPr>
        <w:t xml:space="preserve"> (</w:t>
      </w:r>
      <w:r w:rsidR="00D408AF" w:rsidRPr="0013771F">
        <w:rPr>
          <w:rFonts w:ascii="David" w:hAnsi="David" w:cs="David"/>
          <w:i/>
          <w:iCs/>
          <w:rtl/>
        </w:rPr>
        <w:t>מכתב המשנה לנציב שירות המדינה צורף כנספח 2 לכתב התביעה</w:t>
      </w:r>
      <w:r w:rsidR="00D408AF" w:rsidRPr="0013771F">
        <w:rPr>
          <w:rFonts w:ascii="David" w:hAnsi="David" w:cs="David"/>
          <w:rtl/>
        </w:rPr>
        <w:t>)</w:t>
      </w:r>
      <w:r w:rsidR="00950634" w:rsidRPr="001A50DD">
        <w:rPr>
          <w:rFonts w:ascii="David" w:hAnsi="David" w:cs="David"/>
          <w:rtl/>
        </w:rPr>
        <w:t>.</w:t>
      </w:r>
    </w:p>
    <w:p w:rsidR="0029294F" w:rsidRPr="000B11C2" w:rsidRDefault="00F00698" w:rsidP="0013771F">
      <w:pPr>
        <w:pStyle w:val="a8"/>
        <w:spacing w:after="220" w:line="360" w:lineRule="auto"/>
        <w:ind w:left="674"/>
        <w:rPr>
          <w:rFonts w:ascii="David" w:hAnsi="David" w:cs="David"/>
        </w:rPr>
      </w:pPr>
      <w:r w:rsidRPr="000B11C2">
        <w:rPr>
          <w:rFonts w:ascii="David" w:hAnsi="David" w:cs="David"/>
          <w:rtl/>
        </w:rPr>
        <w:t>ואכן</w:t>
      </w:r>
      <w:r w:rsidR="00950634" w:rsidRPr="000B11C2">
        <w:rPr>
          <w:rFonts w:ascii="David" w:hAnsi="David" w:cs="David"/>
          <w:rtl/>
        </w:rPr>
        <w:t xml:space="preserve">, </w:t>
      </w:r>
      <w:r w:rsidRPr="000B11C2">
        <w:rPr>
          <w:rFonts w:ascii="David" w:hAnsi="David" w:cs="David"/>
          <w:b/>
          <w:bCs/>
          <w:rtl/>
        </w:rPr>
        <w:t xml:space="preserve">בשנת 2006, </w:t>
      </w:r>
      <w:r w:rsidR="00950634" w:rsidRPr="000B11C2">
        <w:rPr>
          <w:rFonts w:ascii="David" w:hAnsi="David" w:cs="David"/>
          <w:b/>
          <w:bCs/>
          <w:rtl/>
        </w:rPr>
        <w:t>החוזה שב והתחדש מאליו</w:t>
      </w:r>
      <w:r w:rsidRPr="000B11C2">
        <w:rPr>
          <w:rFonts w:ascii="David" w:hAnsi="David" w:cs="David"/>
          <w:b/>
          <w:bCs/>
          <w:rtl/>
        </w:rPr>
        <w:t xml:space="preserve">, </w:t>
      </w:r>
      <w:r w:rsidR="0029294F" w:rsidRPr="000B11C2">
        <w:rPr>
          <w:rFonts w:ascii="David" w:hAnsi="David" w:cs="David"/>
          <w:rtl/>
        </w:rPr>
        <w:t>ו</w:t>
      </w:r>
      <w:r w:rsidRPr="000B11C2">
        <w:rPr>
          <w:rFonts w:ascii="David" w:hAnsi="David" w:cs="David"/>
          <w:rtl/>
        </w:rPr>
        <w:t>כעבור ארבע שנים נוספות</w:t>
      </w:r>
      <w:r w:rsidR="00B81FCC" w:rsidRPr="000B11C2">
        <w:rPr>
          <w:rFonts w:ascii="David" w:hAnsi="David" w:cs="David"/>
          <w:rtl/>
        </w:rPr>
        <w:t>,</w:t>
      </w:r>
      <w:r w:rsidRPr="000B11C2">
        <w:rPr>
          <w:rFonts w:ascii="David" w:hAnsi="David" w:cs="David"/>
          <w:rtl/>
        </w:rPr>
        <w:t xml:space="preserve"> </w:t>
      </w:r>
      <w:r w:rsidR="00B81FCC" w:rsidRPr="000B11C2">
        <w:rPr>
          <w:rFonts w:ascii="David" w:hAnsi="David" w:cs="David"/>
          <w:rtl/>
        </w:rPr>
        <w:t xml:space="preserve">ביום 1.4.2010 </w:t>
      </w:r>
      <w:r w:rsidR="0029294F" w:rsidRPr="000B11C2">
        <w:rPr>
          <w:rFonts w:ascii="David" w:hAnsi="David" w:cs="David"/>
          <w:rtl/>
        </w:rPr>
        <w:t xml:space="preserve">שוב </w:t>
      </w:r>
      <w:r w:rsidR="00B81FCC" w:rsidRPr="000B11C2">
        <w:rPr>
          <w:rFonts w:ascii="David" w:hAnsi="David" w:cs="David"/>
          <w:rtl/>
        </w:rPr>
        <w:t xml:space="preserve">הוארך </w:t>
      </w:r>
      <w:r w:rsidRPr="000B11C2">
        <w:rPr>
          <w:rFonts w:ascii="David" w:hAnsi="David" w:cs="David"/>
          <w:rtl/>
        </w:rPr>
        <w:t>תוקפו של החוזה</w:t>
      </w:r>
      <w:r w:rsidR="0029294F" w:rsidRPr="000B11C2">
        <w:rPr>
          <w:rFonts w:ascii="David" w:hAnsi="David" w:cs="David"/>
          <w:rtl/>
        </w:rPr>
        <w:t xml:space="preserve"> מאליו</w:t>
      </w:r>
      <w:r w:rsidRPr="000B11C2">
        <w:rPr>
          <w:rFonts w:ascii="David" w:hAnsi="David" w:cs="David"/>
          <w:rtl/>
        </w:rPr>
        <w:t xml:space="preserve">, </w:t>
      </w:r>
      <w:r w:rsidRPr="000B11C2">
        <w:rPr>
          <w:rFonts w:ascii="David" w:hAnsi="David" w:cs="David"/>
          <w:b/>
          <w:bCs/>
          <w:u w:val="single"/>
          <w:rtl/>
        </w:rPr>
        <w:t>בפעם החמישית ברציפות</w:t>
      </w:r>
      <w:r w:rsidRPr="000B11C2">
        <w:rPr>
          <w:rFonts w:ascii="David" w:hAnsi="David" w:cs="David"/>
          <w:rtl/>
        </w:rPr>
        <w:t xml:space="preserve"> </w:t>
      </w:r>
      <w:r w:rsidR="0029294F" w:rsidRPr="000B11C2">
        <w:rPr>
          <w:rFonts w:ascii="David" w:hAnsi="David" w:cs="David"/>
          <w:rtl/>
        </w:rPr>
        <w:t xml:space="preserve">, </w:t>
      </w:r>
      <w:r w:rsidRPr="000B11C2">
        <w:rPr>
          <w:rFonts w:ascii="David" w:hAnsi="David" w:cs="David"/>
          <w:rtl/>
        </w:rPr>
        <w:t xml:space="preserve">לתקופה של 4 שנים נוספות, עד ליום 31.3.2014. </w:t>
      </w:r>
      <w:r w:rsidR="00B81FCC" w:rsidRPr="000B11C2">
        <w:rPr>
          <w:rFonts w:ascii="David" w:hAnsi="David" w:cs="David"/>
          <w:b/>
          <w:bCs/>
          <w:rtl/>
        </w:rPr>
        <w:t xml:space="preserve"> </w:t>
      </w:r>
    </w:p>
    <w:p w:rsidR="0029294F" w:rsidRPr="000B11C2" w:rsidRDefault="0029294F" w:rsidP="000B11C2">
      <w:pPr>
        <w:pStyle w:val="a8"/>
        <w:numPr>
          <w:ilvl w:val="0"/>
          <w:numId w:val="9"/>
        </w:numPr>
        <w:tabs>
          <w:tab w:val="left" w:pos="674"/>
        </w:tabs>
        <w:spacing w:after="360" w:line="360" w:lineRule="auto"/>
        <w:ind w:left="674" w:hanging="630"/>
        <w:rPr>
          <w:rFonts w:cs="David"/>
        </w:rPr>
      </w:pPr>
      <w:r w:rsidRPr="000B11C2">
        <w:rPr>
          <w:rFonts w:cs="David"/>
          <w:rtl/>
        </w:rPr>
        <w:lastRenderedPageBreak/>
        <w:t xml:space="preserve">יודגש כי </w:t>
      </w:r>
      <w:r w:rsidRPr="000B11C2">
        <w:rPr>
          <w:rFonts w:cs="David"/>
          <w:b/>
          <w:bCs/>
          <w:rtl/>
        </w:rPr>
        <w:t xml:space="preserve">המדינה </w:t>
      </w:r>
      <w:r w:rsidRPr="000B11C2">
        <w:rPr>
          <w:rFonts w:cs="David"/>
          <w:b/>
          <w:bCs/>
          <w:u w:val="single"/>
          <w:rtl/>
        </w:rPr>
        <w:t>לא</w:t>
      </w:r>
      <w:r w:rsidRPr="000B11C2">
        <w:rPr>
          <w:rFonts w:cs="David"/>
          <w:b/>
          <w:bCs/>
          <w:rtl/>
        </w:rPr>
        <w:t xml:space="preserve"> הודיעה למערער לפני שהארכת החוזה נכנסה לתוקף על רצונה בשינוי החוזה </w:t>
      </w:r>
      <w:r w:rsidRPr="000B11C2">
        <w:rPr>
          <w:rFonts w:cs="David"/>
          <w:b/>
          <w:bCs/>
          <w:u w:val="single"/>
          <w:rtl/>
        </w:rPr>
        <w:t>ולא</w:t>
      </w:r>
      <w:r w:rsidRPr="000B11C2">
        <w:rPr>
          <w:rFonts w:cs="David"/>
          <w:b/>
          <w:bCs/>
          <w:rtl/>
        </w:rPr>
        <w:t xml:space="preserve"> הודיעה לו על כוונתה לסיים את החוזה בגיל הפרישה של התובע</w:t>
      </w:r>
      <w:r w:rsidRPr="000B11C2">
        <w:rPr>
          <w:rFonts w:cs="David"/>
          <w:rtl/>
        </w:rPr>
        <w:t xml:space="preserve"> (שחל בשנת 2012 – באמצע תקופת החוזה) על אף שגילו היה ידוע. המערער </w:t>
      </w:r>
      <w:r w:rsidR="00E5283C" w:rsidRPr="000B11C2">
        <w:rPr>
          <w:rFonts w:cs="David"/>
          <w:rtl/>
        </w:rPr>
        <w:t xml:space="preserve">טוען </w:t>
      </w:r>
      <w:r w:rsidRPr="000B11C2">
        <w:rPr>
          <w:rFonts w:cs="David"/>
          <w:rtl/>
        </w:rPr>
        <w:t xml:space="preserve">כי </w:t>
      </w:r>
      <w:r w:rsidRPr="000B11C2">
        <w:rPr>
          <w:rFonts w:cs="David"/>
          <w:b/>
          <w:bCs/>
          <w:rtl/>
        </w:rPr>
        <w:t>בהיעדר הודעה אחרת, ובהתאם להוראות החוזה, וההתנהלות בפועל של הצדדים, הוארך תוקף החוזה מיום 1.4.2010 עד ליום 31.3.2014</w:t>
      </w:r>
      <w:r w:rsidR="00B25F57" w:rsidRPr="000B11C2">
        <w:rPr>
          <w:rFonts w:cs="David"/>
          <w:rtl/>
        </w:rPr>
        <w:t>.</w:t>
      </w:r>
    </w:p>
    <w:p w:rsidR="00B25F57" w:rsidRPr="000B11C2" w:rsidRDefault="00B25F57" w:rsidP="00B25F57">
      <w:pPr>
        <w:pStyle w:val="a8"/>
        <w:tabs>
          <w:tab w:val="left" w:pos="674"/>
        </w:tabs>
        <w:spacing w:after="120" w:line="360" w:lineRule="auto"/>
        <w:ind w:left="674" w:hanging="630"/>
        <w:rPr>
          <w:b/>
          <w:bCs/>
          <w:sz w:val="26"/>
          <w:szCs w:val="26"/>
        </w:rPr>
      </w:pPr>
      <w:r w:rsidRPr="000B11C2">
        <w:rPr>
          <w:rStyle w:val="emailstyle17"/>
          <w:rFonts w:cs="David"/>
          <w:b/>
          <w:bCs/>
          <w:sz w:val="26"/>
          <w:szCs w:val="26"/>
          <w:rtl/>
        </w:rPr>
        <w:t>א.2.</w:t>
      </w:r>
      <w:r w:rsidRPr="000B11C2">
        <w:rPr>
          <w:rStyle w:val="emailstyle17"/>
          <w:rFonts w:cs="David"/>
          <w:b/>
          <w:bCs/>
          <w:sz w:val="26"/>
          <w:szCs w:val="26"/>
          <w:rtl/>
        </w:rPr>
        <w:tab/>
      </w:r>
      <w:r w:rsidRPr="000B11C2">
        <w:rPr>
          <w:rStyle w:val="emailstyle17"/>
          <w:rFonts w:cs="David"/>
          <w:b/>
          <w:bCs/>
          <w:sz w:val="26"/>
          <w:szCs w:val="26"/>
          <w:u w:val="single"/>
          <w:rtl/>
        </w:rPr>
        <w:t xml:space="preserve">הפסקת עבודה </w:t>
      </w:r>
      <w:r w:rsidR="009126B5" w:rsidRPr="000B11C2">
        <w:rPr>
          <w:rStyle w:val="emailstyle17"/>
          <w:rFonts w:cs="David"/>
          <w:b/>
          <w:bCs/>
          <w:sz w:val="26"/>
          <w:szCs w:val="26"/>
          <w:u w:val="single"/>
          <w:rtl/>
        </w:rPr>
        <w:t xml:space="preserve">מבזה </w:t>
      </w:r>
      <w:r w:rsidRPr="000B11C2">
        <w:rPr>
          <w:rStyle w:val="emailstyle17"/>
          <w:rFonts w:cs="David"/>
          <w:b/>
          <w:bCs/>
          <w:sz w:val="26"/>
          <w:szCs w:val="26"/>
          <w:u w:val="single"/>
          <w:rtl/>
        </w:rPr>
        <w:t>בניגוד להוראות החוזה (והתעלמות בית הדין קמא מהוראות אלה)</w:t>
      </w:r>
    </w:p>
    <w:p w:rsidR="00D20D57" w:rsidRPr="000B11C2" w:rsidRDefault="00EC2742" w:rsidP="0013771F">
      <w:pPr>
        <w:pStyle w:val="a8"/>
        <w:numPr>
          <w:ilvl w:val="0"/>
          <w:numId w:val="9"/>
        </w:numPr>
        <w:tabs>
          <w:tab w:val="left" w:pos="674"/>
        </w:tabs>
        <w:spacing w:after="220" w:line="360" w:lineRule="auto"/>
        <w:ind w:left="674" w:hanging="630"/>
        <w:rPr>
          <w:rFonts w:cs="David"/>
        </w:rPr>
      </w:pPr>
      <w:r w:rsidRPr="000B11C2">
        <w:rPr>
          <w:rFonts w:cs="David"/>
          <w:rtl/>
        </w:rPr>
        <w:t>החוזה</w:t>
      </w:r>
      <w:r w:rsidR="00F95DC1" w:rsidRPr="000B11C2">
        <w:rPr>
          <w:rFonts w:cs="David"/>
          <w:rtl/>
        </w:rPr>
        <w:t xml:space="preserve"> </w:t>
      </w:r>
      <w:r w:rsidR="00A417C3" w:rsidRPr="000B11C2">
        <w:rPr>
          <w:rFonts w:cs="David"/>
          <w:rtl/>
        </w:rPr>
        <w:t xml:space="preserve">קובע כי </w:t>
      </w:r>
      <w:r w:rsidRPr="000B11C2">
        <w:rPr>
          <w:rFonts w:cs="David"/>
          <w:rtl/>
        </w:rPr>
        <w:t>רק נציב שרות המדינה או מי שהוסמך על ידו, רשאי להפסיק את העסקתו של</w:t>
      </w:r>
      <w:r w:rsidR="00A417C3" w:rsidRPr="000B11C2">
        <w:rPr>
          <w:rFonts w:cs="David"/>
          <w:rtl/>
        </w:rPr>
        <w:t xml:space="preserve"> המערער, וגם זאת</w:t>
      </w:r>
      <w:r w:rsidR="00F95DC1" w:rsidRPr="000B11C2">
        <w:rPr>
          <w:rFonts w:cs="David"/>
          <w:rtl/>
        </w:rPr>
        <w:t xml:space="preserve"> רק לאחר פניה מנומקת של מנכ"ל המשרד לנציב, ואישור וועדת השירות</w:t>
      </w:r>
      <w:r w:rsidR="009126B5" w:rsidRPr="000B11C2">
        <w:rPr>
          <w:rFonts w:cs="David"/>
          <w:rtl/>
        </w:rPr>
        <w:t xml:space="preserve"> והנציב</w:t>
      </w:r>
      <w:r w:rsidR="00F95DC1" w:rsidRPr="000B11C2">
        <w:rPr>
          <w:rFonts w:cs="David"/>
          <w:rtl/>
        </w:rPr>
        <w:t xml:space="preserve">. </w:t>
      </w:r>
      <w:r w:rsidR="00D20D57" w:rsidRPr="000B11C2">
        <w:rPr>
          <w:rFonts w:cs="David"/>
          <w:rtl/>
        </w:rPr>
        <w:t xml:space="preserve"> </w:t>
      </w:r>
    </w:p>
    <w:p w:rsidR="00AE7C6C" w:rsidRPr="000B11C2" w:rsidRDefault="009126B5" w:rsidP="0013771F">
      <w:pPr>
        <w:pStyle w:val="a8"/>
        <w:numPr>
          <w:ilvl w:val="0"/>
          <w:numId w:val="9"/>
        </w:numPr>
        <w:tabs>
          <w:tab w:val="left" w:pos="674"/>
        </w:tabs>
        <w:spacing w:after="220" w:line="360" w:lineRule="auto"/>
        <w:ind w:left="674" w:hanging="630"/>
        <w:rPr>
          <w:rFonts w:cs="David"/>
          <w:rtl/>
        </w:rPr>
      </w:pPr>
      <w:r w:rsidRPr="000B11C2">
        <w:rPr>
          <w:rFonts w:cs="David"/>
          <w:rtl/>
        </w:rPr>
        <w:t xml:space="preserve">ייאמר כבר עתה כי </w:t>
      </w:r>
      <w:r w:rsidR="00D20D57" w:rsidRPr="000B11C2">
        <w:rPr>
          <w:rFonts w:cs="David"/>
          <w:rtl/>
        </w:rPr>
        <w:t>על אף דברים מפורשים אלו</w:t>
      </w:r>
      <w:r w:rsidRPr="000B11C2">
        <w:rPr>
          <w:rFonts w:cs="David"/>
          <w:rtl/>
        </w:rPr>
        <w:t>, המערער פוטר</w:t>
      </w:r>
      <w:r w:rsidR="00B30090" w:rsidRPr="000B11C2">
        <w:rPr>
          <w:rFonts w:cs="David"/>
          <w:rtl/>
        </w:rPr>
        <w:t xml:space="preserve"> </w:t>
      </w:r>
      <w:r w:rsidR="004E2B5D" w:rsidRPr="000B11C2">
        <w:rPr>
          <w:rFonts w:cs="David"/>
          <w:rtl/>
        </w:rPr>
        <w:t>בניגוד לדין ביום 5.8.2012</w:t>
      </w:r>
      <w:r w:rsidRPr="000B11C2">
        <w:rPr>
          <w:rFonts w:cs="David"/>
          <w:rtl/>
        </w:rPr>
        <w:t xml:space="preserve"> באמצע תקופת החוזה, וכמפורט בהמשך.</w:t>
      </w:r>
      <w:r w:rsidR="004E2B5D" w:rsidRPr="000B11C2">
        <w:rPr>
          <w:rFonts w:cs="David"/>
          <w:rtl/>
        </w:rPr>
        <w:t xml:space="preserve"> </w:t>
      </w:r>
      <w:r w:rsidRPr="000B11C2">
        <w:rPr>
          <w:rFonts w:cs="David"/>
          <w:rtl/>
        </w:rPr>
        <w:t xml:space="preserve">המערער </w:t>
      </w:r>
      <w:r w:rsidR="004E2B5D" w:rsidRPr="000B11C2">
        <w:rPr>
          <w:rFonts w:cs="David"/>
          <w:rtl/>
        </w:rPr>
        <w:t>סולק בבושת פנים ע"י סמנכ"לית משרד האוצר</w:t>
      </w:r>
      <w:r w:rsidR="00500796" w:rsidRPr="000B11C2">
        <w:rPr>
          <w:rFonts w:cs="David"/>
          <w:rtl/>
        </w:rPr>
        <w:t>,</w:t>
      </w:r>
      <w:r w:rsidR="004E2B5D" w:rsidRPr="000B11C2">
        <w:rPr>
          <w:rFonts w:cs="David"/>
          <w:rtl/>
        </w:rPr>
        <w:t xml:space="preserve"> שלא הוסמכה לכך ע"י נציב </w:t>
      </w:r>
      <w:r w:rsidRPr="000B11C2">
        <w:rPr>
          <w:rFonts w:cs="David"/>
          <w:rtl/>
        </w:rPr>
        <w:t>ה</w:t>
      </w:r>
      <w:r w:rsidR="004E2B5D" w:rsidRPr="000B11C2">
        <w:rPr>
          <w:rFonts w:cs="David"/>
          <w:rtl/>
        </w:rPr>
        <w:t>ש</w:t>
      </w:r>
      <w:r w:rsidRPr="000B11C2">
        <w:rPr>
          <w:rFonts w:cs="David"/>
          <w:rtl/>
        </w:rPr>
        <w:t>י</w:t>
      </w:r>
      <w:r w:rsidR="004E2B5D" w:rsidRPr="000B11C2">
        <w:rPr>
          <w:rFonts w:cs="David"/>
          <w:rtl/>
        </w:rPr>
        <w:t>רו</w:t>
      </w:r>
      <w:r w:rsidR="00E5283C" w:rsidRPr="000B11C2">
        <w:rPr>
          <w:rFonts w:cs="David"/>
          <w:rtl/>
        </w:rPr>
        <w:t>ת</w:t>
      </w:r>
      <w:r w:rsidR="00500796" w:rsidRPr="000B11C2">
        <w:rPr>
          <w:rFonts w:cs="David"/>
          <w:rtl/>
        </w:rPr>
        <w:t>,</w:t>
      </w:r>
      <w:r w:rsidR="004E2B5D" w:rsidRPr="000B11C2">
        <w:rPr>
          <w:rFonts w:cs="David"/>
          <w:rtl/>
        </w:rPr>
        <w:t xml:space="preserve"> </w:t>
      </w:r>
      <w:r w:rsidR="00AE7C6C" w:rsidRPr="000B11C2">
        <w:rPr>
          <w:rFonts w:cs="David"/>
          <w:rtl/>
        </w:rPr>
        <w:t>באמצע תקופת החוזה</w:t>
      </w:r>
      <w:r w:rsidR="00B30090" w:rsidRPr="000B11C2">
        <w:rPr>
          <w:rFonts w:cs="David"/>
          <w:rtl/>
        </w:rPr>
        <w:t>,</w:t>
      </w:r>
      <w:r w:rsidR="004E2B5D" w:rsidRPr="000B11C2">
        <w:rPr>
          <w:rFonts w:cs="David"/>
          <w:rtl/>
        </w:rPr>
        <w:t xml:space="preserve"> </w:t>
      </w:r>
      <w:r w:rsidR="00AE7C6C" w:rsidRPr="000B11C2">
        <w:rPr>
          <w:rFonts w:cs="David"/>
          <w:rtl/>
        </w:rPr>
        <w:t xml:space="preserve">שהיה </w:t>
      </w:r>
      <w:r w:rsidR="009D2385" w:rsidRPr="000B11C2">
        <w:rPr>
          <w:rFonts w:cs="David"/>
          <w:rtl/>
        </w:rPr>
        <w:t xml:space="preserve">כאמור </w:t>
      </w:r>
      <w:r w:rsidR="00AE7C6C" w:rsidRPr="000B11C2">
        <w:rPr>
          <w:rFonts w:cs="David"/>
          <w:rtl/>
        </w:rPr>
        <w:t xml:space="preserve">תקף עד 31.3.2014, </w:t>
      </w:r>
      <w:r w:rsidR="004E2B5D" w:rsidRPr="000B11C2">
        <w:rPr>
          <w:rFonts w:cs="David"/>
          <w:rtl/>
        </w:rPr>
        <w:t>ו</w:t>
      </w:r>
      <w:r w:rsidR="00AE7C6C" w:rsidRPr="000B11C2">
        <w:rPr>
          <w:rFonts w:cs="David"/>
          <w:rtl/>
        </w:rPr>
        <w:t>ללא שימוע.</w:t>
      </w:r>
      <w:r w:rsidR="004002E8" w:rsidRPr="000B11C2">
        <w:rPr>
          <w:rFonts w:cs="David"/>
          <w:rtl/>
        </w:rPr>
        <w:t xml:space="preserve"> </w:t>
      </w:r>
      <w:r w:rsidR="00D20D57" w:rsidRPr="000B11C2">
        <w:rPr>
          <w:rFonts w:cs="David"/>
          <w:rtl/>
        </w:rPr>
        <w:t xml:space="preserve">המשיבות לא נקטו </w:t>
      </w:r>
      <w:r w:rsidRPr="000B11C2">
        <w:rPr>
          <w:rFonts w:cs="David"/>
          <w:rtl/>
        </w:rPr>
        <w:t xml:space="preserve">בהליכים הנדרשים </w:t>
      </w:r>
      <w:r w:rsidR="00D20D57" w:rsidRPr="000B11C2">
        <w:rPr>
          <w:rFonts w:cs="David"/>
          <w:rtl/>
        </w:rPr>
        <w:t>לסיום העסקתו של המערער</w:t>
      </w:r>
      <w:r w:rsidR="0026500C" w:rsidRPr="000B11C2">
        <w:rPr>
          <w:rFonts w:cs="David"/>
          <w:rtl/>
        </w:rPr>
        <w:t xml:space="preserve">: </w:t>
      </w:r>
      <w:r w:rsidR="0026500C" w:rsidRPr="000B11C2">
        <w:rPr>
          <w:rFonts w:cs="David"/>
          <w:b/>
          <w:bCs/>
          <w:u w:val="single"/>
          <w:rtl/>
        </w:rPr>
        <w:t>לא</w:t>
      </w:r>
      <w:r w:rsidR="0026500C" w:rsidRPr="000B11C2">
        <w:rPr>
          <w:rFonts w:cs="David"/>
          <w:b/>
          <w:bCs/>
          <w:rtl/>
        </w:rPr>
        <w:t xml:space="preserve"> היתה פניה של מנכ"ל המשרד לנציב השרות, נציב שרות המדינה </w:t>
      </w:r>
      <w:r w:rsidR="0026500C" w:rsidRPr="000B11C2">
        <w:rPr>
          <w:rFonts w:cs="David"/>
          <w:b/>
          <w:bCs/>
          <w:u w:val="single"/>
          <w:rtl/>
        </w:rPr>
        <w:t>לא</w:t>
      </w:r>
      <w:r w:rsidR="0026500C" w:rsidRPr="000B11C2">
        <w:rPr>
          <w:rFonts w:cs="David"/>
          <w:b/>
          <w:bCs/>
          <w:rtl/>
        </w:rPr>
        <w:t xml:space="preserve"> פנה ל</w:t>
      </w:r>
      <w:r w:rsidRPr="000B11C2">
        <w:rPr>
          <w:rFonts w:cs="David"/>
          <w:b/>
          <w:bCs/>
          <w:rtl/>
        </w:rPr>
        <w:t>ו</w:t>
      </w:r>
      <w:r w:rsidR="0026500C" w:rsidRPr="000B11C2">
        <w:rPr>
          <w:rFonts w:cs="David"/>
          <w:b/>
          <w:bCs/>
          <w:rtl/>
        </w:rPr>
        <w:t xml:space="preserve">ועדת השרות לקבלת האישור הנדרש, </w:t>
      </w:r>
      <w:r w:rsidR="009D2385" w:rsidRPr="000B11C2">
        <w:rPr>
          <w:rFonts w:cs="David"/>
          <w:b/>
          <w:bCs/>
          <w:rtl/>
        </w:rPr>
        <w:t>ו</w:t>
      </w:r>
      <w:r w:rsidR="0026500C" w:rsidRPr="000B11C2">
        <w:rPr>
          <w:rFonts w:cs="David"/>
          <w:b/>
          <w:bCs/>
          <w:rtl/>
        </w:rPr>
        <w:t xml:space="preserve">נציב השרות </w:t>
      </w:r>
      <w:r w:rsidR="00B30090" w:rsidRPr="000B11C2">
        <w:rPr>
          <w:rFonts w:cs="David"/>
          <w:b/>
          <w:bCs/>
          <w:rtl/>
        </w:rPr>
        <w:t xml:space="preserve">באותו מועד </w:t>
      </w:r>
      <w:r w:rsidR="0026500C" w:rsidRPr="000B11C2">
        <w:rPr>
          <w:rFonts w:cs="David"/>
          <w:b/>
          <w:bCs/>
          <w:u w:val="single"/>
          <w:rtl/>
        </w:rPr>
        <w:t>לא</w:t>
      </w:r>
      <w:r w:rsidR="0026500C" w:rsidRPr="000B11C2">
        <w:rPr>
          <w:rFonts w:cs="David"/>
          <w:b/>
          <w:bCs/>
          <w:rtl/>
        </w:rPr>
        <w:t xml:space="preserve"> אישר, </w:t>
      </w:r>
      <w:r w:rsidR="0026500C" w:rsidRPr="000B11C2">
        <w:rPr>
          <w:rFonts w:cs="David"/>
          <w:b/>
          <w:bCs/>
          <w:u w:val="single"/>
          <w:rtl/>
        </w:rPr>
        <w:t>לא</w:t>
      </w:r>
      <w:r w:rsidR="0026500C" w:rsidRPr="000B11C2">
        <w:rPr>
          <w:rFonts w:cs="David"/>
          <w:b/>
          <w:bCs/>
          <w:rtl/>
        </w:rPr>
        <w:t xml:space="preserve"> החליט </w:t>
      </w:r>
      <w:r w:rsidR="00AE7C6C" w:rsidRPr="000B11C2">
        <w:rPr>
          <w:rFonts w:cs="David"/>
          <w:b/>
          <w:bCs/>
          <w:rtl/>
        </w:rPr>
        <w:t xml:space="preserve">וממילא גם </w:t>
      </w:r>
      <w:r w:rsidR="00AE7C6C" w:rsidRPr="000B11C2">
        <w:rPr>
          <w:rFonts w:cs="David"/>
          <w:b/>
          <w:bCs/>
          <w:u w:val="single"/>
          <w:rtl/>
        </w:rPr>
        <w:t>לא</w:t>
      </w:r>
      <w:r w:rsidR="00AE7C6C" w:rsidRPr="000B11C2">
        <w:rPr>
          <w:rFonts w:cs="David"/>
          <w:b/>
          <w:bCs/>
          <w:rtl/>
        </w:rPr>
        <w:t xml:space="preserve"> הודיע לאיש </w:t>
      </w:r>
      <w:r w:rsidR="00B30090" w:rsidRPr="000B11C2">
        <w:rPr>
          <w:rFonts w:cs="David"/>
          <w:b/>
          <w:bCs/>
          <w:rtl/>
        </w:rPr>
        <w:t>על הפס</w:t>
      </w:r>
      <w:r w:rsidR="0026500C" w:rsidRPr="000B11C2">
        <w:rPr>
          <w:rFonts w:cs="David"/>
          <w:b/>
          <w:bCs/>
          <w:rtl/>
        </w:rPr>
        <w:t>ק</w:t>
      </w:r>
      <w:r w:rsidR="00B30090" w:rsidRPr="000B11C2">
        <w:rPr>
          <w:rFonts w:cs="David"/>
          <w:b/>
          <w:bCs/>
          <w:rtl/>
        </w:rPr>
        <w:t xml:space="preserve">ת </w:t>
      </w:r>
      <w:r w:rsidR="0026500C" w:rsidRPr="000B11C2">
        <w:rPr>
          <w:rFonts w:cs="David"/>
          <w:b/>
          <w:bCs/>
          <w:rtl/>
        </w:rPr>
        <w:t>העסקת</w:t>
      </w:r>
      <w:r w:rsidR="00B30090" w:rsidRPr="000B11C2">
        <w:rPr>
          <w:rFonts w:cs="David"/>
          <w:b/>
          <w:bCs/>
          <w:rtl/>
        </w:rPr>
        <w:t xml:space="preserve">ו של </w:t>
      </w:r>
      <w:r w:rsidR="0026500C" w:rsidRPr="000B11C2">
        <w:rPr>
          <w:rFonts w:cs="David"/>
          <w:b/>
          <w:bCs/>
          <w:rtl/>
        </w:rPr>
        <w:t>המערער</w:t>
      </w:r>
      <w:r w:rsidR="00AE7C6C" w:rsidRPr="000B11C2">
        <w:rPr>
          <w:rFonts w:cs="David"/>
          <w:rtl/>
        </w:rPr>
        <w:t>.</w:t>
      </w:r>
    </w:p>
    <w:p w:rsidR="005850BA" w:rsidRPr="000B11C2" w:rsidRDefault="005850BA" w:rsidP="0013771F">
      <w:pPr>
        <w:pStyle w:val="a8"/>
        <w:tabs>
          <w:tab w:val="left" w:pos="674"/>
        </w:tabs>
        <w:spacing w:after="220" w:line="360" w:lineRule="auto"/>
        <w:ind w:left="674"/>
        <w:rPr>
          <w:rFonts w:cs="David"/>
        </w:rPr>
      </w:pPr>
      <w:r w:rsidRPr="000B11C2">
        <w:rPr>
          <w:rFonts w:cs="David"/>
          <w:rtl/>
        </w:rPr>
        <w:t xml:space="preserve">בסעיף 2 לפסק הדין מצטט בית הדין קמא </w:t>
      </w:r>
      <w:r w:rsidR="004E2B5D" w:rsidRPr="000B11C2">
        <w:rPr>
          <w:rFonts w:cs="David"/>
          <w:rtl/>
        </w:rPr>
        <w:t xml:space="preserve">רק </w:t>
      </w:r>
      <w:r w:rsidRPr="000B11C2">
        <w:rPr>
          <w:rFonts w:cs="David"/>
          <w:rtl/>
        </w:rPr>
        <w:t xml:space="preserve">חלק ממנגנון </w:t>
      </w:r>
      <w:r w:rsidR="0026500C" w:rsidRPr="000B11C2">
        <w:rPr>
          <w:rFonts w:cs="David"/>
          <w:rtl/>
        </w:rPr>
        <w:t>הפסקת ההעסקה</w:t>
      </w:r>
      <w:r w:rsidRPr="000B11C2">
        <w:rPr>
          <w:rFonts w:cs="David"/>
          <w:rtl/>
        </w:rPr>
        <w:t xml:space="preserve">, </w:t>
      </w:r>
      <w:r w:rsidR="009126B5" w:rsidRPr="000B11C2">
        <w:rPr>
          <w:rFonts w:cs="David"/>
          <w:rtl/>
        </w:rPr>
        <w:t>כאשר</w:t>
      </w:r>
      <w:r w:rsidR="00500796" w:rsidRPr="000B11C2">
        <w:rPr>
          <w:rFonts w:cs="David"/>
          <w:rtl/>
        </w:rPr>
        <w:t xml:space="preserve"> ה</w:t>
      </w:r>
      <w:r w:rsidRPr="000B11C2">
        <w:rPr>
          <w:rFonts w:cs="David"/>
          <w:rtl/>
        </w:rPr>
        <w:t xml:space="preserve">ציטוט </w:t>
      </w:r>
      <w:r w:rsidR="00500796" w:rsidRPr="000B11C2">
        <w:rPr>
          <w:rFonts w:cs="David"/>
          <w:rtl/>
        </w:rPr>
        <w:t>ה</w:t>
      </w:r>
      <w:r w:rsidRPr="000B11C2">
        <w:rPr>
          <w:rFonts w:cs="David"/>
          <w:rtl/>
        </w:rPr>
        <w:t>חלקי יוצר את הרושם כי די בהחלט</w:t>
      </w:r>
      <w:r w:rsidR="0026500C" w:rsidRPr="000B11C2">
        <w:rPr>
          <w:rFonts w:cs="David"/>
          <w:rtl/>
        </w:rPr>
        <w:t>ה של</w:t>
      </w:r>
      <w:r w:rsidRPr="000B11C2">
        <w:rPr>
          <w:rFonts w:cs="David"/>
          <w:rtl/>
        </w:rPr>
        <w:t xml:space="preserve"> נציב שירות המדינה</w:t>
      </w:r>
      <w:r w:rsidR="00E5283C" w:rsidRPr="000B11C2">
        <w:rPr>
          <w:rFonts w:cs="David"/>
          <w:rtl/>
        </w:rPr>
        <w:t xml:space="preserve"> להפסקת שירותו של המערער</w:t>
      </w:r>
      <w:r w:rsidR="009126B5" w:rsidRPr="000B11C2">
        <w:rPr>
          <w:rFonts w:cs="David"/>
          <w:rtl/>
        </w:rPr>
        <w:t xml:space="preserve">, </w:t>
      </w:r>
      <w:r w:rsidRPr="000B11C2">
        <w:rPr>
          <w:rFonts w:cs="David"/>
          <w:rtl/>
        </w:rPr>
        <w:t>שעה ש</w:t>
      </w:r>
      <w:r w:rsidR="00500796" w:rsidRPr="000B11C2">
        <w:rPr>
          <w:rFonts w:cs="David"/>
          <w:rtl/>
        </w:rPr>
        <w:t xml:space="preserve">כאמור </w:t>
      </w:r>
      <w:r w:rsidRPr="000B11C2">
        <w:rPr>
          <w:rFonts w:cs="David"/>
          <w:rtl/>
        </w:rPr>
        <w:t>החוזה קובע תנאים נוספים ואחרים</w:t>
      </w:r>
      <w:r w:rsidR="009D2385" w:rsidRPr="000B11C2">
        <w:rPr>
          <w:rFonts w:cs="David"/>
          <w:rtl/>
        </w:rPr>
        <w:t xml:space="preserve">,  </w:t>
      </w:r>
      <w:r w:rsidR="00F7381A" w:rsidRPr="000B11C2">
        <w:rPr>
          <w:rFonts w:cs="David"/>
          <w:rtl/>
        </w:rPr>
        <w:t xml:space="preserve">מהם התעלם כאמור ביה"ד </w:t>
      </w:r>
      <w:r w:rsidR="009D2385" w:rsidRPr="000B11C2">
        <w:rPr>
          <w:rFonts w:cs="David"/>
          <w:rtl/>
        </w:rPr>
        <w:t xml:space="preserve">קמא </w:t>
      </w:r>
      <w:r w:rsidR="00F7381A" w:rsidRPr="000B11C2">
        <w:rPr>
          <w:rFonts w:cs="David"/>
          <w:rtl/>
        </w:rPr>
        <w:t>לחלוטין</w:t>
      </w:r>
      <w:r w:rsidRPr="000B11C2">
        <w:rPr>
          <w:rFonts w:cs="David"/>
          <w:rtl/>
        </w:rPr>
        <w:t>.</w:t>
      </w:r>
      <w:r w:rsidR="00EE1215" w:rsidRPr="000B11C2">
        <w:rPr>
          <w:rFonts w:cs="David"/>
          <w:rtl/>
        </w:rPr>
        <w:t xml:space="preserve"> </w:t>
      </w:r>
    </w:p>
    <w:p w:rsidR="00F60482" w:rsidRPr="0013771F" w:rsidRDefault="00EE1215" w:rsidP="0013771F">
      <w:pPr>
        <w:pStyle w:val="a8"/>
        <w:tabs>
          <w:tab w:val="left" w:pos="674"/>
        </w:tabs>
        <w:spacing w:after="220" w:line="360" w:lineRule="auto"/>
      </w:pPr>
      <w:r w:rsidRPr="000B11C2">
        <w:rPr>
          <w:rFonts w:ascii="David" w:hAnsi="David" w:cs="David"/>
          <w:u w:val="single"/>
          <w:rtl/>
        </w:rPr>
        <w:t>בחזרה לסדר הכרונולוגי של הדברים</w:t>
      </w:r>
      <w:r w:rsidRPr="000B11C2">
        <w:rPr>
          <w:rFonts w:ascii="David" w:hAnsi="David" w:cs="David"/>
          <w:rtl/>
        </w:rPr>
        <w:t xml:space="preserve">: </w:t>
      </w:r>
    </w:p>
    <w:p w:rsidR="00566A93" w:rsidRPr="000B11C2" w:rsidRDefault="00566A93" w:rsidP="0013771F">
      <w:pPr>
        <w:pStyle w:val="a8"/>
        <w:numPr>
          <w:ilvl w:val="0"/>
          <w:numId w:val="9"/>
        </w:numPr>
        <w:tabs>
          <w:tab w:val="left" w:pos="674"/>
        </w:tabs>
        <w:spacing w:after="220" w:line="360" w:lineRule="auto"/>
        <w:ind w:left="674" w:hanging="630"/>
        <w:rPr>
          <w:rtl/>
        </w:rPr>
      </w:pPr>
      <w:r w:rsidRPr="000B11C2">
        <w:rPr>
          <w:rFonts w:ascii="David" w:hAnsi="David" w:cs="David"/>
          <w:rtl/>
        </w:rPr>
        <w:t xml:space="preserve">ביום 4.7.2012 קיבל המערער </w:t>
      </w:r>
      <w:r w:rsidR="00C623D4" w:rsidRPr="000B11C2">
        <w:rPr>
          <w:rFonts w:ascii="David" w:hAnsi="David" w:cs="David"/>
          <w:rtl/>
        </w:rPr>
        <w:t>בדוא"ל</w:t>
      </w:r>
      <w:r w:rsidRPr="000B11C2">
        <w:rPr>
          <w:rFonts w:ascii="David" w:hAnsi="David" w:cs="David"/>
          <w:rtl/>
        </w:rPr>
        <w:t xml:space="preserve"> מכתב, בחתימת מנהלת אגף ב' משאבי אנוש במשרד האוצר, גב' רבקה כלב, המודיע לו </w:t>
      </w:r>
      <w:r w:rsidR="00EE1215" w:rsidRPr="000B11C2">
        <w:rPr>
          <w:rFonts w:ascii="David" w:hAnsi="David" w:cs="David"/>
          <w:b/>
          <w:bCs/>
          <w:rtl/>
        </w:rPr>
        <w:t>ל</w:t>
      </w:r>
      <w:r w:rsidRPr="000B11C2">
        <w:rPr>
          <w:rFonts w:ascii="David" w:hAnsi="David" w:cs="David"/>
          <w:b/>
          <w:bCs/>
          <w:rtl/>
        </w:rPr>
        <w:t>ראשונה</w:t>
      </w:r>
      <w:r w:rsidRPr="000B11C2">
        <w:rPr>
          <w:rFonts w:ascii="David" w:hAnsi="David" w:cs="David"/>
          <w:rtl/>
        </w:rPr>
        <w:t xml:space="preserve"> </w:t>
      </w:r>
      <w:r w:rsidR="00EE1215" w:rsidRPr="000B11C2">
        <w:rPr>
          <w:rFonts w:ascii="David" w:hAnsi="David" w:cs="David"/>
          <w:rtl/>
        </w:rPr>
        <w:t>שה</w:t>
      </w:r>
      <w:r w:rsidRPr="000B11C2">
        <w:rPr>
          <w:rFonts w:ascii="David" w:hAnsi="David" w:cs="David"/>
          <w:rtl/>
        </w:rPr>
        <w:t xml:space="preserve">עסקתו תסתיים ביום 31.7.2012. </w:t>
      </w:r>
      <w:r w:rsidRPr="000B11C2">
        <w:rPr>
          <w:rFonts w:cs="David"/>
          <w:rtl/>
        </w:rPr>
        <w:t>המערער השיב, בו ביום, שמדובר בטעות, נוכח הוראות החוזה. בין הצדדים החלה התכתבות בעניין זה</w:t>
      </w:r>
      <w:r w:rsidR="00D408AF">
        <w:rPr>
          <w:rFonts w:cs="David"/>
          <w:rtl/>
        </w:rPr>
        <w:t xml:space="preserve"> (</w:t>
      </w:r>
      <w:r w:rsidR="00D408AF">
        <w:rPr>
          <w:rFonts w:cs="David"/>
          <w:i/>
          <w:iCs/>
          <w:rtl/>
        </w:rPr>
        <w:t>ראו נספחים 4א' – 4ד' לכתב התביעה</w:t>
      </w:r>
      <w:r w:rsidR="00D408AF">
        <w:rPr>
          <w:rFonts w:cs="David"/>
          <w:rtl/>
        </w:rPr>
        <w:t>)</w:t>
      </w:r>
      <w:r w:rsidRPr="000B11C2">
        <w:rPr>
          <w:rFonts w:cs="David"/>
          <w:rtl/>
        </w:rPr>
        <w:t>.</w:t>
      </w:r>
    </w:p>
    <w:p w:rsidR="00566A93" w:rsidRPr="000B11C2" w:rsidRDefault="00566A93" w:rsidP="0013771F">
      <w:pPr>
        <w:pStyle w:val="a8"/>
        <w:numPr>
          <w:ilvl w:val="0"/>
          <w:numId w:val="9"/>
        </w:numPr>
        <w:tabs>
          <w:tab w:val="left" w:pos="674"/>
        </w:tabs>
        <w:spacing w:after="220" w:line="360" w:lineRule="auto"/>
        <w:ind w:left="674" w:hanging="630"/>
        <w:rPr>
          <w:rFonts w:ascii="David" w:hAnsi="David" w:cs="David"/>
        </w:rPr>
      </w:pPr>
      <w:r w:rsidRPr="000B11C2">
        <w:rPr>
          <w:rFonts w:ascii="David" w:hAnsi="David" w:cs="David"/>
          <w:rtl/>
        </w:rPr>
        <w:t xml:space="preserve">משחלפו 3 שבועות ואיש לא פנה אליו יותר, הניח המערער </w:t>
      </w:r>
      <w:r w:rsidR="006E332A" w:rsidRPr="000B11C2">
        <w:rPr>
          <w:rFonts w:ascii="David" w:hAnsi="David" w:cs="David"/>
          <w:rtl/>
        </w:rPr>
        <w:t>שטענותיו התקבלו</w:t>
      </w:r>
      <w:r w:rsidRPr="000B11C2">
        <w:rPr>
          <w:rFonts w:ascii="David" w:hAnsi="David" w:cs="David"/>
          <w:rtl/>
        </w:rPr>
        <w:t xml:space="preserve">. להפתעתו הוא קיבל ביום 23.7.2012, באמצעות </w:t>
      </w:r>
      <w:r w:rsidR="00C623D4" w:rsidRPr="000B11C2">
        <w:rPr>
          <w:rFonts w:ascii="David" w:hAnsi="David" w:cs="David"/>
          <w:rtl/>
        </w:rPr>
        <w:t>הדוא"ל</w:t>
      </w:r>
      <w:r w:rsidRPr="000B11C2">
        <w:rPr>
          <w:rFonts w:ascii="David" w:hAnsi="David" w:cs="David"/>
          <w:rtl/>
        </w:rPr>
        <w:t xml:space="preserve">, מכתב מגב' כלב, המודיע לו כי עבודתו תסתיים ביום 31.7.2012. המערער השיב והסביר </w:t>
      </w:r>
      <w:r w:rsidR="00C623D4" w:rsidRPr="000B11C2">
        <w:rPr>
          <w:rFonts w:ascii="David" w:hAnsi="David" w:cs="David"/>
          <w:rtl/>
        </w:rPr>
        <w:t>כי מדובר בטעות,</w:t>
      </w:r>
      <w:r w:rsidRPr="000B11C2">
        <w:rPr>
          <w:rFonts w:ascii="David" w:hAnsi="David" w:cs="David"/>
          <w:rtl/>
        </w:rPr>
        <w:t xml:space="preserve"> והבהיר </w:t>
      </w:r>
      <w:r w:rsidR="00E5283C" w:rsidRPr="000B11C2">
        <w:rPr>
          <w:rFonts w:ascii="David" w:hAnsi="David" w:cs="David"/>
          <w:rtl/>
        </w:rPr>
        <w:t>ש</w:t>
      </w:r>
      <w:r w:rsidRPr="000B11C2">
        <w:rPr>
          <w:rFonts w:ascii="David" w:hAnsi="David" w:cs="David"/>
          <w:rtl/>
        </w:rPr>
        <w:t>הוא מבין שלא יינקטו צעדים חד-צדדיים</w:t>
      </w:r>
      <w:r w:rsidR="00D408AF">
        <w:rPr>
          <w:rFonts w:ascii="David" w:hAnsi="David" w:cs="David"/>
          <w:rtl/>
        </w:rPr>
        <w:t xml:space="preserve"> (</w:t>
      </w:r>
      <w:r w:rsidR="00D408AF">
        <w:rPr>
          <w:rFonts w:ascii="David" w:hAnsi="David" w:cs="David"/>
          <w:i/>
          <w:iCs/>
          <w:rtl/>
        </w:rPr>
        <w:t>נספחים 5א' – 5ב' לכתב התביעה</w:t>
      </w:r>
      <w:r w:rsidR="00D408AF" w:rsidRPr="0013771F">
        <w:rPr>
          <w:rFonts w:ascii="David" w:hAnsi="David" w:cs="David"/>
          <w:rtl/>
        </w:rPr>
        <w:t>)</w:t>
      </w:r>
      <w:r w:rsidRPr="000B11C2">
        <w:rPr>
          <w:rFonts w:ascii="David" w:hAnsi="David" w:cs="David"/>
          <w:rtl/>
        </w:rPr>
        <w:t>. במקביל, ניסה המערער לשוחח עם גב' כלב, אך ממשרדה נמסר לו שהיא בחופשה עד תחילת אוגוסט 2012.</w:t>
      </w:r>
    </w:p>
    <w:p w:rsidR="00C31A68" w:rsidRDefault="00566A93" w:rsidP="0013771F">
      <w:pPr>
        <w:pStyle w:val="a8"/>
        <w:numPr>
          <w:ilvl w:val="0"/>
          <w:numId w:val="9"/>
        </w:numPr>
        <w:tabs>
          <w:tab w:val="left" w:pos="674"/>
        </w:tabs>
        <w:spacing w:after="220" w:line="360" w:lineRule="auto"/>
        <w:ind w:left="674" w:hanging="630"/>
        <w:rPr>
          <w:rFonts w:ascii="David" w:hAnsi="David" w:cs="David"/>
        </w:rPr>
      </w:pPr>
      <w:r w:rsidRPr="000B11C2">
        <w:rPr>
          <w:rFonts w:ascii="David" w:hAnsi="David" w:cs="David"/>
          <w:rtl/>
        </w:rPr>
        <w:t xml:space="preserve">בין לבין המשיך המערער את עבודתו </w:t>
      </w:r>
      <w:r w:rsidR="00C623D4" w:rsidRPr="000B11C2">
        <w:rPr>
          <w:rFonts w:ascii="David" w:hAnsi="David" w:cs="David"/>
          <w:rtl/>
        </w:rPr>
        <w:t>מבלי שניתן לו</w:t>
      </w:r>
      <w:r w:rsidR="006E332A" w:rsidRPr="000B11C2">
        <w:rPr>
          <w:rFonts w:ascii="David" w:hAnsi="David" w:cs="David"/>
          <w:rtl/>
        </w:rPr>
        <w:t xml:space="preserve"> רמז על הכוונה לסיימה. ודוק- </w:t>
      </w:r>
      <w:r w:rsidRPr="000B11C2">
        <w:rPr>
          <w:rFonts w:ascii="David" w:hAnsi="David" w:cs="David"/>
          <w:rtl/>
        </w:rPr>
        <w:t xml:space="preserve"> </w:t>
      </w:r>
      <w:r w:rsidRPr="000B11C2">
        <w:rPr>
          <w:rFonts w:ascii="David" w:hAnsi="David" w:cs="David"/>
          <w:b/>
          <w:bCs/>
          <w:rtl/>
        </w:rPr>
        <w:t>לא נאמר למערער דבר וחצי דבר על פרישתו, לא אוזכר הצורך במינוי מחליף, מי יהיה המחליף, מתי תבוצע חפיפה, ולא ניתן כל רמז לכך שהמערער יסולק מעבודתו בתוך מספר ימים</w:t>
      </w:r>
      <w:r w:rsidRPr="000B11C2">
        <w:rPr>
          <w:rFonts w:ascii="David" w:hAnsi="David" w:cs="David"/>
          <w:rtl/>
        </w:rPr>
        <w:t xml:space="preserve">. </w:t>
      </w:r>
    </w:p>
    <w:p w:rsidR="006E332A" w:rsidRPr="000B11C2" w:rsidRDefault="00C623D4" w:rsidP="0013771F">
      <w:pPr>
        <w:pStyle w:val="a8"/>
        <w:tabs>
          <w:tab w:val="left" w:pos="674"/>
        </w:tabs>
        <w:spacing w:after="220" w:line="360" w:lineRule="auto"/>
        <w:ind w:left="674"/>
        <w:rPr>
          <w:rFonts w:ascii="David" w:hAnsi="David" w:cs="David"/>
        </w:rPr>
      </w:pPr>
      <w:r w:rsidRPr="000B11C2">
        <w:rPr>
          <w:rFonts w:ascii="David" w:hAnsi="David" w:cs="David"/>
          <w:rtl/>
        </w:rPr>
        <w:t>להפתעתו</w:t>
      </w:r>
      <w:r w:rsidR="00C31A68">
        <w:rPr>
          <w:rFonts w:ascii="David" w:hAnsi="David" w:cs="David"/>
          <w:rtl/>
        </w:rPr>
        <w:t xml:space="preserve"> של המערער</w:t>
      </w:r>
      <w:r w:rsidRPr="000B11C2">
        <w:rPr>
          <w:rFonts w:ascii="David" w:hAnsi="David" w:cs="David"/>
          <w:rtl/>
        </w:rPr>
        <w:t xml:space="preserve">, </w:t>
      </w:r>
      <w:r w:rsidR="006E332A" w:rsidRPr="000B11C2">
        <w:rPr>
          <w:rFonts w:ascii="David" w:hAnsi="David" w:cs="David"/>
          <w:rtl/>
        </w:rPr>
        <w:t xml:space="preserve">ביום 1.8.2012 – בזמן שהמערער עוסק בהכנה וביצוע של אלפי תשלומים -  התייצבה במפתיע במשרדו של המערער עובדת לא מוכרת למערער, והודיעה לו כי קיבלה מינוי, בתקן של מילוי מקום, לתפקיד שממלא המערער. כך, ללא חפיפה, ללא עדכון מראש, ובניגוד להבנה של המערער כי לא יבוצעו צעדים חד-צדדיים. </w:t>
      </w:r>
    </w:p>
    <w:p w:rsidR="00C31A68" w:rsidRDefault="00C31A68" w:rsidP="0013771F">
      <w:pPr>
        <w:pStyle w:val="a8"/>
        <w:tabs>
          <w:tab w:val="left" w:pos="674"/>
        </w:tabs>
        <w:spacing w:after="220" w:line="360" w:lineRule="auto"/>
        <w:ind w:left="674"/>
        <w:rPr>
          <w:rFonts w:ascii="David" w:hAnsi="David" w:cs="David"/>
          <w:rtl/>
        </w:rPr>
      </w:pPr>
    </w:p>
    <w:p w:rsidR="006E332A" w:rsidRPr="000B11C2" w:rsidRDefault="006E332A" w:rsidP="0013771F">
      <w:pPr>
        <w:pStyle w:val="a8"/>
        <w:tabs>
          <w:tab w:val="left" w:pos="674"/>
        </w:tabs>
        <w:spacing w:after="220" w:line="360" w:lineRule="auto"/>
        <w:ind w:left="674"/>
        <w:rPr>
          <w:rFonts w:ascii="David" w:hAnsi="David" w:cs="David"/>
          <w:rtl/>
        </w:rPr>
      </w:pPr>
      <w:r w:rsidRPr="000B11C2">
        <w:rPr>
          <w:rFonts w:ascii="David" w:hAnsi="David" w:cs="David"/>
          <w:rtl/>
        </w:rPr>
        <w:lastRenderedPageBreak/>
        <w:t>המערער פנה מי</w:t>
      </w:r>
      <w:r w:rsidR="009308D3" w:rsidRPr="000B11C2">
        <w:rPr>
          <w:rFonts w:ascii="David" w:hAnsi="David" w:cs="David"/>
          <w:rtl/>
        </w:rPr>
        <w:t>י</w:t>
      </w:r>
      <w:r w:rsidRPr="000B11C2">
        <w:rPr>
          <w:rFonts w:ascii="David" w:hAnsi="David" w:cs="David"/>
          <w:rtl/>
        </w:rPr>
        <w:t xml:space="preserve">ד בכתב לחשבת הכללית דאז, מחה על ההתנהלות הכוחנית נגדו, ועל כך שהמחליפה כלל לא ביצעה חפיפה מסודרת, למרות רגישות התחום עליו </w:t>
      </w:r>
      <w:r w:rsidR="005836F5" w:rsidRPr="000B11C2">
        <w:rPr>
          <w:rFonts w:ascii="David" w:hAnsi="David" w:cs="David"/>
          <w:rtl/>
        </w:rPr>
        <w:t xml:space="preserve">הוא </w:t>
      </w:r>
      <w:r w:rsidRPr="000B11C2">
        <w:rPr>
          <w:rFonts w:ascii="David" w:hAnsi="David" w:cs="David"/>
          <w:rtl/>
        </w:rPr>
        <w:t xml:space="preserve">אחראי. המערער הבהיר </w:t>
      </w:r>
      <w:r w:rsidR="005836F5" w:rsidRPr="000B11C2">
        <w:rPr>
          <w:rFonts w:ascii="David" w:hAnsi="David" w:cs="David"/>
          <w:rtl/>
        </w:rPr>
        <w:t>ש</w:t>
      </w:r>
      <w:r w:rsidRPr="000B11C2">
        <w:rPr>
          <w:rFonts w:ascii="David" w:hAnsi="David" w:cs="David"/>
          <w:rtl/>
        </w:rPr>
        <w:t>ימשיך להגיע לעבודתו כרגיל</w:t>
      </w:r>
      <w:r w:rsidR="005836F5" w:rsidRPr="000B11C2">
        <w:rPr>
          <w:rFonts w:ascii="David" w:hAnsi="David" w:cs="David"/>
          <w:rtl/>
        </w:rPr>
        <w:t xml:space="preserve"> (</w:t>
      </w:r>
      <w:r w:rsidR="005836F5" w:rsidRPr="000B11C2">
        <w:rPr>
          <w:rFonts w:ascii="David" w:hAnsi="David" w:cs="David"/>
          <w:i/>
          <w:iCs/>
          <w:rtl/>
        </w:rPr>
        <w:t>נספח 6 לכתב התביעה</w:t>
      </w:r>
      <w:r w:rsidR="005836F5" w:rsidRPr="000B11C2">
        <w:rPr>
          <w:rFonts w:ascii="David" w:hAnsi="David" w:cs="David"/>
          <w:rtl/>
        </w:rPr>
        <w:t>).</w:t>
      </w:r>
      <w:r w:rsidRPr="000B11C2">
        <w:rPr>
          <w:rFonts w:ascii="David" w:hAnsi="David" w:cs="David"/>
          <w:rtl/>
        </w:rPr>
        <w:t xml:space="preserve"> לפנייתו זאת של המערער לא ניתנה תשובה כלשהי. </w:t>
      </w:r>
      <w:r w:rsidR="002770B8" w:rsidRPr="000B11C2">
        <w:rPr>
          <w:rFonts w:ascii="David" w:hAnsi="David" w:cs="David"/>
          <w:rtl/>
        </w:rPr>
        <w:t xml:space="preserve">עוד יצוין כי </w:t>
      </w:r>
      <w:r w:rsidRPr="000B11C2">
        <w:rPr>
          <w:rFonts w:ascii="David" w:hAnsi="David" w:cs="David"/>
          <w:rtl/>
        </w:rPr>
        <w:t xml:space="preserve">העובדת עזבה את המקום ולא חזרה. </w:t>
      </w:r>
    </w:p>
    <w:p w:rsidR="006E332A" w:rsidRPr="000B11C2" w:rsidRDefault="006E332A" w:rsidP="0013771F">
      <w:pPr>
        <w:pStyle w:val="a8"/>
        <w:numPr>
          <w:ilvl w:val="0"/>
          <w:numId w:val="9"/>
        </w:numPr>
        <w:tabs>
          <w:tab w:val="left" w:pos="674"/>
        </w:tabs>
        <w:spacing w:after="220" w:line="360" w:lineRule="auto"/>
        <w:ind w:left="674" w:hanging="630"/>
        <w:rPr>
          <w:rFonts w:ascii="David" w:hAnsi="David" w:cs="David"/>
        </w:rPr>
      </w:pPr>
      <w:r w:rsidRPr="000B11C2">
        <w:rPr>
          <w:rFonts w:ascii="David" w:hAnsi="David" w:cs="David"/>
          <w:rtl/>
        </w:rPr>
        <w:t xml:space="preserve">המערער המשיך להתייצב לעבודתו עד ליום 5.8.2012. במועד זה זומן המערער טלפונית לישיבה בשעות אחה"צ אצל סמנכ"לית משרד האוצר. במעמד זה </w:t>
      </w:r>
      <w:r w:rsidR="00653E4E" w:rsidRPr="000B11C2">
        <w:rPr>
          <w:rFonts w:ascii="David" w:hAnsi="David" w:cs="David"/>
          <w:rtl/>
        </w:rPr>
        <w:t xml:space="preserve">הודיעה לו שהעסקתו </w:t>
      </w:r>
      <w:r w:rsidR="00EE1215" w:rsidRPr="000B11C2">
        <w:rPr>
          <w:rFonts w:ascii="David" w:hAnsi="David" w:cs="David"/>
          <w:rtl/>
        </w:rPr>
        <w:t>הסתיימה</w:t>
      </w:r>
      <w:r w:rsidR="00653E4E" w:rsidRPr="000B11C2">
        <w:rPr>
          <w:rFonts w:ascii="David" w:hAnsi="David" w:cs="David"/>
          <w:rtl/>
        </w:rPr>
        <w:t>, שעליו לפנות מיד את משרדו ו</w:t>
      </w:r>
      <w:r w:rsidRPr="000B11C2">
        <w:rPr>
          <w:rFonts w:ascii="David" w:hAnsi="David" w:cs="David"/>
          <w:rtl/>
        </w:rPr>
        <w:t>מסר</w:t>
      </w:r>
      <w:r w:rsidR="00653E4E" w:rsidRPr="000B11C2">
        <w:rPr>
          <w:rFonts w:ascii="David" w:hAnsi="David" w:cs="David"/>
          <w:rtl/>
        </w:rPr>
        <w:t>ה</w:t>
      </w:r>
      <w:r w:rsidRPr="000B11C2">
        <w:rPr>
          <w:rFonts w:ascii="David" w:hAnsi="David" w:cs="David"/>
          <w:rtl/>
        </w:rPr>
        <w:t xml:space="preserve"> לו מכתב בחתימת החשבת הכללית-לפיו כל סמכויותיו כחשב מבוטלות </w:t>
      </w:r>
      <w:r w:rsidR="00653E4E" w:rsidRPr="000B11C2">
        <w:rPr>
          <w:rFonts w:ascii="David" w:hAnsi="David" w:cs="David"/>
          <w:rtl/>
        </w:rPr>
        <w:t xml:space="preserve">מאחר </w:t>
      </w:r>
      <w:r w:rsidR="00EE1215" w:rsidRPr="000B11C2">
        <w:rPr>
          <w:rFonts w:ascii="David" w:hAnsi="David" w:cs="David"/>
          <w:rtl/>
        </w:rPr>
        <w:t>ש</w:t>
      </w:r>
      <w:r w:rsidR="009308D3" w:rsidRPr="000B11C2">
        <w:rPr>
          <w:rFonts w:ascii="David" w:hAnsi="David" w:cs="David"/>
          <w:rtl/>
        </w:rPr>
        <w:t>תקופת שירותו הסתיימה</w:t>
      </w:r>
      <w:r w:rsidR="00CF5D73">
        <w:rPr>
          <w:rFonts w:ascii="David" w:hAnsi="David" w:cs="David"/>
          <w:rtl/>
        </w:rPr>
        <w:t xml:space="preserve"> (</w:t>
      </w:r>
      <w:r w:rsidR="00CF5D73">
        <w:rPr>
          <w:rFonts w:ascii="David" w:hAnsi="David" w:cs="David"/>
          <w:i/>
          <w:iCs/>
          <w:rtl/>
        </w:rPr>
        <w:t>ראו נספחים 7א' – 7ג' לכתב התביעה)</w:t>
      </w:r>
      <w:r w:rsidRPr="000B11C2">
        <w:rPr>
          <w:rFonts w:ascii="David" w:hAnsi="David" w:cs="David"/>
          <w:rtl/>
        </w:rPr>
        <w:t>.</w:t>
      </w:r>
      <w:r w:rsidR="009308D3" w:rsidRPr="000B11C2">
        <w:rPr>
          <w:rFonts w:ascii="David" w:hAnsi="David" w:cs="David"/>
          <w:rtl/>
        </w:rPr>
        <w:t xml:space="preserve"> </w:t>
      </w:r>
      <w:r w:rsidR="00653E4E" w:rsidRPr="000B11C2">
        <w:rPr>
          <w:rFonts w:ascii="David" w:hAnsi="David" w:cs="David"/>
          <w:rtl/>
        </w:rPr>
        <w:t>הובהר</w:t>
      </w:r>
      <w:r w:rsidRPr="000B11C2">
        <w:rPr>
          <w:rFonts w:ascii="David" w:hAnsi="David" w:cs="David"/>
          <w:rtl/>
        </w:rPr>
        <w:t xml:space="preserve"> למערער כי </w:t>
      </w:r>
      <w:r w:rsidRPr="000B11C2">
        <w:rPr>
          <w:rFonts w:ascii="David" w:hAnsi="David" w:cs="David"/>
          <w:b/>
          <w:bCs/>
          <w:rtl/>
        </w:rPr>
        <w:t>אם יחזור למשרדו ייחשב כמסיג גבול!</w:t>
      </w:r>
      <w:r w:rsidRPr="000B11C2">
        <w:rPr>
          <w:rFonts w:ascii="David" w:hAnsi="David" w:cs="David"/>
          <w:rtl/>
        </w:rPr>
        <w:t xml:space="preserve"> נזכיר </w:t>
      </w:r>
      <w:r w:rsidR="00EE1215" w:rsidRPr="000B11C2">
        <w:rPr>
          <w:rFonts w:ascii="David" w:hAnsi="David" w:cs="David"/>
          <w:rtl/>
        </w:rPr>
        <w:t>ש</w:t>
      </w:r>
      <w:r w:rsidRPr="000B11C2">
        <w:rPr>
          <w:rFonts w:ascii="David" w:hAnsi="David" w:cs="David"/>
          <w:b/>
          <w:bCs/>
          <w:rtl/>
        </w:rPr>
        <w:t>מדובר בעובד וותיק ובכיר, שהועסק ב</w:t>
      </w:r>
      <w:r w:rsidR="00EE1215" w:rsidRPr="000B11C2">
        <w:rPr>
          <w:rFonts w:ascii="David" w:hAnsi="David" w:cs="David"/>
          <w:b/>
          <w:bCs/>
          <w:rtl/>
        </w:rPr>
        <w:t>משרד למעלה מארבעים ו</w:t>
      </w:r>
      <w:r w:rsidR="00106C5C" w:rsidRPr="000B11C2">
        <w:rPr>
          <w:rFonts w:ascii="David" w:hAnsi="David" w:cs="David"/>
          <w:b/>
          <w:bCs/>
          <w:rtl/>
        </w:rPr>
        <w:t>שתיים</w:t>
      </w:r>
      <w:r w:rsidR="00EE1215" w:rsidRPr="000B11C2">
        <w:rPr>
          <w:rFonts w:ascii="David" w:hAnsi="David" w:cs="David"/>
          <w:b/>
          <w:bCs/>
          <w:rtl/>
        </w:rPr>
        <w:t xml:space="preserve"> שנים (עוד מ</w:t>
      </w:r>
      <w:r w:rsidRPr="000B11C2">
        <w:rPr>
          <w:rFonts w:ascii="David" w:hAnsi="David" w:cs="David"/>
          <w:b/>
          <w:bCs/>
          <w:rtl/>
        </w:rPr>
        <w:t>שנת 1970!</w:t>
      </w:r>
      <w:r w:rsidR="00EE1215" w:rsidRPr="000B11C2">
        <w:rPr>
          <w:rFonts w:ascii="David" w:hAnsi="David" w:cs="David"/>
          <w:rtl/>
        </w:rPr>
        <w:t>).</w:t>
      </w:r>
    </w:p>
    <w:p w:rsidR="00F80BC7" w:rsidRPr="000B11C2" w:rsidRDefault="00F80BC7" w:rsidP="0013771F">
      <w:pPr>
        <w:pStyle w:val="a8"/>
        <w:numPr>
          <w:ilvl w:val="0"/>
          <w:numId w:val="9"/>
        </w:numPr>
        <w:spacing w:after="220" w:line="360" w:lineRule="auto"/>
        <w:ind w:left="674" w:hanging="630"/>
        <w:rPr>
          <w:rFonts w:ascii="David" w:hAnsi="David" w:cs="David"/>
        </w:rPr>
      </w:pPr>
      <w:r w:rsidRPr="000B11C2">
        <w:rPr>
          <w:rFonts w:ascii="David" w:hAnsi="David" w:cs="David"/>
          <w:rtl/>
        </w:rPr>
        <w:t xml:space="preserve">יצויין כי רק באותה ישיבה אצל סמנכ"לית האוצר,  </w:t>
      </w:r>
      <w:r w:rsidR="008B6F41" w:rsidRPr="000B11C2">
        <w:rPr>
          <w:rFonts w:ascii="David" w:hAnsi="David" w:cs="David"/>
          <w:rtl/>
        </w:rPr>
        <w:t>התברר</w:t>
      </w:r>
      <w:r w:rsidRPr="000B11C2">
        <w:rPr>
          <w:rFonts w:ascii="David" w:hAnsi="David" w:cs="David"/>
          <w:rtl/>
        </w:rPr>
        <w:t xml:space="preserve"> למערער כי </w:t>
      </w:r>
      <w:r w:rsidR="008B6F41" w:rsidRPr="000B11C2">
        <w:rPr>
          <w:rFonts w:ascii="David" w:hAnsi="David" w:cs="David"/>
          <w:rtl/>
        </w:rPr>
        <w:t xml:space="preserve"> </w:t>
      </w:r>
      <w:r w:rsidR="001723F7" w:rsidRPr="000B11C2">
        <w:rPr>
          <w:rFonts w:ascii="David" w:hAnsi="David" w:cs="David"/>
          <w:rtl/>
        </w:rPr>
        <w:t xml:space="preserve">בשנת 2010, </w:t>
      </w:r>
      <w:r w:rsidRPr="000B11C2">
        <w:rPr>
          <w:rFonts w:ascii="David" w:hAnsi="David" w:cs="David"/>
          <w:rtl/>
        </w:rPr>
        <w:t xml:space="preserve">סמוך </w:t>
      </w:r>
      <w:r w:rsidRPr="000B11C2">
        <w:rPr>
          <w:rFonts w:ascii="David" w:hAnsi="David" w:cs="David"/>
          <w:b/>
          <w:bCs/>
          <w:u w:val="single"/>
          <w:rtl/>
        </w:rPr>
        <w:t>ולאחר</w:t>
      </w:r>
      <w:r w:rsidRPr="000B11C2">
        <w:rPr>
          <w:rFonts w:ascii="David" w:hAnsi="David" w:cs="David"/>
          <w:u w:val="single"/>
          <w:rtl/>
        </w:rPr>
        <w:t xml:space="preserve"> </w:t>
      </w:r>
      <w:r w:rsidR="008B6F41" w:rsidRPr="000B11C2">
        <w:rPr>
          <w:rFonts w:ascii="David" w:hAnsi="David" w:cs="David"/>
          <w:rtl/>
        </w:rPr>
        <w:t>שהארכת החוזה עד 2014</w:t>
      </w:r>
      <w:r w:rsidR="001723F7" w:rsidRPr="000B11C2">
        <w:rPr>
          <w:rFonts w:ascii="David" w:hAnsi="David" w:cs="David"/>
          <w:rtl/>
        </w:rPr>
        <w:t xml:space="preserve"> </w:t>
      </w:r>
      <w:r w:rsidRPr="000B11C2">
        <w:rPr>
          <w:rFonts w:ascii="David" w:hAnsi="David" w:cs="David"/>
          <w:rtl/>
        </w:rPr>
        <w:t xml:space="preserve">נכנסה כבר לתוקף, התקיים דין ודברים בין הנציבות למשרד האוצר, והוחלפו, ביניהם בלבד, מסמכים שונים, </w:t>
      </w:r>
      <w:r w:rsidR="00EE1215" w:rsidRPr="000B11C2">
        <w:rPr>
          <w:rFonts w:ascii="David" w:hAnsi="David" w:cs="David"/>
          <w:rtl/>
        </w:rPr>
        <w:t>לפיהם יש</w:t>
      </w:r>
      <w:r w:rsidRPr="000B11C2">
        <w:rPr>
          <w:rFonts w:ascii="David" w:hAnsi="David" w:cs="David"/>
          <w:rtl/>
        </w:rPr>
        <w:t xml:space="preserve"> לדאוג לכך שתקופת העסקתו תסתיים בגיל הפרישה. מסמכים אלה לא הוצגו למערער בזמן אמת, לא התבקשה הסכמתו ו/או עמדתו לעניין תוכנם, לא נערך שימוע לקבלת עמדתו, והוא לא חתם על מסמך כלשהו שמעגן את "הסכמתו" לשינוי החוזה.</w:t>
      </w:r>
    </w:p>
    <w:p w:rsidR="000B11C2" w:rsidRDefault="00F80BC7" w:rsidP="0013771F">
      <w:pPr>
        <w:pStyle w:val="12"/>
        <w:tabs>
          <w:tab w:val="left" w:pos="566"/>
        </w:tabs>
        <w:spacing w:before="0" w:after="220" w:line="360" w:lineRule="auto"/>
        <w:ind w:left="674" w:firstLine="0"/>
        <w:rPr>
          <w:rFonts w:ascii="David" w:hAnsi="David"/>
          <w:sz w:val="24"/>
          <w:rtl/>
        </w:rPr>
      </w:pPr>
      <w:r w:rsidRPr="000B11C2">
        <w:rPr>
          <w:rFonts w:ascii="David" w:hAnsi="David"/>
          <w:sz w:val="24"/>
          <w:rtl/>
        </w:rPr>
        <w:t xml:space="preserve">ברי </w:t>
      </w:r>
      <w:r w:rsidR="008B6F41" w:rsidRPr="000B11C2">
        <w:rPr>
          <w:rFonts w:ascii="David" w:hAnsi="David"/>
          <w:sz w:val="24"/>
          <w:rtl/>
        </w:rPr>
        <w:t xml:space="preserve">על כן, </w:t>
      </w:r>
      <w:r w:rsidRPr="000B11C2">
        <w:rPr>
          <w:rFonts w:ascii="David" w:hAnsi="David"/>
          <w:sz w:val="24"/>
          <w:rtl/>
        </w:rPr>
        <w:t xml:space="preserve">כי הארכת החוזה </w:t>
      </w:r>
      <w:r w:rsidR="00E440B8" w:rsidRPr="000B11C2">
        <w:rPr>
          <w:rFonts w:ascii="David" w:hAnsi="David"/>
          <w:sz w:val="24"/>
          <w:rtl/>
        </w:rPr>
        <w:t xml:space="preserve">ב-2010 </w:t>
      </w:r>
      <w:r w:rsidRPr="000B11C2">
        <w:rPr>
          <w:rFonts w:ascii="David" w:hAnsi="David"/>
          <w:b/>
          <w:bCs/>
          <w:sz w:val="24"/>
          <w:u w:val="single"/>
          <w:rtl/>
        </w:rPr>
        <w:t>לא</w:t>
      </w:r>
      <w:r w:rsidRPr="000B11C2">
        <w:rPr>
          <w:rFonts w:ascii="David" w:hAnsi="David"/>
          <w:sz w:val="24"/>
          <w:rtl/>
        </w:rPr>
        <w:t xml:space="preserve"> נעשתה בהתאם למסמכים אלה, וכאמור לעיל – בוודאי שהמדינה לא נקטה את הפרוצדורה הדרושה לשם אי הארכת החוזה לארבע שנים מלאות. </w:t>
      </w:r>
    </w:p>
    <w:p w:rsidR="00F80BC7" w:rsidRPr="000B11C2" w:rsidRDefault="00F80BC7" w:rsidP="0013771F">
      <w:pPr>
        <w:pStyle w:val="12"/>
        <w:tabs>
          <w:tab w:val="left" w:pos="566"/>
        </w:tabs>
        <w:spacing w:before="0" w:after="220" w:line="360" w:lineRule="auto"/>
        <w:ind w:left="674" w:firstLine="0"/>
        <w:rPr>
          <w:rFonts w:ascii="David" w:hAnsi="David"/>
          <w:sz w:val="24"/>
          <w:rtl/>
        </w:rPr>
      </w:pPr>
      <w:r w:rsidRPr="000B11C2">
        <w:rPr>
          <w:rFonts w:ascii="David" w:hAnsi="David"/>
          <w:sz w:val="24"/>
          <w:rtl/>
        </w:rPr>
        <w:t>לכל היותר ניתן לראות את המדינה כמי שפעלה מאחורי גבו של עובד מדינה בכיר, על מנת להטעות אותו בזמן אמת ולגרום לו לחשוב שהחוזה הוארך בארבע שנים נוספות (סעיף 22 לכתב התביעה).</w:t>
      </w:r>
      <w:r w:rsidR="00E440B8" w:rsidRPr="000B11C2">
        <w:rPr>
          <w:rFonts w:ascii="David" w:hAnsi="David"/>
          <w:b/>
          <w:bCs/>
          <w:sz w:val="24"/>
          <w:rtl/>
        </w:rPr>
        <w:t xml:space="preserve"> בהיעדר הודעה ובהיעדר פעולה גלויה וידועה אחרת מצדן של המשיבות, או מי מהן, תוקף החוזה הוארך, כפי שהיה בפעמים קודמות בעבר, </w:t>
      </w:r>
      <w:r w:rsidR="00E440B8" w:rsidRPr="000B11C2">
        <w:rPr>
          <w:rFonts w:ascii="David" w:hAnsi="David"/>
          <w:b/>
          <w:bCs/>
          <w:sz w:val="24"/>
          <w:u w:val="single"/>
          <w:rtl/>
        </w:rPr>
        <w:t>לתקופה של ארבע שנים נוספות</w:t>
      </w:r>
      <w:r w:rsidR="00E440B8" w:rsidRPr="000B11C2">
        <w:rPr>
          <w:rFonts w:ascii="David" w:hAnsi="David"/>
          <w:b/>
          <w:bCs/>
          <w:sz w:val="24"/>
          <w:rtl/>
        </w:rPr>
        <w:t xml:space="preserve">, וזאת עד ליום </w:t>
      </w:r>
      <w:r w:rsidR="00E440B8" w:rsidRPr="000B11C2">
        <w:rPr>
          <w:rFonts w:ascii="David" w:hAnsi="David"/>
          <w:b/>
          <w:bCs/>
          <w:sz w:val="24"/>
          <w:u w:val="single"/>
          <w:rtl/>
        </w:rPr>
        <w:t>31.3.2014</w:t>
      </w:r>
      <w:r w:rsidR="00E440B8" w:rsidRPr="000B11C2">
        <w:rPr>
          <w:rFonts w:ascii="David" w:hAnsi="David"/>
          <w:szCs w:val="20"/>
          <w:rtl/>
        </w:rPr>
        <w:t>.</w:t>
      </w:r>
    </w:p>
    <w:p w:rsidR="00F80BC7" w:rsidRPr="000B11C2" w:rsidRDefault="001723F7" w:rsidP="0013771F">
      <w:pPr>
        <w:pStyle w:val="a8"/>
        <w:numPr>
          <w:ilvl w:val="0"/>
          <w:numId w:val="9"/>
        </w:numPr>
        <w:tabs>
          <w:tab w:val="left" w:pos="674"/>
        </w:tabs>
        <w:spacing w:after="220" w:line="360" w:lineRule="auto"/>
        <w:ind w:left="674" w:hanging="630"/>
        <w:rPr>
          <w:rFonts w:ascii="David" w:hAnsi="David" w:cs="David"/>
          <w:sz w:val="20"/>
          <w:szCs w:val="20"/>
        </w:rPr>
      </w:pPr>
      <w:r w:rsidRPr="000B11C2">
        <w:rPr>
          <w:rFonts w:ascii="David" w:hAnsi="David" w:cs="David"/>
          <w:rtl/>
        </w:rPr>
        <w:t xml:space="preserve">מיד לאחר </w:t>
      </w:r>
      <w:r w:rsidR="008B6F41" w:rsidRPr="000B11C2">
        <w:rPr>
          <w:rFonts w:ascii="David" w:hAnsi="David" w:cs="David"/>
          <w:rtl/>
        </w:rPr>
        <w:t xml:space="preserve">סילוקו מהעבודה פנה </w:t>
      </w:r>
      <w:r w:rsidR="00E440B8" w:rsidRPr="000B11C2">
        <w:rPr>
          <w:rFonts w:ascii="David" w:hAnsi="David" w:cs="David"/>
          <w:rtl/>
        </w:rPr>
        <w:t xml:space="preserve">המערער </w:t>
      </w:r>
      <w:r w:rsidR="008B6F41" w:rsidRPr="000B11C2">
        <w:rPr>
          <w:rFonts w:ascii="David" w:hAnsi="David" w:cs="David"/>
          <w:rtl/>
        </w:rPr>
        <w:t>ל</w:t>
      </w:r>
      <w:r w:rsidR="00E440B8" w:rsidRPr="000B11C2">
        <w:rPr>
          <w:rFonts w:ascii="David" w:hAnsi="David" w:cs="David"/>
          <w:rtl/>
        </w:rPr>
        <w:t xml:space="preserve">משיבה </w:t>
      </w:r>
      <w:r w:rsidR="008B6F41" w:rsidRPr="000B11C2">
        <w:rPr>
          <w:rFonts w:ascii="David" w:hAnsi="David" w:cs="David"/>
          <w:rtl/>
        </w:rPr>
        <w:t xml:space="preserve">2 </w:t>
      </w:r>
      <w:r w:rsidR="00E440B8" w:rsidRPr="000B11C2">
        <w:rPr>
          <w:rFonts w:ascii="David" w:hAnsi="David" w:cs="David"/>
          <w:rtl/>
        </w:rPr>
        <w:t xml:space="preserve">באמצעות בא כוחו, בדרישה להחזירו לעבודה ולשלם לו את שכרו, אך לא נענה כלל. רק לאחר למעלה מחודשיים בעקבות פנייה נוספת ליועץ המשפטי של משרד האוצר ושיחת טלפון בין ב"כ המערער לעו"ד מהמחלקה המשפטית של המשרד, התקבלה </w:t>
      </w:r>
      <w:r w:rsidR="00E440B8" w:rsidRPr="000B11C2">
        <w:rPr>
          <w:rFonts w:ascii="David" w:hAnsi="David" w:cs="David"/>
          <w:b/>
          <w:bCs/>
          <w:rtl/>
        </w:rPr>
        <w:t xml:space="preserve">ביום 24.10.2012 תשובת משרד האוצר, </w:t>
      </w:r>
      <w:r w:rsidR="00E440B8" w:rsidRPr="000B11C2">
        <w:rPr>
          <w:rFonts w:ascii="David" w:hAnsi="David" w:cs="David"/>
          <w:rtl/>
        </w:rPr>
        <w:t>תשובה המתעלמת לחלוטין מהעובדות, מהחוזה ומהחוק.</w:t>
      </w:r>
      <w:r w:rsidR="00E440B8" w:rsidRPr="000B11C2">
        <w:rPr>
          <w:rFonts w:ascii="David" w:hAnsi="David" w:cs="David"/>
          <w:b/>
          <w:bCs/>
          <w:rtl/>
        </w:rPr>
        <w:t xml:space="preserve"> </w:t>
      </w:r>
    </w:p>
    <w:p w:rsidR="006E332A" w:rsidRPr="000B11C2" w:rsidRDefault="006E332A" w:rsidP="0013771F">
      <w:pPr>
        <w:pStyle w:val="a8"/>
        <w:numPr>
          <w:ilvl w:val="0"/>
          <w:numId w:val="9"/>
        </w:numPr>
        <w:tabs>
          <w:tab w:val="left" w:pos="674"/>
        </w:tabs>
        <w:spacing w:after="220" w:line="360" w:lineRule="auto"/>
        <w:ind w:left="674" w:hanging="630"/>
      </w:pPr>
      <w:r w:rsidRPr="000B11C2">
        <w:rPr>
          <w:rFonts w:cs="David"/>
          <w:rtl/>
        </w:rPr>
        <w:t>המערער יטען כי הפסקת עבודתו נעשתה בניגוד להוראות החוזה</w:t>
      </w:r>
      <w:r w:rsidR="00727859" w:rsidRPr="000B11C2">
        <w:rPr>
          <w:rFonts w:cs="David"/>
          <w:b/>
          <w:bCs/>
          <w:rtl/>
        </w:rPr>
        <w:t>,</w:t>
      </w:r>
      <w:r w:rsidR="00727859" w:rsidRPr="000B11C2">
        <w:rPr>
          <w:rFonts w:cs="David"/>
          <w:rtl/>
        </w:rPr>
        <w:t xml:space="preserve"> </w:t>
      </w:r>
      <w:r w:rsidR="00727859" w:rsidRPr="000B11C2">
        <w:rPr>
          <w:rFonts w:cs="David"/>
          <w:b/>
          <w:bCs/>
          <w:u w:val="single"/>
          <w:rtl/>
        </w:rPr>
        <w:t>במהלך תקופת החוזה הקצוב</w:t>
      </w:r>
      <w:r w:rsidRPr="000B11C2">
        <w:rPr>
          <w:rFonts w:cs="David"/>
          <w:b/>
          <w:bCs/>
          <w:u w:val="single"/>
          <w:rtl/>
        </w:rPr>
        <w:t xml:space="preserve"> ועל ידי גורם שאינו מוסמך להפסיק את העסקתו</w:t>
      </w:r>
      <w:r w:rsidRPr="000B11C2">
        <w:rPr>
          <w:rFonts w:cs="David"/>
          <w:b/>
          <w:bCs/>
          <w:rtl/>
        </w:rPr>
        <w:t xml:space="preserve">. </w:t>
      </w:r>
      <w:r w:rsidRPr="000B11C2">
        <w:rPr>
          <w:rFonts w:ascii="David" w:hAnsi="David" w:cs="David"/>
          <w:rtl/>
        </w:rPr>
        <w:t xml:space="preserve">ודוק - במועד זה עדיין </w:t>
      </w:r>
      <w:r w:rsidRPr="000B11C2">
        <w:rPr>
          <w:rFonts w:ascii="David" w:hAnsi="David" w:cs="David"/>
          <w:b/>
          <w:bCs/>
          <w:rtl/>
        </w:rPr>
        <w:t xml:space="preserve">לא החליט נציב השירות, </w:t>
      </w:r>
      <w:r w:rsidRPr="000B11C2">
        <w:rPr>
          <w:rFonts w:ascii="David" w:hAnsi="David" w:cs="David"/>
          <w:b/>
          <w:bCs/>
          <w:u w:val="single"/>
          <w:rtl/>
        </w:rPr>
        <w:t xml:space="preserve">שהוא הגורם המוסמך </w:t>
      </w:r>
      <w:r w:rsidR="008B6F41" w:rsidRPr="000B11C2">
        <w:rPr>
          <w:rFonts w:ascii="David" w:hAnsi="David" w:cs="David"/>
          <w:b/>
          <w:bCs/>
          <w:u w:val="single"/>
          <w:rtl/>
        </w:rPr>
        <w:t>היחיד</w:t>
      </w:r>
      <w:r w:rsidR="00A44B1E" w:rsidRPr="000B11C2">
        <w:rPr>
          <w:rFonts w:ascii="David" w:hAnsi="David" w:cs="David"/>
          <w:b/>
          <w:bCs/>
          <w:u w:val="single"/>
          <w:rtl/>
        </w:rPr>
        <w:t>,</w:t>
      </w:r>
      <w:r w:rsidR="008B6F41" w:rsidRPr="000B11C2">
        <w:rPr>
          <w:rFonts w:ascii="David" w:hAnsi="David" w:cs="David"/>
          <w:b/>
          <w:bCs/>
          <w:u w:val="single"/>
          <w:rtl/>
        </w:rPr>
        <w:t xml:space="preserve"> </w:t>
      </w:r>
      <w:r w:rsidRPr="000B11C2">
        <w:rPr>
          <w:rFonts w:ascii="David" w:hAnsi="David" w:cs="David"/>
          <w:b/>
          <w:bCs/>
          <w:u w:val="single"/>
          <w:rtl/>
        </w:rPr>
        <w:t>להפסיק את העסקתו של המערער</w:t>
      </w:r>
      <w:r w:rsidR="008B6F41" w:rsidRPr="000B11C2">
        <w:rPr>
          <w:rFonts w:ascii="David" w:hAnsi="David" w:cs="David"/>
          <w:b/>
          <w:bCs/>
          <w:rtl/>
        </w:rPr>
        <w:t>,</w:t>
      </w:r>
      <w:r w:rsidR="008B6F41" w:rsidRPr="000B11C2">
        <w:rPr>
          <w:rFonts w:ascii="David" w:hAnsi="David" w:cs="David"/>
          <w:rtl/>
        </w:rPr>
        <w:t xml:space="preserve"> </w:t>
      </w:r>
      <w:r w:rsidRPr="000B11C2">
        <w:rPr>
          <w:rFonts w:ascii="David" w:hAnsi="David" w:cs="David"/>
          <w:rtl/>
        </w:rPr>
        <w:t xml:space="preserve">המערער לא קיבל הודעה בעניין הגימלה המגיעה לו ובוודאי שלא קיבל גימלה </w:t>
      </w:r>
      <w:r w:rsidR="0001580D" w:rsidRPr="000B11C2">
        <w:rPr>
          <w:rFonts w:ascii="David" w:hAnsi="David" w:cs="David"/>
          <w:b/>
          <w:bCs/>
          <w:rtl/>
        </w:rPr>
        <w:t xml:space="preserve">וממילא </w:t>
      </w:r>
      <w:r w:rsidRPr="000B11C2">
        <w:rPr>
          <w:rFonts w:ascii="David" w:hAnsi="David" w:cs="David"/>
          <w:b/>
          <w:bCs/>
          <w:rtl/>
        </w:rPr>
        <w:t xml:space="preserve">המערער היה במצב משפטי שבו טרם הסתיימה העסקתו. </w:t>
      </w:r>
      <w:r w:rsidRPr="000B11C2">
        <w:rPr>
          <w:rFonts w:ascii="David" w:hAnsi="David" w:cs="David"/>
          <w:rtl/>
        </w:rPr>
        <w:t>מבלי לגרוע מכך נבהיר כי למערער לא נערך שימוע כנדרש, אף שהיה ברור שהוא מעוניין להמשיך בעבודתו מעבר לגיל הפרישה</w:t>
      </w:r>
      <w:r w:rsidR="009308D3" w:rsidRPr="000B11C2">
        <w:rPr>
          <w:rFonts w:ascii="David" w:hAnsi="David" w:cs="David"/>
          <w:rtl/>
        </w:rPr>
        <w:t>.</w:t>
      </w:r>
    </w:p>
    <w:p w:rsidR="008D4BFC" w:rsidRPr="000B11C2" w:rsidRDefault="008D4BFC" w:rsidP="0013771F">
      <w:pPr>
        <w:pStyle w:val="a8"/>
        <w:numPr>
          <w:ilvl w:val="0"/>
          <w:numId w:val="9"/>
        </w:numPr>
        <w:tabs>
          <w:tab w:val="left" w:pos="674"/>
        </w:tabs>
        <w:spacing w:after="220" w:line="360" w:lineRule="auto"/>
        <w:ind w:left="674" w:hanging="630"/>
        <w:rPr>
          <w:rFonts w:cs="David"/>
        </w:rPr>
      </w:pPr>
      <w:r w:rsidRPr="000B11C2">
        <w:rPr>
          <w:rFonts w:cs="David"/>
          <w:rtl/>
        </w:rPr>
        <w:t xml:space="preserve">רק </w:t>
      </w:r>
      <w:r w:rsidRPr="000B11C2">
        <w:rPr>
          <w:rFonts w:cs="David"/>
          <w:b/>
          <w:bCs/>
          <w:rtl/>
        </w:rPr>
        <w:t>בחודש דצמבר 2012</w:t>
      </w:r>
      <w:r w:rsidRPr="000B11C2">
        <w:rPr>
          <w:rFonts w:cs="David"/>
          <w:rtl/>
        </w:rPr>
        <w:t xml:space="preserve"> </w:t>
      </w:r>
      <w:r w:rsidR="00C352E1" w:rsidRPr="000B11C2">
        <w:rPr>
          <w:rFonts w:cs="David"/>
          <w:rtl/>
        </w:rPr>
        <w:t xml:space="preserve">(כחמישה חודשים לאחר הפסקת העסקתו) </w:t>
      </w:r>
      <w:r w:rsidRPr="000B11C2">
        <w:rPr>
          <w:rFonts w:cs="David"/>
          <w:rtl/>
        </w:rPr>
        <w:t xml:space="preserve">קיבל המערער </w:t>
      </w:r>
      <w:r w:rsidR="008B4055" w:rsidRPr="000B11C2">
        <w:rPr>
          <w:rFonts w:cs="David"/>
          <w:rtl/>
        </w:rPr>
        <w:t>הודעה מ</w:t>
      </w:r>
      <w:r w:rsidR="009308D3" w:rsidRPr="000B11C2">
        <w:rPr>
          <w:rFonts w:cs="David"/>
          <w:rtl/>
        </w:rPr>
        <w:t>ה</w:t>
      </w:r>
      <w:r w:rsidR="008B4055" w:rsidRPr="000B11C2">
        <w:rPr>
          <w:rFonts w:cs="David"/>
          <w:rtl/>
        </w:rPr>
        <w:t xml:space="preserve">נציבות על </w:t>
      </w:r>
      <w:r w:rsidR="00177169" w:rsidRPr="000B11C2">
        <w:rPr>
          <w:rFonts w:cs="David"/>
          <w:rtl/>
        </w:rPr>
        <w:t>החלטת</w:t>
      </w:r>
      <w:r w:rsidRPr="000B11C2">
        <w:rPr>
          <w:rFonts w:cs="David"/>
          <w:rtl/>
        </w:rPr>
        <w:t xml:space="preserve"> </w:t>
      </w:r>
      <w:r w:rsidR="0068513F" w:rsidRPr="000B11C2">
        <w:rPr>
          <w:rFonts w:cs="David"/>
          <w:rtl/>
        </w:rPr>
        <w:t>ה</w:t>
      </w:r>
      <w:r w:rsidRPr="000B11C2">
        <w:rPr>
          <w:rFonts w:cs="David"/>
          <w:rtl/>
        </w:rPr>
        <w:t>נציב</w:t>
      </w:r>
      <w:r w:rsidR="0068513F" w:rsidRPr="000B11C2">
        <w:rPr>
          <w:rFonts w:cs="David"/>
          <w:rtl/>
        </w:rPr>
        <w:t xml:space="preserve"> על </w:t>
      </w:r>
      <w:r w:rsidRPr="000B11C2">
        <w:rPr>
          <w:rFonts w:cs="David"/>
          <w:rtl/>
        </w:rPr>
        <w:t>סיום העסקתו</w:t>
      </w:r>
      <w:r w:rsidR="00E8764E" w:rsidRPr="000B11C2">
        <w:rPr>
          <w:rFonts w:cs="David"/>
          <w:rtl/>
        </w:rPr>
        <w:t xml:space="preserve"> (הודעה שניתנה בניגוד ל</w:t>
      </w:r>
      <w:r w:rsidR="00A44B1E" w:rsidRPr="000B11C2">
        <w:rPr>
          <w:rFonts w:cs="David"/>
          <w:rtl/>
        </w:rPr>
        <w:t>תנאי ה</w:t>
      </w:r>
      <w:r w:rsidR="00E8764E" w:rsidRPr="000B11C2">
        <w:rPr>
          <w:rFonts w:cs="David"/>
          <w:rtl/>
        </w:rPr>
        <w:t>חוזה ובניגוד להוראות הדין)</w:t>
      </w:r>
      <w:r w:rsidR="00503A08" w:rsidRPr="000B11C2">
        <w:rPr>
          <w:rFonts w:cs="David"/>
          <w:rtl/>
        </w:rPr>
        <w:t xml:space="preserve">, </w:t>
      </w:r>
      <w:r w:rsidRPr="000B11C2">
        <w:rPr>
          <w:rFonts w:cs="David"/>
          <w:rtl/>
        </w:rPr>
        <w:t xml:space="preserve">ובעקבותיה את החלטת הממונה על הגימלאות על אישור הגימלה, ועל שיטת חישוב הגמלה. </w:t>
      </w:r>
      <w:r w:rsidR="00E8764E" w:rsidRPr="000B11C2">
        <w:rPr>
          <w:rFonts w:cs="David"/>
          <w:b/>
          <w:bCs/>
          <w:rtl/>
        </w:rPr>
        <w:t xml:space="preserve">רק בחודש ינואר 2013 </w:t>
      </w:r>
      <w:r w:rsidR="00E8764E" w:rsidRPr="000B11C2">
        <w:rPr>
          <w:rFonts w:cs="David"/>
          <w:rtl/>
        </w:rPr>
        <w:t>נודע למערער</w:t>
      </w:r>
      <w:r w:rsidRPr="000B11C2">
        <w:rPr>
          <w:rFonts w:cs="David"/>
          <w:rtl/>
        </w:rPr>
        <w:t xml:space="preserve"> לראשונה על גובה הגמלה שתשולם לו (בחלקה רטרואקטיבית). </w:t>
      </w:r>
    </w:p>
    <w:p w:rsidR="00BD33F3" w:rsidRPr="000B11C2" w:rsidRDefault="007A1B1C" w:rsidP="000B11C2">
      <w:pPr>
        <w:pStyle w:val="a8"/>
        <w:numPr>
          <w:ilvl w:val="0"/>
          <w:numId w:val="9"/>
        </w:numPr>
        <w:tabs>
          <w:tab w:val="left" w:pos="674"/>
        </w:tabs>
        <w:spacing w:after="360" w:line="360" w:lineRule="auto"/>
        <w:ind w:left="674" w:hanging="630"/>
      </w:pPr>
      <w:r w:rsidRPr="000B11C2">
        <w:rPr>
          <w:rFonts w:cs="David"/>
          <w:b/>
          <w:bCs/>
          <w:rtl/>
        </w:rPr>
        <w:lastRenderedPageBreak/>
        <w:t xml:space="preserve">מירוץ ההתיישנות להגשת התביעה מתחיל אם כן, </w:t>
      </w:r>
      <w:r w:rsidR="00A6000E" w:rsidRPr="000B11C2">
        <w:rPr>
          <w:rFonts w:cs="David"/>
          <w:b/>
          <w:bCs/>
          <w:u w:val="single"/>
          <w:rtl/>
        </w:rPr>
        <w:t>לכל המוקדם</w:t>
      </w:r>
      <w:r w:rsidR="00A6000E" w:rsidRPr="000B11C2">
        <w:rPr>
          <w:rFonts w:cs="David"/>
          <w:b/>
          <w:bCs/>
          <w:rtl/>
        </w:rPr>
        <w:t xml:space="preserve">, </w:t>
      </w:r>
      <w:r w:rsidR="00E440B8" w:rsidRPr="000B11C2">
        <w:rPr>
          <w:rFonts w:cs="David"/>
          <w:b/>
          <w:bCs/>
          <w:rtl/>
        </w:rPr>
        <w:t>ב</w:t>
      </w:r>
      <w:r w:rsidRPr="000B11C2">
        <w:rPr>
          <w:rFonts w:cs="David"/>
          <w:b/>
          <w:bCs/>
          <w:rtl/>
        </w:rPr>
        <w:t xml:space="preserve">מועד בו קיבל המערער את הודעת </w:t>
      </w:r>
      <w:r w:rsidR="00A44B1E" w:rsidRPr="000B11C2">
        <w:rPr>
          <w:rFonts w:cs="David"/>
          <w:b/>
          <w:bCs/>
          <w:rtl/>
        </w:rPr>
        <w:t xml:space="preserve">נציב שירות המדינה שהוא </w:t>
      </w:r>
      <w:r w:rsidRPr="000B11C2">
        <w:rPr>
          <w:rFonts w:cs="David"/>
          <w:b/>
          <w:bCs/>
          <w:rtl/>
        </w:rPr>
        <w:t xml:space="preserve">הגורם המוסמך </w:t>
      </w:r>
      <w:r w:rsidR="00FE4943" w:rsidRPr="000B11C2">
        <w:rPr>
          <w:rFonts w:cs="David"/>
          <w:b/>
          <w:bCs/>
          <w:rtl/>
        </w:rPr>
        <w:t>היחיד</w:t>
      </w:r>
      <w:r w:rsidR="00A105BE" w:rsidRPr="000B11C2">
        <w:rPr>
          <w:rFonts w:cs="David"/>
          <w:b/>
          <w:bCs/>
          <w:rtl/>
        </w:rPr>
        <w:t xml:space="preserve"> להפסקת עבודתו </w:t>
      </w:r>
      <w:r w:rsidR="00A44B1E" w:rsidRPr="000B11C2">
        <w:rPr>
          <w:rFonts w:cs="David"/>
          <w:b/>
          <w:bCs/>
          <w:rtl/>
        </w:rPr>
        <w:t>–</w:t>
      </w:r>
      <w:r w:rsidR="00A105BE" w:rsidRPr="000B11C2">
        <w:rPr>
          <w:rFonts w:cs="David"/>
          <w:b/>
          <w:bCs/>
          <w:rtl/>
        </w:rPr>
        <w:t xml:space="preserve"> </w:t>
      </w:r>
      <w:r w:rsidRPr="000B11C2">
        <w:rPr>
          <w:rFonts w:cs="David"/>
          <w:b/>
          <w:bCs/>
          <w:rtl/>
        </w:rPr>
        <w:t>קרי</w:t>
      </w:r>
      <w:r w:rsidR="00A44B1E" w:rsidRPr="000B11C2">
        <w:rPr>
          <w:rFonts w:cs="David"/>
          <w:b/>
          <w:bCs/>
          <w:rtl/>
        </w:rPr>
        <w:t>:</w:t>
      </w:r>
      <w:r w:rsidRPr="000B11C2">
        <w:rPr>
          <w:rFonts w:cs="David"/>
          <w:b/>
          <w:bCs/>
          <w:rtl/>
        </w:rPr>
        <w:t xml:space="preserve"> חודש דצמבר 2012.</w:t>
      </w:r>
      <w:r w:rsidRPr="000B11C2">
        <w:rPr>
          <w:rFonts w:cs="David"/>
          <w:rtl/>
        </w:rPr>
        <w:t xml:space="preserve"> </w:t>
      </w:r>
      <w:r w:rsidR="0019517D" w:rsidRPr="000B11C2">
        <w:rPr>
          <w:rFonts w:cs="David"/>
          <w:rtl/>
        </w:rPr>
        <w:t xml:space="preserve">כזכור, התביעה הוגשה </w:t>
      </w:r>
      <w:r w:rsidR="0019517D" w:rsidRPr="000B11C2">
        <w:rPr>
          <w:rFonts w:cs="David"/>
          <w:b/>
          <w:bCs/>
          <w:rtl/>
        </w:rPr>
        <w:t>בחודש אוקטובר 2019,</w:t>
      </w:r>
      <w:r w:rsidR="0019517D" w:rsidRPr="000B11C2">
        <w:rPr>
          <w:rFonts w:cs="David"/>
          <w:rtl/>
        </w:rPr>
        <w:t xml:space="preserve"> פחות משבע שנים מהמועד בו קיבל </w:t>
      </w:r>
      <w:r w:rsidR="008D4BFC" w:rsidRPr="000B11C2">
        <w:rPr>
          <w:rFonts w:cs="David"/>
          <w:rtl/>
        </w:rPr>
        <w:t xml:space="preserve">המערער </w:t>
      </w:r>
      <w:r w:rsidR="0019517D" w:rsidRPr="000B11C2">
        <w:rPr>
          <w:rFonts w:cs="David"/>
          <w:rtl/>
        </w:rPr>
        <w:t xml:space="preserve">את החלטת </w:t>
      </w:r>
      <w:r w:rsidRPr="000B11C2">
        <w:rPr>
          <w:rFonts w:cs="David"/>
          <w:rtl/>
        </w:rPr>
        <w:t>נציב שירות המדינה</w:t>
      </w:r>
      <w:r w:rsidR="00E8764E" w:rsidRPr="000B11C2">
        <w:rPr>
          <w:rFonts w:cs="David"/>
          <w:rtl/>
        </w:rPr>
        <w:t>, שהוא הגורם המוסמך היחידי להפסקת העסקתו</w:t>
      </w:r>
      <w:r w:rsidR="0019517D" w:rsidRPr="000B11C2">
        <w:rPr>
          <w:rFonts w:cs="David"/>
          <w:rtl/>
        </w:rPr>
        <w:t xml:space="preserve">. </w:t>
      </w:r>
    </w:p>
    <w:p w:rsidR="00B94FBC" w:rsidRPr="000B11C2" w:rsidRDefault="00E75908" w:rsidP="000E3B23">
      <w:pPr>
        <w:pStyle w:val="a8"/>
        <w:tabs>
          <w:tab w:val="left" w:pos="674"/>
        </w:tabs>
        <w:spacing w:after="120" w:line="360" w:lineRule="auto"/>
        <w:ind w:left="44"/>
        <w:rPr>
          <w:rStyle w:val="emailstyle17"/>
          <w:rFonts w:ascii="Times New Roman" w:hAnsi="Times New Roman" w:cs="David"/>
          <w:b/>
          <w:bCs/>
          <w:color w:val="auto"/>
          <w:sz w:val="26"/>
          <w:szCs w:val="26"/>
          <w:u w:val="single"/>
          <w:rtl/>
        </w:rPr>
      </w:pPr>
      <w:r w:rsidRPr="000B11C2">
        <w:rPr>
          <w:rStyle w:val="emailstyle17"/>
          <w:rFonts w:cs="David"/>
          <w:b/>
          <w:bCs/>
          <w:sz w:val="26"/>
          <w:szCs w:val="26"/>
          <w:rtl/>
        </w:rPr>
        <w:t>א.3.</w:t>
      </w:r>
      <w:r w:rsidRPr="000B11C2">
        <w:rPr>
          <w:rStyle w:val="emailstyle17"/>
          <w:rFonts w:cs="David"/>
          <w:b/>
          <w:bCs/>
          <w:sz w:val="26"/>
          <w:szCs w:val="26"/>
          <w:rtl/>
        </w:rPr>
        <w:tab/>
      </w:r>
      <w:r w:rsidR="00B94FBC" w:rsidRPr="000B11C2">
        <w:rPr>
          <w:rStyle w:val="emailstyle17"/>
          <w:rFonts w:ascii="Times New Roman" w:hAnsi="Times New Roman" w:cs="David"/>
          <w:b/>
          <w:bCs/>
          <w:color w:val="auto"/>
          <w:sz w:val="26"/>
          <w:szCs w:val="26"/>
          <w:u w:val="single"/>
          <w:rtl/>
        </w:rPr>
        <w:t>הודעה רטרואקטיבית על הפרשה לגימלה ואי קיום הוראות הדין</w:t>
      </w:r>
    </w:p>
    <w:p w:rsidR="00B94FBC" w:rsidRPr="000B11C2" w:rsidRDefault="00B94FBC" w:rsidP="0013771F">
      <w:pPr>
        <w:pStyle w:val="a8"/>
        <w:numPr>
          <w:ilvl w:val="0"/>
          <w:numId w:val="9"/>
        </w:numPr>
        <w:tabs>
          <w:tab w:val="left" w:pos="674"/>
        </w:tabs>
        <w:spacing w:after="220" w:line="360" w:lineRule="auto"/>
        <w:ind w:left="674" w:hanging="630"/>
        <w:rPr>
          <w:rFonts w:ascii="David" w:hAnsi="David" w:cs="David"/>
        </w:rPr>
      </w:pPr>
      <w:r w:rsidRPr="000B11C2">
        <w:rPr>
          <w:rFonts w:ascii="David" w:hAnsi="David" w:cs="David"/>
          <w:rtl/>
        </w:rPr>
        <w:t xml:space="preserve">בהתאם להוראות חוק הגמלאות, נציב שרות המדינה חייב לידע את העובד </w:t>
      </w:r>
      <w:r w:rsidRPr="000B11C2">
        <w:rPr>
          <w:rFonts w:ascii="David" w:hAnsi="David" w:cs="David"/>
          <w:b/>
          <w:bCs/>
          <w:rtl/>
        </w:rPr>
        <w:t>בדואר רשום</w:t>
      </w:r>
      <w:r w:rsidRPr="000B11C2">
        <w:rPr>
          <w:rFonts w:ascii="David" w:hAnsi="David" w:cs="David"/>
          <w:rtl/>
        </w:rPr>
        <w:t xml:space="preserve"> על החלטתו להפריש אותו לקיצבאות לפחות 90 יום לפני יום הפרישה. דהיינו, לשיטת המשיבה היה עליה ליידע את המערער על הכוונה להוציאו לגימלאות </w:t>
      </w:r>
      <w:r w:rsidR="002C6D28" w:rsidRPr="000B11C2">
        <w:rPr>
          <w:rFonts w:ascii="David" w:hAnsi="David" w:cs="David"/>
          <w:rtl/>
        </w:rPr>
        <w:t xml:space="preserve">לכל המאוחר </w:t>
      </w:r>
      <w:r w:rsidRPr="000B11C2">
        <w:rPr>
          <w:rFonts w:ascii="David" w:hAnsi="David" w:cs="David"/>
          <w:rtl/>
        </w:rPr>
        <w:t xml:space="preserve">עד ליום 1.5.2012 (90 יום לפני 31.7.12). </w:t>
      </w:r>
    </w:p>
    <w:p w:rsidR="00B94FBC" w:rsidRPr="0013771F" w:rsidRDefault="00B94FBC" w:rsidP="0013771F">
      <w:pPr>
        <w:pStyle w:val="a8"/>
        <w:tabs>
          <w:tab w:val="left" w:pos="674"/>
        </w:tabs>
        <w:spacing w:after="220" w:line="360" w:lineRule="auto"/>
        <w:ind w:left="674"/>
        <w:rPr>
          <w:rFonts w:ascii="David" w:hAnsi="David" w:cs="David"/>
          <w:rtl/>
        </w:rPr>
      </w:pPr>
      <w:r w:rsidRPr="000B11C2">
        <w:rPr>
          <w:rFonts w:ascii="David" w:hAnsi="David" w:cs="David"/>
          <w:rtl/>
        </w:rPr>
        <w:t xml:space="preserve">על פי התקשי"ר, סמנכ"ל המשרד חייב לתת הודעה על צאתו הצפוי של העובד לגמלאות </w:t>
      </w:r>
      <w:r w:rsidRPr="000B11C2">
        <w:rPr>
          <w:rFonts w:ascii="David" w:hAnsi="David" w:cs="David"/>
          <w:b/>
          <w:bCs/>
          <w:rtl/>
        </w:rPr>
        <w:t xml:space="preserve">שנה שלימה </w:t>
      </w:r>
      <w:r w:rsidRPr="00F65A30">
        <w:rPr>
          <w:rFonts w:ascii="David" w:hAnsi="David" w:cs="David"/>
          <w:b/>
          <w:bCs/>
          <w:rtl/>
        </w:rPr>
        <w:t>לפני מועד הפרישה</w:t>
      </w:r>
      <w:r w:rsidRPr="00F65A30">
        <w:rPr>
          <w:rFonts w:ascii="David" w:hAnsi="David" w:cs="David"/>
          <w:rtl/>
        </w:rPr>
        <w:t>. הודעה כאמור לא נמסרה למערער במועד הקבוע בחוק</w:t>
      </w:r>
      <w:r w:rsidR="009308D3" w:rsidRPr="001A50DD">
        <w:rPr>
          <w:rFonts w:ascii="David" w:hAnsi="David" w:cs="David"/>
          <w:rtl/>
        </w:rPr>
        <w:t xml:space="preserve"> או בתקנות.</w:t>
      </w:r>
    </w:p>
    <w:p w:rsidR="00B94FBC" w:rsidRPr="0013771F" w:rsidRDefault="009D49E1" w:rsidP="0013771F">
      <w:pPr>
        <w:pStyle w:val="a8"/>
        <w:numPr>
          <w:ilvl w:val="0"/>
          <w:numId w:val="9"/>
        </w:numPr>
        <w:spacing w:after="220" w:line="360" w:lineRule="auto"/>
        <w:ind w:left="674" w:hanging="630"/>
        <w:rPr>
          <w:rFonts w:ascii="David" w:hAnsi="David" w:cs="David"/>
          <w:rtl/>
        </w:rPr>
      </w:pPr>
      <w:r w:rsidRPr="0013771F">
        <w:rPr>
          <w:rFonts w:ascii="David" w:hAnsi="David" w:cs="David"/>
          <w:rtl/>
        </w:rPr>
        <w:t xml:space="preserve">למרות ההוראות המחייבות הנ"ל, </w:t>
      </w:r>
      <w:r w:rsidR="009D29F1" w:rsidRPr="0013771F">
        <w:rPr>
          <w:rFonts w:ascii="David" w:hAnsi="David" w:cs="David"/>
          <w:rtl/>
        </w:rPr>
        <w:t>וכמצוין גם בפס</w:t>
      </w:r>
      <w:r w:rsidR="00C31A68" w:rsidRPr="0013771F">
        <w:rPr>
          <w:rFonts w:ascii="David" w:hAnsi="David" w:cs="David"/>
          <w:rtl/>
        </w:rPr>
        <w:t>ק הדין</w:t>
      </w:r>
      <w:r w:rsidR="009D29F1" w:rsidRPr="0013771F">
        <w:rPr>
          <w:rFonts w:ascii="David" w:hAnsi="David" w:cs="David"/>
          <w:rtl/>
        </w:rPr>
        <w:t xml:space="preserve">, </w:t>
      </w:r>
      <w:r w:rsidR="00B94FBC" w:rsidRPr="00F65A30">
        <w:rPr>
          <w:rFonts w:ascii="David" w:hAnsi="David" w:cs="David"/>
          <w:rtl/>
        </w:rPr>
        <w:t xml:space="preserve">רק במהלך </w:t>
      </w:r>
      <w:r w:rsidR="00B94FBC" w:rsidRPr="00F65A30">
        <w:rPr>
          <w:rFonts w:ascii="David" w:hAnsi="David" w:cs="David"/>
          <w:b/>
          <w:bCs/>
          <w:u w:val="single"/>
          <w:rtl/>
        </w:rPr>
        <w:t>חודש דצמבר 2012</w:t>
      </w:r>
      <w:r w:rsidR="00CF5D73">
        <w:rPr>
          <w:rFonts w:ascii="David" w:hAnsi="David" w:cs="David"/>
          <w:b/>
          <w:bCs/>
          <w:rtl/>
        </w:rPr>
        <w:t xml:space="preserve"> </w:t>
      </w:r>
      <w:r w:rsidR="00CF5D73">
        <w:rPr>
          <w:rFonts w:ascii="David" w:hAnsi="David" w:cs="David"/>
          <w:rtl/>
        </w:rPr>
        <w:t>(</w:t>
      </w:r>
      <w:r w:rsidR="00CF5D73" w:rsidRPr="0013771F">
        <w:rPr>
          <w:rFonts w:ascii="David" w:hAnsi="David" w:cs="David"/>
          <w:i/>
          <w:iCs/>
          <w:rtl/>
        </w:rPr>
        <w:t>סעיף 7 לפסק הדין</w:t>
      </w:r>
      <w:r w:rsidR="00CF5D73">
        <w:rPr>
          <w:rFonts w:ascii="David" w:hAnsi="David" w:cs="David"/>
          <w:rtl/>
        </w:rPr>
        <w:t>)</w:t>
      </w:r>
      <w:r w:rsidR="00B94FBC" w:rsidRPr="00F65A30">
        <w:rPr>
          <w:rFonts w:ascii="David" w:hAnsi="David" w:cs="David"/>
          <w:rtl/>
        </w:rPr>
        <w:t xml:space="preserve">, </w:t>
      </w:r>
      <w:r w:rsidR="00B94FBC" w:rsidRPr="00F65A30">
        <w:rPr>
          <w:rFonts w:ascii="David" w:hAnsi="David" w:cs="David"/>
          <w:b/>
          <w:bCs/>
          <w:rtl/>
        </w:rPr>
        <w:t xml:space="preserve">כחמישה חודשים </w:t>
      </w:r>
      <w:r w:rsidR="00B94FBC" w:rsidRPr="001A50DD">
        <w:rPr>
          <w:rFonts w:ascii="David" w:hAnsi="David" w:cs="David"/>
          <w:b/>
          <w:bCs/>
          <w:u w:val="single"/>
          <w:rtl/>
        </w:rPr>
        <w:t>לאחר</w:t>
      </w:r>
      <w:r w:rsidR="00B94FBC" w:rsidRPr="0013771F">
        <w:rPr>
          <w:rFonts w:ascii="David" w:hAnsi="David" w:cs="David"/>
          <w:b/>
          <w:bCs/>
          <w:rtl/>
        </w:rPr>
        <w:t xml:space="preserve"> הפסקת עבודתו בפועל</w:t>
      </w:r>
      <w:r w:rsidR="00B94FBC" w:rsidRPr="0013771F">
        <w:rPr>
          <w:rFonts w:ascii="David" w:hAnsi="David" w:cs="David"/>
          <w:rtl/>
        </w:rPr>
        <w:t xml:space="preserve">, קיבל המערער – באמצעות דואר רגיל - מכתב </w:t>
      </w:r>
      <w:r w:rsidRPr="0013771F">
        <w:rPr>
          <w:rFonts w:ascii="David" w:hAnsi="David" w:cs="David"/>
          <w:rtl/>
        </w:rPr>
        <w:t>מ</w:t>
      </w:r>
      <w:r w:rsidR="00B94FBC" w:rsidRPr="0013771F">
        <w:rPr>
          <w:rFonts w:ascii="David" w:hAnsi="David" w:cs="David"/>
          <w:rtl/>
        </w:rPr>
        <w:t>נציבות שרות המדינה, הנושא תאריך 15.8.2012, על החלטת נציב השירות להורות "</w:t>
      </w:r>
      <w:r w:rsidR="00B94FBC" w:rsidRPr="0013771F">
        <w:rPr>
          <w:rFonts w:ascii="David" w:hAnsi="David" w:cs="David"/>
          <w:i/>
          <w:iCs/>
          <w:rtl/>
        </w:rPr>
        <w:t>בהתאם להוראת סעיף 18 לחוק שרות המדינה (גמלאות)</w:t>
      </w:r>
      <w:r w:rsidR="00B94FBC" w:rsidRPr="0013771F">
        <w:rPr>
          <w:rFonts w:ascii="David" w:hAnsi="David" w:cs="David"/>
          <w:rtl/>
        </w:rPr>
        <w:t>" (שכזכור אינו חל על המערער) על הוצאתו של המערער ל"קצבה מטעמי גיל" רטרואקטיבית(!!) מיום 31.7.2012.</w:t>
      </w:r>
      <w:r w:rsidR="00B94FBC" w:rsidRPr="0013771F" w:rsidDel="009E1704">
        <w:rPr>
          <w:rFonts w:ascii="David" w:hAnsi="David" w:cs="David"/>
          <w:rtl/>
        </w:rPr>
        <w:t xml:space="preserve"> </w:t>
      </w:r>
    </w:p>
    <w:p w:rsidR="00B94FBC" w:rsidRPr="0013771F" w:rsidRDefault="00B94FBC" w:rsidP="0013771F">
      <w:pPr>
        <w:pStyle w:val="12"/>
        <w:tabs>
          <w:tab w:val="left" w:pos="453"/>
        </w:tabs>
        <w:spacing w:before="0" w:after="360" w:line="360" w:lineRule="auto"/>
        <w:ind w:left="674" w:hanging="425"/>
        <w:rPr>
          <w:rFonts w:ascii="David" w:hAnsi="David"/>
          <w:rtl/>
        </w:rPr>
      </w:pPr>
      <w:r w:rsidRPr="0013771F">
        <w:rPr>
          <w:rStyle w:val="emailstyle17"/>
          <w:rFonts w:ascii="Times New Roman" w:hAnsi="Times New Roman"/>
          <w:color w:val="auto"/>
          <w:rtl/>
        </w:rPr>
        <w:tab/>
      </w:r>
      <w:r w:rsidRPr="0013771F">
        <w:rPr>
          <w:rStyle w:val="emailstyle17"/>
          <w:rFonts w:ascii="Times New Roman" w:hAnsi="Times New Roman"/>
          <w:color w:val="auto"/>
          <w:rtl/>
        </w:rPr>
        <w:tab/>
        <w:t xml:space="preserve">המסמך שכאמור נושא את התאריך 15.8.2012 - שבועיים אחרי הפסקת העבודה הכפויה </w:t>
      </w:r>
      <w:r w:rsidRPr="001A50DD">
        <w:rPr>
          <w:rStyle w:val="emailstyle17"/>
          <w:rFonts w:ascii="Times New Roman" w:hAnsi="Times New Roman"/>
          <w:color w:val="auto"/>
          <w:rtl/>
        </w:rPr>
        <w:t>–</w:t>
      </w:r>
      <w:r w:rsidRPr="0013771F">
        <w:rPr>
          <w:rStyle w:val="emailstyle17"/>
          <w:rFonts w:ascii="Times New Roman" w:hAnsi="Times New Roman"/>
          <w:bCs/>
          <w:color w:val="auto"/>
          <w:rtl/>
        </w:rPr>
        <w:t xml:space="preserve"> נחתם רק  ביום 21.11.2012, יותר משלושה חודשים(!) אחרי התאריך הנקוב על המכתב</w:t>
      </w:r>
      <w:r w:rsidR="00CF5D73">
        <w:rPr>
          <w:rStyle w:val="emailstyle17"/>
          <w:rFonts w:ascii="Times New Roman" w:hAnsi="Times New Roman"/>
          <w:bCs/>
          <w:color w:val="auto"/>
          <w:rtl/>
        </w:rPr>
        <w:t xml:space="preserve"> </w:t>
      </w:r>
      <w:r w:rsidR="00CF5D73">
        <w:rPr>
          <w:rStyle w:val="emailstyle17"/>
          <w:rFonts w:ascii="Times New Roman" w:hAnsi="Times New Roman"/>
          <w:b/>
          <w:color w:val="auto"/>
          <w:rtl/>
        </w:rPr>
        <w:t>(</w:t>
      </w:r>
      <w:r w:rsidR="00CF5D73">
        <w:rPr>
          <w:rStyle w:val="emailstyle17"/>
          <w:rFonts w:ascii="Times New Roman" w:hAnsi="Times New Roman"/>
          <w:b/>
          <w:i/>
          <w:iCs/>
          <w:color w:val="auto"/>
          <w:rtl/>
        </w:rPr>
        <w:t>נספחים 8א' – 8ב' לכתב התביעה)</w:t>
      </w:r>
      <w:r w:rsidRPr="0013771F">
        <w:rPr>
          <w:rStyle w:val="emailstyle17"/>
          <w:rFonts w:ascii="Times New Roman" w:hAnsi="Times New Roman"/>
          <w:bCs/>
          <w:color w:val="auto"/>
          <w:rtl/>
        </w:rPr>
        <w:t>.</w:t>
      </w:r>
      <w:r w:rsidRPr="00F65A30">
        <w:rPr>
          <w:rStyle w:val="emailstyle17"/>
          <w:rFonts w:ascii="Times New Roman" w:hAnsi="Times New Roman"/>
          <w:color w:val="auto"/>
          <w:rtl/>
        </w:rPr>
        <w:t xml:space="preserve"> </w:t>
      </w:r>
      <w:r w:rsidR="009308D3" w:rsidRPr="00F65A30">
        <w:rPr>
          <w:rStyle w:val="emailstyle17"/>
          <w:rFonts w:ascii="Times New Roman" w:hAnsi="Times New Roman"/>
          <w:color w:val="auto"/>
          <w:rtl/>
        </w:rPr>
        <w:t xml:space="preserve">למכתב צורפה גם חתימת סמנכ"לית משרד </w:t>
      </w:r>
      <w:r w:rsidR="009308D3" w:rsidRPr="0013771F">
        <w:rPr>
          <w:rStyle w:val="emailstyle17"/>
          <w:rFonts w:ascii="Times New Roman" w:hAnsi="Times New Roman"/>
          <w:color w:val="auto"/>
          <w:rtl/>
        </w:rPr>
        <w:t xml:space="preserve">האוצר (כפי שהיה עליה לעשות </w:t>
      </w:r>
      <w:r w:rsidR="009308D3" w:rsidRPr="0013771F">
        <w:rPr>
          <w:rStyle w:val="emailstyle17"/>
          <w:rFonts w:ascii="Times New Roman" w:hAnsi="Times New Roman"/>
          <w:bCs/>
          <w:color w:val="auto"/>
          <w:rtl/>
        </w:rPr>
        <w:t>שנה לפני מועד הפרישה</w:t>
      </w:r>
      <w:r w:rsidR="002A7C78" w:rsidRPr="0013771F">
        <w:rPr>
          <w:rStyle w:val="emailstyle17"/>
          <w:rFonts w:ascii="Times New Roman" w:hAnsi="Times New Roman"/>
          <w:bCs/>
          <w:color w:val="auto"/>
          <w:rtl/>
        </w:rPr>
        <w:t>)</w:t>
      </w:r>
      <w:r w:rsidR="009308D3" w:rsidRPr="0013771F">
        <w:rPr>
          <w:rStyle w:val="emailstyle17"/>
          <w:rFonts w:ascii="Times New Roman" w:hAnsi="Times New Roman"/>
          <w:bCs/>
          <w:color w:val="auto"/>
          <w:rtl/>
        </w:rPr>
        <w:t xml:space="preserve">. </w:t>
      </w:r>
      <w:r w:rsidRPr="0013771F">
        <w:rPr>
          <w:rStyle w:val="emailstyle17"/>
          <w:rFonts w:ascii="Times New Roman" w:hAnsi="Times New Roman"/>
          <w:color w:val="auto"/>
          <w:rtl/>
        </w:rPr>
        <w:t xml:space="preserve"> </w:t>
      </w:r>
      <w:r w:rsidRPr="001A50DD">
        <w:rPr>
          <w:rFonts w:ascii="David" w:hAnsi="David"/>
          <w:rtl/>
        </w:rPr>
        <w:t xml:space="preserve">עם קבלת ההודעה הנ"ל, פנה המערער </w:t>
      </w:r>
      <w:r w:rsidR="002A7C78" w:rsidRPr="0013771F">
        <w:rPr>
          <w:rFonts w:ascii="David" w:hAnsi="David"/>
          <w:rtl/>
        </w:rPr>
        <w:t>פעם נוספת</w:t>
      </w:r>
      <w:r w:rsidRPr="0013771F">
        <w:rPr>
          <w:rFonts w:ascii="David" w:hAnsi="David"/>
          <w:rtl/>
        </w:rPr>
        <w:t xml:space="preserve"> ליוע</w:t>
      </w:r>
      <w:r w:rsidR="002A7C78" w:rsidRPr="0013771F">
        <w:rPr>
          <w:rFonts w:ascii="David" w:hAnsi="David"/>
          <w:rtl/>
        </w:rPr>
        <w:t>מ"ש</w:t>
      </w:r>
      <w:r w:rsidRPr="0013771F">
        <w:rPr>
          <w:rFonts w:ascii="David" w:hAnsi="David"/>
          <w:rtl/>
        </w:rPr>
        <w:t xml:space="preserve"> משרד האוצר</w:t>
      </w:r>
      <w:r w:rsidR="009D49E1" w:rsidRPr="0013771F">
        <w:rPr>
          <w:rFonts w:ascii="David" w:hAnsi="David"/>
          <w:rtl/>
        </w:rPr>
        <w:t xml:space="preserve"> בדרישה להחזירו לעבודה</w:t>
      </w:r>
      <w:r w:rsidR="00CF5D73">
        <w:rPr>
          <w:rFonts w:ascii="David" w:hAnsi="David"/>
          <w:rtl/>
        </w:rPr>
        <w:t xml:space="preserve"> (</w:t>
      </w:r>
      <w:r w:rsidR="00CF5D73">
        <w:rPr>
          <w:rFonts w:ascii="David" w:hAnsi="David"/>
          <w:i/>
          <w:iCs/>
          <w:rtl/>
        </w:rPr>
        <w:t>נספח 9 לכתב התביעה</w:t>
      </w:r>
      <w:r w:rsidR="00CF5D73">
        <w:rPr>
          <w:rFonts w:ascii="David" w:hAnsi="David"/>
          <w:rtl/>
        </w:rPr>
        <w:t>)</w:t>
      </w:r>
      <w:r w:rsidRPr="001A50DD">
        <w:rPr>
          <w:rFonts w:ascii="David" w:hAnsi="David"/>
          <w:rtl/>
        </w:rPr>
        <w:t>, אך לשווא.</w:t>
      </w:r>
      <w:r w:rsidRPr="0013771F">
        <w:rPr>
          <w:rFonts w:ascii="David" w:hAnsi="David"/>
          <w:rtl/>
        </w:rPr>
        <w:t xml:space="preserve"> </w:t>
      </w:r>
    </w:p>
    <w:p w:rsidR="00B94FBC" w:rsidRPr="0013771F" w:rsidRDefault="00C1449C" w:rsidP="000E3B23">
      <w:pPr>
        <w:pStyle w:val="a8"/>
        <w:tabs>
          <w:tab w:val="left" w:pos="674"/>
        </w:tabs>
        <w:spacing w:after="120" w:line="360" w:lineRule="auto"/>
        <w:ind w:left="44"/>
        <w:rPr>
          <w:rStyle w:val="emailstyle17"/>
          <w:rFonts w:ascii="Times New Roman" w:hAnsi="Times New Roman" w:cs="David"/>
          <w:b/>
          <w:bCs/>
          <w:color w:val="auto"/>
          <w:sz w:val="26"/>
          <w:szCs w:val="26"/>
          <w:u w:val="single"/>
        </w:rPr>
      </w:pPr>
      <w:r w:rsidRPr="0013771F">
        <w:rPr>
          <w:rStyle w:val="emailstyle17"/>
          <w:rFonts w:ascii="Times New Roman" w:hAnsi="Times New Roman" w:cs="David"/>
          <w:b/>
          <w:bCs/>
          <w:color w:val="auto"/>
          <w:sz w:val="26"/>
          <w:szCs w:val="26"/>
          <w:rtl/>
        </w:rPr>
        <w:t>א.4.</w:t>
      </w:r>
      <w:r w:rsidRPr="0013771F">
        <w:rPr>
          <w:rStyle w:val="emailstyle17"/>
          <w:rFonts w:ascii="Times New Roman" w:hAnsi="Times New Roman" w:cs="David"/>
          <w:b/>
          <w:bCs/>
          <w:color w:val="auto"/>
          <w:sz w:val="26"/>
          <w:szCs w:val="26"/>
          <w:rtl/>
        </w:rPr>
        <w:tab/>
      </w:r>
      <w:r w:rsidR="00B94FBC" w:rsidRPr="0013771F">
        <w:rPr>
          <w:rStyle w:val="emailstyle17"/>
          <w:rFonts w:ascii="Times New Roman" w:hAnsi="Times New Roman" w:cs="David"/>
          <w:b/>
          <w:bCs/>
          <w:color w:val="auto"/>
          <w:sz w:val="26"/>
          <w:szCs w:val="26"/>
          <w:u w:val="single"/>
          <w:rtl/>
        </w:rPr>
        <w:t>הפגיעה הקשה בזכויות הפנסיה של המערער</w:t>
      </w:r>
    </w:p>
    <w:p w:rsidR="00B94FBC" w:rsidRPr="001A50DD" w:rsidRDefault="00B94FBC" w:rsidP="0013771F">
      <w:pPr>
        <w:pStyle w:val="a8"/>
        <w:numPr>
          <w:ilvl w:val="0"/>
          <w:numId w:val="9"/>
        </w:numPr>
        <w:tabs>
          <w:tab w:val="left" w:pos="674"/>
        </w:tabs>
        <w:spacing w:after="220" w:line="360" w:lineRule="auto"/>
        <w:ind w:left="674" w:hanging="630"/>
        <w:rPr>
          <w:rFonts w:ascii="David" w:hAnsi="David" w:cs="David"/>
          <w:rtl/>
        </w:rPr>
      </w:pPr>
      <w:r w:rsidRPr="0013771F">
        <w:rPr>
          <w:rFonts w:ascii="David" w:hAnsi="David" w:cs="David"/>
          <w:rtl/>
        </w:rPr>
        <w:t>בעקבות הודעת הנש"מ הנ"ל על הפרשת המערער לגימלאות, רטרואקטיבית ביום 31.7.2012, קיבל המערער בסוף דצמבר 2012 מכתב "אישור גימלאות" מיום 10.12.2012</w:t>
      </w:r>
      <w:r w:rsidR="00CF5D73">
        <w:rPr>
          <w:rFonts w:ascii="David" w:hAnsi="David" w:cs="David"/>
          <w:rtl/>
        </w:rPr>
        <w:t xml:space="preserve"> (</w:t>
      </w:r>
      <w:r w:rsidR="00CF5D73">
        <w:rPr>
          <w:rFonts w:ascii="David" w:hAnsi="David" w:cs="David"/>
          <w:i/>
          <w:iCs/>
          <w:rtl/>
        </w:rPr>
        <w:t>נספח 10 לכתב התביעה</w:t>
      </w:r>
      <w:r w:rsidR="00CF5D73">
        <w:rPr>
          <w:rFonts w:ascii="David" w:hAnsi="David" w:cs="David"/>
          <w:rtl/>
        </w:rPr>
        <w:t>)</w:t>
      </w:r>
      <w:r w:rsidRPr="001A50DD">
        <w:rPr>
          <w:rFonts w:ascii="David" w:hAnsi="David" w:cs="David"/>
          <w:rtl/>
        </w:rPr>
        <w:t xml:space="preserve">. </w:t>
      </w:r>
      <w:r w:rsidR="00C1449C" w:rsidRPr="0013771F">
        <w:rPr>
          <w:rFonts w:ascii="David" w:hAnsi="David" w:cs="David"/>
          <w:rtl/>
        </w:rPr>
        <w:t xml:space="preserve">על פי המכתב </w:t>
      </w:r>
      <w:r w:rsidRPr="0013771F">
        <w:rPr>
          <w:rFonts w:ascii="David" w:hAnsi="David" w:cs="David"/>
          <w:b/>
          <w:bCs/>
          <w:rtl/>
        </w:rPr>
        <w:t>זכאי המערער לפנסיה בשיעור של 70% מהמשכורת הקובעת של חוזה בכירים בהתאם לתקופת שירות של 42 שנים ושמונה חודשים!</w:t>
      </w:r>
      <w:r w:rsidRPr="00F65A30">
        <w:rPr>
          <w:rFonts w:ascii="David" w:hAnsi="David" w:cs="David"/>
          <w:rtl/>
        </w:rPr>
        <w:t xml:space="preserve"> בפועל המערער לא קיבל ואינו מקבל פנסיה בשיעור זה. </w:t>
      </w:r>
      <w:r w:rsidRPr="00F65A30">
        <w:rPr>
          <w:rFonts w:ascii="David" w:hAnsi="David" w:cs="David"/>
          <w:b/>
          <w:bCs/>
          <w:rtl/>
        </w:rPr>
        <w:t>רק בתחילת ינואר 2013</w:t>
      </w:r>
      <w:r w:rsidRPr="001A50DD">
        <w:rPr>
          <w:rFonts w:ascii="David" w:hAnsi="David" w:cs="David"/>
          <w:rtl/>
        </w:rPr>
        <w:t xml:space="preserve"> קיבל המערער לראשונה תלוש פנסיה המפרט את התשלומים ששולמו לו ב-1.1.20</w:t>
      </w:r>
      <w:r w:rsidR="00BB78B8" w:rsidRPr="0013771F">
        <w:rPr>
          <w:rFonts w:ascii="David" w:hAnsi="David" w:cs="David"/>
          <w:rtl/>
        </w:rPr>
        <w:t>13</w:t>
      </w:r>
      <w:r w:rsidRPr="0013771F">
        <w:rPr>
          <w:rFonts w:ascii="David" w:hAnsi="David" w:cs="David"/>
          <w:rtl/>
        </w:rPr>
        <w:t xml:space="preserve"> (רטרואקטיבית מ-31.7.2012), ו</w:t>
      </w:r>
      <w:r w:rsidR="009D29F1" w:rsidRPr="0013771F">
        <w:rPr>
          <w:rFonts w:ascii="David" w:hAnsi="David" w:cs="David"/>
          <w:rtl/>
        </w:rPr>
        <w:t xml:space="preserve">רק אז </w:t>
      </w:r>
      <w:r w:rsidRPr="00F65A30">
        <w:rPr>
          <w:rFonts w:ascii="David" w:hAnsi="David" w:cs="David"/>
          <w:rtl/>
        </w:rPr>
        <w:t xml:space="preserve">ראה </w:t>
      </w:r>
      <w:r w:rsidR="009D29F1" w:rsidRPr="0013771F">
        <w:rPr>
          <w:rFonts w:ascii="David" w:hAnsi="David" w:cs="David"/>
          <w:rtl/>
        </w:rPr>
        <w:t xml:space="preserve">לראשונה </w:t>
      </w:r>
      <w:r w:rsidRPr="00F65A30">
        <w:rPr>
          <w:rFonts w:ascii="David" w:hAnsi="David" w:cs="David"/>
          <w:rtl/>
        </w:rPr>
        <w:t>מה הפנסיה שהוא מקבל בפועל.</w:t>
      </w:r>
    </w:p>
    <w:p w:rsidR="00B94FBC" w:rsidRPr="009D29F1" w:rsidRDefault="00B94FBC" w:rsidP="0013771F">
      <w:pPr>
        <w:pStyle w:val="a8"/>
        <w:numPr>
          <w:ilvl w:val="0"/>
          <w:numId w:val="9"/>
        </w:numPr>
        <w:tabs>
          <w:tab w:val="left" w:pos="674"/>
        </w:tabs>
        <w:spacing w:after="220" w:line="360" w:lineRule="auto"/>
        <w:ind w:left="674" w:hanging="630"/>
        <w:rPr>
          <w:rFonts w:ascii="David" w:hAnsi="David" w:cs="David"/>
          <w:b/>
          <w:bCs/>
        </w:rPr>
      </w:pPr>
      <w:r w:rsidRPr="000B11C2">
        <w:rPr>
          <w:rFonts w:ascii="David" w:hAnsi="David" w:cs="David"/>
          <w:rtl/>
        </w:rPr>
        <w:t xml:space="preserve">כך התברר למערער, כי בנוסף לפרישתו הכפויה, והעיכוב הממושך בתשלום הפנסיה, </w:t>
      </w:r>
      <w:r w:rsidRPr="009D29F1">
        <w:rPr>
          <w:rFonts w:ascii="David" w:hAnsi="David" w:cs="David"/>
          <w:b/>
          <w:bCs/>
          <w:rtl/>
        </w:rPr>
        <w:t xml:space="preserve">הגימלה המשולמת לו בפועל נמוכה מזאת המגיעה לו ע"פ החוזה, וכי החישוב שנעשה שגוי מיסודו: הן ביחס לחישוב זכויות הפנסיה על תקופות עבודתו והן ביחס למשכורת הקובעת לתקופת כתב המינוי. </w:t>
      </w:r>
    </w:p>
    <w:p w:rsidR="009D29F1" w:rsidRPr="00652D4D" w:rsidRDefault="00B94FBC" w:rsidP="00916E11">
      <w:pPr>
        <w:pStyle w:val="a8"/>
        <w:numPr>
          <w:ilvl w:val="0"/>
          <w:numId w:val="9"/>
        </w:numPr>
        <w:tabs>
          <w:tab w:val="left" w:pos="674"/>
        </w:tabs>
        <w:spacing w:after="220" w:line="360" w:lineRule="auto"/>
        <w:ind w:left="674" w:hanging="630"/>
        <w:rPr>
          <w:rFonts w:ascii="David" w:hAnsi="David" w:cs="David"/>
        </w:rPr>
      </w:pPr>
      <w:r w:rsidRPr="00712654">
        <w:rPr>
          <w:rFonts w:ascii="David" w:hAnsi="David" w:cs="David"/>
          <w:rtl/>
        </w:rPr>
        <w:t xml:space="preserve">חשוב לציין כי המערער </w:t>
      </w:r>
      <w:r w:rsidRPr="00712654">
        <w:rPr>
          <w:rFonts w:ascii="David" w:hAnsi="David" w:cs="David"/>
          <w:b/>
          <w:bCs/>
          <w:rtl/>
        </w:rPr>
        <w:t>לא השתהה בתגובתו</w:t>
      </w:r>
      <w:r w:rsidRPr="00712654">
        <w:rPr>
          <w:rFonts w:ascii="David" w:hAnsi="David" w:cs="David"/>
          <w:rtl/>
        </w:rPr>
        <w:t xml:space="preserve">, ופנה לממונה על הגימלאות מייד לאחר שקיבל את אישור הגימלה. זה </w:t>
      </w:r>
      <w:r w:rsidRPr="00712654">
        <w:rPr>
          <w:rFonts w:ascii="David" w:hAnsi="David" w:cs="David"/>
          <w:b/>
          <w:bCs/>
          <w:rtl/>
        </w:rPr>
        <w:t xml:space="preserve">הנחה אותו לפנות לנציבות שירות המדינה, </w:t>
      </w:r>
      <w:r w:rsidRPr="00712654">
        <w:rPr>
          <w:rFonts w:ascii="David" w:hAnsi="David" w:cs="David"/>
          <w:b/>
          <w:bCs/>
          <w:u w:val="single"/>
          <w:rtl/>
        </w:rPr>
        <w:t>ולהימנע מהגשת תביעה</w:t>
      </w:r>
      <w:r w:rsidRPr="00712654">
        <w:rPr>
          <w:rFonts w:ascii="David" w:hAnsi="David" w:cs="David"/>
          <w:b/>
          <w:bCs/>
          <w:rtl/>
        </w:rPr>
        <w:t>, וכך עשה המערער</w:t>
      </w:r>
      <w:r w:rsidR="00712654" w:rsidRPr="00712654">
        <w:rPr>
          <w:rFonts w:ascii="David" w:hAnsi="David" w:cs="David"/>
          <w:b/>
          <w:bCs/>
          <w:rtl/>
        </w:rPr>
        <w:t xml:space="preserve"> </w:t>
      </w:r>
      <w:r w:rsidR="00712654" w:rsidRPr="0093697B">
        <w:rPr>
          <w:rFonts w:ascii="David" w:hAnsi="David" w:cs="David"/>
          <w:rtl/>
        </w:rPr>
        <w:t>(כפי שיפורט להלן</w:t>
      </w:r>
      <w:r w:rsidR="00652D4D">
        <w:rPr>
          <w:rFonts w:ascii="David" w:hAnsi="David" w:cs="David"/>
          <w:rtl/>
        </w:rPr>
        <w:t xml:space="preserve">). </w:t>
      </w:r>
    </w:p>
    <w:p w:rsidR="00B94FBC" w:rsidRPr="00916E11" w:rsidRDefault="00893570" w:rsidP="00916E11">
      <w:pPr>
        <w:pStyle w:val="a8"/>
        <w:numPr>
          <w:ilvl w:val="0"/>
          <w:numId w:val="9"/>
        </w:numPr>
        <w:tabs>
          <w:tab w:val="left" w:pos="674"/>
        </w:tabs>
        <w:spacing w:after="360" w:line="360" w:lineRule="auto"/>
        <w:ind w:left="674" w:hanging="630"/>
        <w:rPr>
          <w:rFonts w:ascii="David" w:hAnsi="David" w:cs="David"/>
          <w:b/>
          <w:bCs/>
          <w:rtl/>
        </w:rPr>
      </w:pPr>
      <w:r w:rsidRPr="0013771F">
        <w:rPr>
          <w:rFonts w:ascii="David" w:hAnsi="David" w:cs="David"/>
          <w:rtl/>
        </w:rPr>
        <w:lastRenderedPageBreak/>
        <w:t xml:space="preserve"> </w:t>
      </w:r>
      <w:r w:rsidR="000351D5" w:rsidRPr="00916E11">
        <w:rPr>
          <w:rFonts w:ascii="David" w:hAnsi="David" w:cs="David"/>
          <w:rtl/>
        </w:rPr>
        <w:t xml:space="preserve">יודגש כי </w:t>
      </w:r>
      <w:r w:rsidR="00712654" w:rsidRPr="00916E11">
        <w:rPr>
          <w:rFonts w:ascii="David" w:hAnsi="David" w:cs="David"/>
          <w:rtl/>
        </w:rPr>
        <w:t xml:space="preserve">המערער לא פנה </w:t>
      </w:r>
      <w:r w:rsidR="00652D4D" w:rsidRPr="00916E11">
        <w:rPr>
          <w:rFonts w:ascii="David" w:hAnsi="David" w:cs="David"/>
          <w:rtl/>
        </w:rPr>
        <w:t xml:space="preserve">באותו שלב </w:t>
      </w:r>
      <w:r w:rsidR="00712654" w:rsidRPr="00916E11">
        <w:rPr>
          <w:rFonts w:ascii="David" w:hAnsi="David" w:cs="David"/>
          <w:rtl/>
        </w:rPr>
        <w:t xml:space="preserve">לבית הדין, </w:t>
      </w:r>
      <w:r w:rsidRPr="00916E11">
        <w:rPr>
          <w:rFonts w:ascii="David" w:hAnsi="David" w:cs="David"/>
          <w:b/>
          <w:bCs/>
          <w:rtl/>
        </w:rPr>
        <w:t>לאור ההנחיה המפורשת של הממונה על הגימלאות שעליו לפנות ל</w:t>
      </w:r>
      <w:r w:rsidR="00415598" w:rsidRPr="00916E11">
        <w:rPr>
          <w:rFonts w:ascii="David" w:hAnsi="David" w:cs="David"/>
          <w:b/>
          <w:bCs/>
          <w:rtl/>
        </w:rPr>
        <w:t xml:space="preserve">סגן נציב </w:t>
      </w:r>
      <w:r w:rsidRPr="00916E11">
        <w:rPr>
          <w:rFonts w:ascii="David" w:hAnsi="David" w:cs="David"/>
          <w:b/>
          <w:bCs/>
          <w:rtl/>
        </w:rPr>
        <w:t>שירות המדינה</w:t>
      </w:r>
      <w:r w:rsidRPr="00916E11">
        <w:rPr>
          <w:rFonts w:ascii="David" w:hAnsi="David" w:cs="David"/>
          <w:rtl/>
        </w:rPr>
        <w:t xml:space="preserve"> (כפי שמצוין במפורש במכתב הפנייה הראשון של המערער מיום 8.1.2013 לנציבות שירות המדינה)</w:t>
      </w:r>
      <w:r w:rsidR="00916E11">
        <w:rPr>
          <w:rFonts w:ascii="David" w:hAnsi="David" w:cs="David"/>
          <w:rtl/>
        </w:rPr>
        <w:t>.</w:t>
      </w:r>
      <w:r w:rsidR="000351D5" w:rsidRPr="00916E11">
        <w:rPr>
          <w:rFonts w:ascii="David" w:hAnsi="David" w:cs="David"/>
          <w:rtl/>
        </w:rPr>
        <w:t xml:space="preserve"> </w:t>
      </w:r>
      <w:r w:rsidR="00EF34E3" w:rsidRPr="00916E11">
        <w:rPr>
          <w:rFonts w:ascii="David" w:hAnsi="David" w:cs="David"/>
          <w:b/>
          <w:bCs/>
          <w:rtl/>
        </w:rPr>
        <w:t xml:space="preserve">בנוסף לכך </w:t>
      </w:r>
      <w:r w:rsidR="00652D4D" w:rsidRPr="00916E11">
        <w:rPr>
          <w:rFonts w:ascii="David" w:hAnsi="David" w:cs="David"/>
          <w:b/>
          <w:bCs/>
          <w:rtl/>
        </w:rPr>
        <w:t xml:space="preserve">האמין </w:t>
      </w:r>
      <w:r w:rsidR="00916E11">
        <w:rPr>
          <w:rFonts w:ascii="David" w:hAnsi="David" w:cs="David"/>
          <w:b/>
          <w:bCs/>
          <w:rtl/>
        </w:rPr>
        <w:t xml:space="preserve">המערער </w:t>
      </w:r>
      <w:r w:rsidR="00652D4D" w:rsidRPr="00916E11">
        <w:rPr>
          <w:rFonts w:ascii="David" w:hAnsi="David" w:cs="David"/>
          <w:b/>
          <w:bCs/>
          <w:rtl/>
        </w:rPr>
        <w:t xml:space="preserve">באמת ובתמים </w:t>
      </w:r>
      <w:r w:rsidR="00A44B1E" w:rsidRPr="00916E11">
        <w:rPr>
          <w:rFonts w:ascii="David" w:hAnsi="David" w:cs="David"/>
          <w:b/>
          <w:bCs/>
          <w:rtl/>
        </w:rPr>
        <w:t>ש</w:t>
      </w:r>
      <w:r w:rsidR="00916E11">
        <w:rPr>
          <w:rFonts w:ascii="David" w:hAnsi="David" w:cs="David"/>
          <w:b/>
          <w:bCs/>
          <w:rtl/>
        </w:rPr>
        <w:t xml:space="preserve">המועד הקבוע בחוק הגימלאות אינו רלבנטי מבחינתו, לאור הוראות </w:t>
      </w:r>
      <w:r w:rsidR="00A44B1E" w:rsidRPr="00916E11">
        <w:rPr>
          <w:rFonts w:ascii="David" w:hAnsi="David" w:cs="David"/>
          <w:b/>
          <w:bCs/>
          <w:rtl/>
        </w:rPr>
        <w:t xml:space="preserve">סעיף 11 לחוזה </w:t>
      </w:r>
      <w:r w:rsidR="00EF34E3" w:rsidRPr="00916E11">
        <w:rPr>
          <w:rFonts w:ascii="David" w:hAnsi="David" w:cs="David"/>
          <w:b/>
          <w:bCs/>
          <w:rtl/>
        </w:rPr>
        <w:t>ה</w:t>
      </w:r>
      <w:r w:rsidR="00A44B1E" w:rsidRPr="00916E11">
        <w:rPr>
          <w:rFonts w:ascii="David" w:hAnsi="David" w:cs="David"/>
          <w:b/>
          <w:bCs/>
          <w:rtl/>
        </w:rPr>
        <w:t>קובע מפורשות ש</w:t>
      </w:r>
      <w:r w:rsidR="00916E11">
        <w:rPr>
          <w:rFonts w:ascii="David" w:hAnsi="David" w:cs="David"/>
          <w:b/>
          <w:bCs/>
          <w:rtl/>
        </w:rPr>
        <w:t>ה</w:t>
      </w:r>
      <w:r w:rsidR="00A44B1E" w:rsidRPr="00916E11">
        <w:rPr>
          <w:rFonts w:ascii="David" w:hAnsi="David" w:cs="David"/>
          <w:b/>
          <w:bCs/>
          <w:rtl/>
        </w:rPr>
        <w:t xml:space="preserve">חוק </w:t>
      </w:r>
      <w:r w:rsidR="00916E11">
        <w:rPr>
          <w:rFonts w:ascii="David" w:hAnsi="David" w:cs="David"/>
          <w:b/>
          <w:bCs/>
          <w:rtl/>
        </w:rPr>
        <w:t>לא</w:t>
      </w:r>
      <w:r w:rsidR="00A44B1E" w:rsidRPr="00916E11">
        <w:rPr>
          <w:rFonts w:ascii="David" w:hAnsi="David" w:cs="David"/>
          <w:b/>
          <w:bCs/>
          <w:rtl/>
        </w:rPr>
        <w:t xml:space="preserve"> חל עליו</w:t>
      </w:r>
      <w:r w:rsidR="000351D5" w:rsidRPr="00916E11">
        <w:rPr>
          <w:rFonts w:ascii="David" w:hAnsi="David" w:cs="David"/>
          <w:b/>
          <w:bCs/>
          <w:rtl/>
        </w:rPr>
        <w:t>.</w:t>
      </w:r>
    </w:p>
    <w:p w:rsidR="00B94FBC" w:rsidRPr="00712654" w:rsidRDefault="00C1449C" w:rsidP="000E3B23">
      <w:pPr>
        <w:pStyle w:val="a8"/>
        <w:tabs>
          <w:tab w:val="left" w:pos="674"/>
        </w:tabs>
        <w:spacing w:after="120" w:line="360" w:lineRule="auto"/>
        <w:ind w:left="44"/>
        <w:rPr>
          <w:rStyle w:val="emailstyle17"/>
          <w:rFonts w:ascii="Times New Roman" w:hAnsi="Times New Roman" w:cs="David"/>
          <w:b/>
          <w:bCs/>
          <w:color w:val="auto"/>
          <w:sz w:val="26"/>
          <w:szCs w:val="26"/>
          <w:u w:val="single"/>
        </w:rPr>
      </w:pPr>
      <w:r w:rsidRPr="000B11C2">
        <w:rPr>
          <w:rStyle w:val="emailstyle17"/>
          <w:rFonts w:ascii="Times New Roman" w:hAnsi="Times New Roman" w:cs="David"/>
          <w:b/>
          <w:bCs/>
          <w:color w:val="auto"/>
          <w:sz w:val="26"/>
          <w:szCs w:val="26"/>
          <w:rtl/>
        </w:rPr>
        <w:t>א.5.</w:t>
      </w:r>
      <w:r w:rsidRPr="000B11C2">
        <w:rPr>
          <w:rStyle w:val="emailstyle17"/>
          <w:rFonts w:ascii="Times New Roman" w:hAnsi="Times New Roman" w:cs="David"/>
          <w:b/>
          <w:bCs/>
          <w:color w:val="auto"/>
          <w:sz w:val="26"/>
          <w:szCs w:val="26"/>
          <w:rtl/>
        </w:rPr>
        <w:tab/>
      </w:r>
      <w:r w:rsidR="00B94FBC" w:rsidRPr="00712654">
        <w:rPr>
          <w:rStyle w:val="emailstyle17"/>
          <w:rFonts w:ascii="Times New Roman" w:hAnsi="Times New Roman" w:cs="David"/>
          <w:b/>
          <w:bCs/>
          <w:color w:val="auto"/>
          <w:sz w:val="26"/>
          <w:szCs w:val="26"/>
          <w:u w:val="single"/>
          <w:rtl/>
        </w:rPr>
        <w:t>הסחבת הבלתי נסבלת בטיפול בפניותיו של המערער</w:t>
      </w:r>
    </w:p>
    <w:p w:rsidR="00F60482" w:rsidRPr="0013771F" w:rsidRDefault="00E11C6E" w:rsidP="0013771F">
      <w:pPr>
        <w:pStyle w:val="a8"/>
        <w:numPr>
          <w:ilvl w:val="0"/>
          <w:numId w:val="9"/>
        </w:numPr>
        <w:tabs>
          <w:tab w:val="left" w:pos="674"/>
        </w:tabs>
        <w:spacing w:after="220" w:line="360" w:lineRule="auto"/>
        <w:ind w:left="674" w:hanging="630"/>
        <w:rPr>
          <w:rFonts w:cs="David"/>
        </w:rPr>
      </w:pPr>
      <w:r w:rsidRPr="0013771F">
        <w:rPr>
          <w:rFonts w:ascii="David" w:hAnsi="David" w:cs="David"/>
          <w:rtl/>
        </w:rPr>
        <w:t>בהתאם להנחיה שקיבל</w:t>
      </w:r>
      <w:r w:rsidRPr="00712654">
        <w:rPr>
          <w:rFonts w:ascii="David" w:hAnsi="David" w:cs="David"/>
          <w:rtl/>
        </w:rPr>
        <w:t xml:space="preserve"> פנה המערער </w:t>
      </w:r>
      <w:r w:rsidR="00415598" w:rsidRPr="0013771F">
        <w:rPr>
          <w:rFonts w:ascii="David" w:hAnsi="David" w:cs="David"/>
          <w:rtl/>
        </w:rPr>
        <w:t>ללא שהות</w:t>
      </w:r>
      <w:r w:rsidR="00893570" w:rsidRPr="00712654">
        <w:rPr>
          <w:rFonts w:ascii="David" w:hAnsi="David" w:cs="David"/>
          <w:rtl/>
        </w:rPr>
        <w:t xml:space="preserve"> </w:t>
      </w:r>
      <w:r w:rsidR="00415598" w:rsidRPr="0013771F">
        <w:rPr>
          <w:rFonts w:ascii="David" w:hAnsi="David" w:cs="David"/>
          <w:rtl/>
        </w:rPr>
        <w:t>ל</w:t>
      </w:r>
      <w:r w:rsidRPr="0013771F">
        <w:rPr>
          <w:rFonts w:ascii="David" w:hAnsi="David" w:cs="David"/>
          <w:rtl/>
        </w:rPr>
        <w:t xml:space="preserve">סגן </w:t>
      </w:r>
      <w:r w:rsidR="00415598" w:rsidRPr="0013771F">
        <w:rPr>
          <w:rFonts w:ascii="David" w:hAnsi="David" w:cs="David"/>
          <w:rtl/>
        </w:rPr>
        <w:t>נציב שרות המדינה</w:t>
      </w:r>
      <w:r w:rsidRPr="0013771F">
        <w:rPr>
          <w:rFonts w:ascii="David" w:hAnsi="David" w:cs="David"/>
          <w:rtl/>
        </w:rPr>
        <w:t xml:space="preserve">, </w:t>
      </w:r>
      <w:r w:rsidR="00415598" w:rsidRPr="0013771F">
        <w:rPr>
          <w:rFonts w:ascii="David" w:hAnsi="David" w:cs="David"/>
          <w:rtl/>
        </w:rPr>
        <w:t>ובהמשך</w:t>
      </w:r>
      <w:r w:rsidRPr="0013771F">
        <w:rPr>
          <w:rFonts w:ascii="David" w:hAnsi="David" w:cs="David"/>
          <w:rtl/>
        </w:rPr>
        <w:t>,</w:t>
      </w:r>
      <w:r w:rsidR="00415598" w:rsidRPr="0013771F">
        <w:rPr>
          <w:rFonts w:ascii="David" w:hAnsi="David" w:cs="David"/>
          <w:rtl/>
        </w:rPr>
        <w:t xml:space="preserve"> ע</w:t>
      </w:r>
      <w:r w:rsidRPr="0013771F">
        <w:rPr>
          <w:rFonts w:ascii="David" w:hAnsi="David" w:cs="David"/>
          <w:rtl/>
        </w:rPr>
        <w:t>"</w:t>
      </w:r>
      <w:r w:rsidR="00415598" w:rsidRPr="0013771F">
        <w:rPr>
          <w:rFonts w:ascii="David" w:hAnsi="David" w:cs="David"/>
          <w:rtl/>
        </w:rPr>
        <w:t xml:space="preserve">פ הנחייתו והנחיית אנשי יחידתו, </w:t>
      </w:r>
      <w:r w:rsidR="00B94FBC" w:rsidRPr="0013771F">
        <w:rPr>
          <w:rFonts w:ascii="David" w:hAnsi="David" w:cs="David"/>
          <w:rtl/>
        </w:rPr>
        <w:t>לכל הגורמים</w:t>
      </w:r>
      <w:r w:rsidR="00C1449C" w:rsidRPr="0013771F">
        <w:rPr>
          <w:rFonts w:ascii="David" w:hAnsi="David" w:cs="David"/>
          <w:rtl/>
        </w:rPr>
        <w:t xml:space="preserve"> הרלוונטיים</w:t>
      </w:r>
      <w:r w:rsidR="00C1449C" w:rsidRPr="00712654">
        <w:rPr>
          <w:rFonts w:ascii="David" w:hAnsi="David" w:cs="David"/>
          <w:rtl/>
        </w:rPr>
        <w:t xml:space="preserve"> </w:t>
      </w:r>
      <w:r w:rsidR="000351D5" w:rsidRPr="0013771F">
        <w:rPr>
          <w:rFonts w:ascii="David" w:hAnsi="David" w:cs="David"/>
          <w:rtl/>
        </w:rPr>
        <w:t>בנציבות שרות המדינה</w:t>
      </w:r>
      <w:r w:rsidRPr="0013771F">
        <w:rPr>
          <w:rFonts w:ascii="David" w:hAnsi="David" w:cs="David"/>
          <w:rtl/>
        </w:rPr>
        <w:t xml:space="preserve"> </w:t>
      </w:r>
      <w:r w:rsidR="00415598" w:rsidRPr="0013771F">
        <w:rPr>
          <w:rFonts w:ascii="David" w:hAnsi="David" w:cs="David"/>
          <w:rtl/>
        </w:rPr>
        <w:t>,</w:t>
      </w:r>
      <w:r w:rsidR="00415598" w:rsidRPr="00712654">
        <w:rPr>
          <w:rFonts w:ascii="David" w:hAnsi="David" w:cs="David"/>
          <w:rtl/>
        </w:rPr>
        <w:t xml:space="preserve"> </w:t>
      </w:r>
      <w:r w:rsidRPr="00712654">
        <w:rPr>
          <w:rFonts w:ascii="David" w:hAnsi="David" w:cs="David"/>
          <w:rtl/>
        </w:rPr>
        <w:t>ופירט בפניהם והוכיח כי המהלכים שננקטו וההנחיות שניתנו בעניינו אינם תואמים לתנאי החוזה, תוך שהוא שוטח את בקשתו החוזרת שוב ושוב לתקן את העוולות הקשות והמתמשכות שנגרמו וגורמים למערער.</w:t>
      </w:r>
      <w:r w:rsidR="00C1449C" w:rsidRPr="00712654">
        <w:rPr>
          <w:rFonts w:ascii="David" w:hAnsi="David" w:cs="David"/>
          <w:rtl/>
        </w:rPr>
        <w:t xml:space="preserve"> </w:t>
      </w:r>
      <w:r w:rsidR="00F62960" w:rsidRPr="00712654">
        <w:rPr>
          <w:rFonts w:ascii="David" w:hAnsi="David" w:cs="David"/>
          <w:rtl/>
        </w:rPr>
        <w:t xml:space="preserve"> </w:t>
      </w:r>
    </w:p>
    <w:p w:rsidR="00B94FBC" w:rsidRPr="000B11C2" w:rsidRDefault="00B94FBC" w:rsidP="0013771F">
      <w:pPr>
        <w:pStyle w:val="a8"/>
        <w:tabs>
          <w:tab w:val="left" w:pos="674"/>
        </w:tabs>
        <w:spacing w:after="220" w:line="360" w:lineRule="auto"/>
        <w:ind w:left="674"/>
        <w:rPr>
          <w:rFonts w:cs="David"/>
        </w:rPr>
      </w:pPr>
      <w:r w:rsidRPr="0093697B">
        <w:rPr>
          <w:rFonts w:ascii="David" w:hAnsi="David" w:cs="David"/>
          <w:rtl/>
        </w:rPr>
        <w:t xml:space="preserve">התגובות </w:t>
      </w:r>
      <w:r w:rsidRPr="0013771F">
        <w:rPr>
          <w:rFonts w:ascii="David" w:hAnsi="David" w:cs="David"/>
          <w:rtl/>
        </w:rPr>
        <w:t>שקיבל</w:t>
      </w:r>
      <w:r w:rsidR="000351D5" w:rsidRPr="0013771F">
        <w:rPr>
          <w:rFonts w:ascii="David" w:hAnsi="David" w:cs="David"/>
          <w:rtl/>
        </w:rPr>
        <w:t xml:space="preserve"> היו</w:t>
      </w:r>
      <w:r w:rsidR="000351D5" w:rsidRPr="00712654">
        <w:rPr>
          <w:rFonts w:ascii="David" w:hAnsi="David" w:cs="David"/>
          <w:rtl/>
        </w:rPr>
        <w:t xml:space="preserve"> ב</w:t>
      </w:r>
      <w:r w:rsidRPr="00712654">
        <w:rPr>
          <w:rFonts w:ascii="David" w:hAnsi="David" w:cs="David"/>
          <w:rtl/>
        </w:rPr>
        <w:t xml:space="preserve">עיקרן "תמתין" ו"בודקים" את הנושא </w:t>
      </w:r>
      <w:r w:rsidR="00F62960" w:rsidRPr="00712654">
        <w:rPr>
          <w:rFonts w:ascii="David" w:hAnsi="David" w:cs="David"/>
          <w:rtl/>
        </w:rPr>
        <w:t>לאורך תקופה של כ-6 שנים(!) והתחמקות שיטתית מפניותיו וט</w:t>
      </w:r>
      <w:r w:rsidR="00F62960" w:rsidRPr="0093697B">
        <w:rPr>
          <w:rFonts w:ascii="David" w:hAnsi="David" w:cs="David"/>
          <w:rtl/>
        </w:rPr>
        <w:t xml:space="preserve">יעוניו, </w:t>
      </w:r>
      <w:r w:rsidR="00F62960" w:rsidRPr="00655EE8">
        <w:rPr>
          <w:rFonts w:ascii="David" w:hAnsi="David" w:cs="David"/>
          <w:rtl/>
        </w:rPr>
        <w:t>ש</w:t>
      </w:r>
      <w:r w:rsidR="00F62960" w:rsidRPr="00F65A30">
        <w:rPr>
          <w:rFonts w:ascii="David" w:hAnsi="David" w:cs="David"/>
          <w:rtl/>
        </w:rPr>
        <w:t xml:space="preserve">גרמו לו עגמת הנפש קשה ומתמשכת מתחושת "החיזור אחר הפתחים". </w:t>
      </w:r>
      <w:r w:rsidRPr="000B11C2">
        <w:rPr>
          <w:rFonts w:cs="David"/>
          <w:rtl/>
        </w:rPr>
        <w:t>למען הקיצור נביא ציטוטים נבחרים בלבד מתוך התכתבות זאת</w:t>
      </w:r>
      <w:r w:rsidR="00F5567F" w:rsidRPr="000B11C2">
        <w:rPr>
          <w:rFonts w:cs="David"/>
          <w:rtl/>
        </w:rPr>
        <w:t xml:space="preserve"> המשקפים את ההתנהלות כלפיו:</w:t>
      </w:r>
    </w:p>
    <w:p w:rsidR="00B94FBC" w:rsidRPr="000B11C2" w:rsidRDefault="00B94FBC" w:rsidP="0013771F">
      <w:pPr>
        <w:pStyle w:val="a8"/>
        <w:numPr>
          <w:ilvl w:val="1"/>
          <w:numId w:val="9"/>
        </w:numPr>
        <w:tabs>
          <w:tab w:val="left" w:pos="1268"/>
        </w:tabs>
        <w:spacing w:after="220" w:line="360" w:lineRule="auto"/>
        <w:ind w:left="1268" w:hanging="594"/>
        <w:rPr>
          <w:rFonts w:cs="David"/>
          <w:b/>
          <w:bCs/>
          <w:rtl/>
        </w:rPr>
      </w:pPr>
      <w:r w:rsidRPr="000B11C2">
        <w:rPr>
          <w:rFonts w:cs="David"/>
          <w:rtl/>
        </w:rPr>
        <w:t>ביום 13.2.13 כתב מר ציון לוי, מנהל אגף בכיר לגימלאות</w:t>
      </w:r>
      <w:r w:rsidR="000351D5">
        <w:rPr>
          <w:rFonts w:cs="David"/>
          <w:rtl/>
        </w:rPr>
        <w:t xml:space="preserve"> בנש"מ</w:t>
      </w:r>
      <w:r w:rsidRPr="000B11C2">
        <w:rPr>
          <w:rFonts w:cs="David"/>
          <w:rtl/>
        </w:rPr>
        <w:t>:</w:t>
      </w:r>
      <w:r w:rsidR="00F5567F" w:rsidRPr="000B11C2">
        <w:rPr>
          <w:rFonts w:cs="David"/>
          <w:rtl/>
        </w:rPr>
        <w:t xml:space="preserve"> "</w:t>
      </w:r>
      <w:r w:rsidRPr="000B11C2">
        <w:rPr>
          <w:rFonts w:cs="David"/>
          <w:rtl/>
        </w:rPr>
        <w:t xml:space="preserve">מבצעים חשיבה ובדיקה. </w:t>
      </w:r>
      <w:r w:rsidRPr="000B11C2">
        <w:rPr>
          <w:rFonts w:cs="David"/>
          <w:b/>
          <w:bCs/>
          <w:rtl/>
        </w:rPr>
        <w:t>לאחר סיומם נשוב ונשיבך</w:t>
      </w:r>
      <w:r w:rsidR="00F5567F" w:rsidRPr="000B11C2">
        <w:rPr>
          <w:rFonts w:cs="David"/>
          <w:b/>
          <w:bCs/>
          <w:rtl/>
        </w:rPr>
        <w:t>"</w:t>
      </w:r>
      <w:r w:rsidR="00106C5C" w:rsidRPr="000B11C2">
        <w:rPr>
          <w:rFonts w:cs="David"/>
          <w:b/>
          <w:bCs/>
          <w:rtl/>
        </w:rPr>
        <w:t xml:space="preserve">; </w:t>
      </w:r>
      <w:r w:rsidR="00106C5C" w:rsidRPr="000B11C2">
        <w:rPr>
          <w:rFonts w:cs="David"/>
          <w:rtl/>
        </w:rPr>
        <w:t>ביום 21.7.14 כותב אותו מר ציון לוי: "</w:t>
      </w:r>
      <w:r w:rsidR="00106C5C" w:rsidRPr="000B11C2">
        <w:rPr>
          <w:rFonts w:cs="David"/>
          <w:i/>
          <w:iCs/>
          <w:rtl/>
        </w:rPr>
        <w:t xml:space="preserve"> </w:t>
      </w:r>
      <w:r w:rsidR="00106C5C" w:rsidRPr="000B11C2">
        <w:rPr>
          <w:rFonts w:cs="David"/>
          <w:b/>
          <w:bCs/>
          <w:i/>
          <w:iCs/>
          <w:rtl/>
        </w:rPr>
        <w:t>מבצעים חשיבה מחודשת</w:t>
      </w:r>
      <w:r w:rsidR="00106C5C" w:rsidRPr="000B11C2">
        <w:rPr>
          <w:rFonts w:cs="David"/>
          <w:i/>
          <w:iCs/>
          <w:rtl/>
        </w:rPr>
        <w:t>"..."שבסיומה נשוב ונודיעך</w:t>
      </w:r>
      <w:r w:rsidR="00106C5C" w:rsidRPr="000B11C2">
        <w:rPr>
          <w:rFonts w:cs="David"/>
          <w:rtl/>
        </w:rPr>
        <w:t>".</w:t>
      </w:r>
    </w:p>
    <w:p w:rsidR="00B94FBC" w:rsidRPr="000B11C2" w:rsidRDefault="00B94FBC" w:rsidP="0013771F">
      <w:pPr>
        <w:pStyle w:val="a8"/>
        <w:numPr>
          <w:ilvl w:val="1"/>
          <w:numId w:val="9"/>
        </w:numPr>
        <w:tabs>
          <w:tab w:val="left" w:pos="1268"/>
        </w:tabs>
        <w:spacing w:after="220" w:line="360" w:lineRule="auto"/>
        <w:ind w:left="1268" w:hanging="594"/>
        <w:rPr>
          <w:rFonts w:cs="David"/>
          <w:rtl/>
        </w:rPr>
      </w:pPr>
      <w:r w:rsidRPr="000B11C2">
        <w:rPr>
          <w:rFonts w:cs="David"/>
          <w:rtl/>
        </w:rPr>
        <w:t>ביום 21.5.13 כותב מר מ. אהרונוב, סגן בכיר לנציב השרות: "</w:t>
      </w:r>
      <w:r w:rsidR="00F5567F" w:rsidRPr="000B11C2">
        <w:rPr>
          <w:rFonts w:cs="David"/>
          <w:rtl/>
        </w:rPr>
        <w:t xml:space="preserve"> </w:t>
      </w:r>
      <w:r w:rsidRPr="000B11C2">
        <w:rPr>
          <w:rFonts w:cs="David"/>
          <w:i/>
          <w:iCs/>
          <w:rtl/>
        </w:rPr>
        <w:t xml:space="preserve">נושא חישוב הגמלה נבדק בימים אלה ע"י מר לוי, </w:t>
      </w:r>
      <w:r w:rsidRPr="000B11C2">
        <w:rPr>
          <w:rFonts w:cs="David"/>
          <w:b/>
          <w:bCs/>
          <w:i/>
          <w:iCs/>
          <w:rtl/>
        </w:rPr>
        <w:t>שיודיעך דבר בהמשך</w:t>
      </w:r>
      <w:r w:rsidRPr="000B11C2">
        <w:rPr>
          <w:rFonts w:cs="David"/>
          <w:rtl/>
        </w:rPr>
        <w:t>"</w:t>
      </w:r>
      <w:r w:rsidR="002C6D28" w:rsidRPr="000B11C2">
        <w:rPr>
          <w:rFonts w:cs="David"/>
          <w:rtl/>
        </w:rPr>
        <w:t>;</w:t>
      </w:r>
      <w:r w:rsidRPr="000B11C2">
        <w:rPr>
          <w:rFonts w:cs="David"/>
          <w:rtl/>
        </w:rPr>
        <w:t xml:space="preserve"> ביום 22.5.13 כותב אותו מ. אהרונוב: </w:t>
      </w:r>
      <w:r w:rsidR="00F5567F" w:rsidRPr="000B11C2">
        <w:rPr>
          <w:rFonts w:cs="David"/>
          <w:i/>
          <w:iCs/>
          <w:rtl/>
        </w:rPr>
        <w:t>"</w:t>
      </w:r>
      <w:r w:rsidRPr="000B11C2">
        <w:rPr>
          <w:rFonts w:cs="David"/>
          <w:i/>
          <w:iCs/>
          <w:rtl/>
        </w:rPr>
        <w:t xml:space="preserve">הנושא הפנסיוני שלך נמצא בבדיקה עקרונית... </w:t>
      </w:r>
      <w:r w:rsidRPr="000B11C2">
        <w:rPr>
          <w:rFonts w:cs="David"/>
          <w:b/>
          <w:bCs/>
          <w:i/>
          <w:iCs/>
          <w:rtl/>
        </w:rPr>
        <w:t xml:space="preserve">עד אשר תסתיים הבדיקה </w:t>
      </w:r>
      <w:r w:rsidRPr="000351D5">
        <w:rPr>
          <w:rFonts w:cs="David"/>
          <w:b/>
          <w:bCs/>
          <w:i/>
          <w:iCs/>
          <w:u w:val="single"/>
          <w:rtl/>
        </w:rPr>
        <w:t>נידרש להמתין</w:t>
      </w:r>
      <w:r w:rsidRPr="000B11C2">
        <w:rPr>
          <w:rFonts w:cs="David"/>
          <w:rtl/>
        </w:rPr>
        <w:t>".</w:t>
      </w:r>
    </w:p>
    <w:p w:rsidR="00B94FBC" w:rsidRPr="000B11C2" w:rsidRDefault="00B94FBC" w:rsidP="0013771F">
      <w:pPr>
        <w:pStyle w:val="a8"/>
        <w:numPr>
          <w:ilvl w:val="1"/>
          <w:numId w:val="9"/>
        </w:numPr>
        <w:tabs>
          <w:tab w:val="left" w:pos="1268"/>
        </w:tabs>
        <w:spacing w:after="220" w:line="360" w:lineRule="auto"/>
        <w:ind w:left="1268" w:hanging="594"/>
        <w:rPr>
          <w:rFonts w:cs="David"/>
          <w:rtl/>
        </w:rPr>
      </w:pPr>
      <w:r w:rsidRPr="000B11C2">
        <w:rPr>
          <w:rFonts w:cs="David"/>
          <w:rtl/>
        </w:rPr>
        <w:t>ביום 15.2.15 כותבת עו"ד עליזה אבן (ל. משפטית, נש"מ): "</w:t>
      </w:r>
      <w:r w:rsidRPr="000B11C2">
        <w:rPr>
          <w:rFonts w:cs="David"/>
          <w:b/>
          <w:bCs/>
          <w:i/>
          <w:iCs/>
          <w:rtl/>
        </w:rPr>
        <w:t>פנייתך נמצאת בבדיקה</w:t>
      </w:r>
      <w:r w:rsidRPr="000B11C2">
        <w:rPr>
          <w:rFonts w:cs="David"/>
          <w:i/>
          <w:iCs/>
          <w:rtl/>
        </w:rPr>
        <w:t xml:space="preserve"> ....עם תום הברור נודיעך</w:t>
      </w:r>
      <w:r w:rsidRPr="000B11C2">
        <w:rPr>
          <w:rFonts w:cs="David"/>
          <w:rtl/>
        </w:rPr>
        <w:t>".</w:t>
      </w:r>
    </w:p>
    <w:p w:rsidR="00B94FBC" w:rsidRPr="000B11C2" w:rsidRDefault="00B94FBC" w:rsidP="0013771F">
      <w:pPr>
        <w:pStyle w:val="a8"/>
        <w:numPr>
          <w:ilvl w:val="1"/>
          <w:numId w:val="9"/>
        </w:numPr>
        <w:tabs>
          <w:tab w:val="left" w:pos="1268"/>
        </w:tabs>
        <w:spacing w:after="220" w:line="360" w:lineRule="auto"/>
        <w:ind w:left="1268" w:hanging="594"/>
        <w:rPr>
          <w:rFonts w:cs="David"/>
          <w:rtl/>
        </w:rPr>
      </w:pPr>
      <w:r w:rsidRPr="000B11C2">
        <w:rPr>
          <w:rFonts w:cs="David"/>
          <w:rtl/>
        </w:rPr>
        <w:t>ביום 29.5.17 עו"ד ר. דול, (יוע"מש נש"מ): "</w:t>
      </w:r>
      <w:r w:rsidRPr="000B11C2">
        <w:rPr>
          <w:rFonts w:cs="David"/>
          <w:i/>
          <w:iCs/>
          <w:rtl/>
        </w:rPr>
        <w:t xml:space="preserve">אנו </w:t>
      </w:r>
      <w:r w:rsidRPr="000B11C2">
        <w:rPr>
          <w:rFonts w:cs="David"/>
          <w:b/>
          <w:bCs/>
          <w:i/>
          <w:iCs/>
          <w:rtl/>
        </w:rPr>
        <w:t>עדיין בוחנים</w:t>
      </w:r>
      <w:r w:rsidRPr="000B11C2">
        <w:rPr>
          <w:rFonts w:cs="David"/>
          <w:i/>
          <w:iCs/>
          <w:rtl/>
        </w:rPr>
        <w:t xml:space="preserve"> את הבקשה</w:t>
      </w:r>
      <w:r w:rsidRPr="000B11C2">
        <w:rPr>
          <w:rFonts w:cs="David"/>
          <w:rtl/>
        </w:rPr>
        <w:t xml:space="preserve">". </w:t>
      </w:r>
    </w:p>
    <w:p w:rsidR="003B5BCB" w:rsidRPr="00712654" w:rsidRDefault="00B94FBC" w:rsidP="0013771F">
      <w:pPr>
        <w:pStyle w:val="a8"/>
        <w:numPr>
          <w:ilvl w:val="0"/>
          <w:numId w:val="9"/>
        </w:numPr>
        <w:tabs>
          <w:tab w:val="left" w:pos="674"/>
        </w:tabs>
        <w:spacing w:after="220" w:line="360" w:lineRule="auto"/>
        <w:ind w:left="674" w:hanging="630"/>
        <w:rPr>
          <w:rFonts w:ascii="David" w:hAnsi="David" w:cs="David"/>
        </w:rPr>
      </w:pPr>
      <w:r w:rsidRPr="00F62960">
        <w:rPr>
          <w:rFonts w:ascii="David" w:hAnsi="David" w:cs="David"/>
          <w:rtl/>
        </w:rPr>
        <w:t xml:space="preserve">הדברים ברורים: המערער עשה ככל </w:t>
      </w:r>
      <w:r w:rsidRPr="00916E11">
        <w:rPr>
          <w:rFonts w:ascii="David" w:hAnsi="David" w:cs="David"/>
          <w:rtl/>
        </w:rPr>
        <w:t xml:space="preserve">יכולתו למצות הליכים, </w:t>
      </w:r>
      <w:r w:rsidRPr="00916E11">
        <w:rPr>
          <w:rFonts w:ascii="David" w:hAnsi="David" w:cs="David"/>
          <w:b/>
          <w:bCs/>
          <w:rtl/>
        </w:rPr>
        <w:t xml:space="preserve">והתבקש שוב ושוב </w:t>
      </w:r>
      <w:r w:rsidR="00EF34E3" w:rsidRPr="00916E11">
        <w:rPr>
          <w:rFonts w:ascii="David" w:hAnsi="David" w:cs="David"/>
          <w:b/>
          <w:bCs/>
          <w:rtl/>
        </w:rPr>
        <w:t xml:space="preserve">ע"י המדינה </w:t>
      </w:r>
      <w:r w:rsidRPr="00916E11">
        <w:rPr>
          <w:rFonts w:ascii="David" w:hAnsi="David" w:cs="David"/>
          <w:b/>
          <w:bCs/>
          <w:rtl/>
        </w:rPr>
        <w:t xml:space="preserve">להמתין לתשובות של הגורמים המוסמכים. </w:t>
      </w:r>
      <w:r w:rsidRPr="00916E11">
        <w:rPr>
          <w:rFonts w:ascii="David" w:hAnsi="David" w:cs="David"/>
          <w:rtl/>
        </w:rPr>
        <w:t xml:space="preserve">נצטט את הדברים שכתב המערער בפנייתו </w:t>
      </w:r>
      <w:r w:rsidR="00F62960" w:rsidRPr="00916E11">
        <w:rPr>
          <w:rFonts w:ascii="David" w:hAnsi="David" w:cs="David"/>
          <w:rtl/>
        </w:rPr>
        <w:t>השנ</w:t>
      </w:r>
      <w:r w:rsidR="00712654" w:rsidRPr="00916E11">
        <w:rPr>
          <w:rFonts w:ascii="David" w:hAnsi="David" w:cs="David"/>
          <w:rtl/>
        </w:rPr>
        <w:t>י</w:t>
      </w:r>
      <w:r w:rsidR="00F62960" w:rsidRPr="00916E11">
        <w:rPr>
          <w:rFonts w:ascii="David" w:hAnsi="David" w:cs="David"/>
          <w:rtl/>
        </w:rPr>
        <w:t xml:space="preserve">יה </w:t>
      </w:r>
      <w:r w:rsidRPr="00916E11">
        <w:rPr>
          <w:rFonts w:ascii="David" w:hAnsi="David" w:cs="David"/>
          <w:rtl/>
        </w:rPr>
        <w:t>לנציבות</w:t>
      </w:r>
      <w:r w:rsidR="003B5BCB" w:rsidRPr="00916E11">
        <w:rPr>
          <w:rFonts w:ascii="David" w:hAnsi="David" w:cs="David"/>
          <w:rtl/>
        </w:rPr>
        <w:t xml:space="preserve"> בתגובה למכתב של מר צ. לוי מ-13.2.2013 הנ"ל (פיסקא 25.1לעיל</w:t>
      </w:r>
      <w:r w:rsidR="003B5BCB" w:rsidRPr="0093697B">
        <w:rPr>
          <w:rFonts w:ascii="David" w:hAnsi="David" w:cs="David"/>
          <w:rtl/>
        </w:rPr>
        <w:t xml:space="preserve">) </w:t>
      </w:r>
      <w:r w:rsidRPr="0093697B">
        <w:rPr>
          <w:rFonts w:ascii="David" w:hAnsi="David" w:cs="David"/>
          <w:rtl/>
        </w:rPr>
        <w:t>, אשר מהדהדים גם עתה</w:t>
      </w:r>
      <w:r w:rsidR="00F62960" w:rsidRPr="0013771F">
        <w:rPr>
          <w:rFonts w:ascii="David" w:hAnsi="David" w:cs="David"/>
          <w:rtl/>
        </w:rPr>
        <w:t>:</w:t>
      </w:r>
    </w:p>
    <w:p w:rsidR="00B94FBC" w:rsidRDefault="00C1449C" w:rsidP="001A50DD">
      <w:pPr>
        <w:pStyle w:val="a8"/>
        <w:spacing w:after="220" w:line="360" w:lineRule="auto"/>
        <w:ind w:left="953" w:right="284"/>
        <w:rPr>
          <w:rFonts w:ascii="David" w:hAnsi="David" w:cs="David"/>
          <w:rtl/>
        </w:rPr>
      </w:pPr>
      <w:r w:rsidRPr="00712654">
        <w:rPr>
          <w:rFonts w:ascii="David" w:hAnsi="David" w:cs="David"/>
          <w:rtl/>
        </w:rPr>
        <w:t>"</w:t>
      </w:r>
      <w:r w:rsidRPr="0093697B">
        <w:rPr>
          <w:rFonts w:ascii="David" w:hAnsi="David" w:cs="David"/>
          <w:i/>
          <w:iCs/>
          <w:rtl/>
        </w:rPr>
        <w:t>איך ייתכן... 23 שנים</w:t>
      </w:r>
      <w:r w:rsidR="00F5567F" w:rsidRPr="0093697B">
        <w:rPr>
          <w:rFonts w:ascii="David" w:hAnsi="David" w:cs="David"/>
          <w:i/>
          <w:iCs/>
          <w:rtl/>
        </w:rPr>
        <w:t xml:space="preserve"> החוזה היה מובן</w:t>
      </w:r>
      <w:r w:rsidRPr="0093697B">
        <w:rPr>
          <w:rFonts w:ascii="David" w:hAnsi="David" w:cs="David"/>
          <w:i/>
          <w:iCs/>
          <w:rtl/>
        </w:rPr>
        <w:t xml:space="preserve"> ....</w:t>
      </w:r>
      <w:r w:rsidR="00BB78B8" w:rsidRPr="0093697B">
        <w:rPr>
          <w:rFonts w:ascii="David" w:hAnsi="David" w:cs="David"/>
          <w:i/>
          <w:iCs/>
          <w:rtl/>
        </w:rPr>
        <w:t xml:space="preserve"> </w:t>
      </w:r>
      <w:r w:rsidRPr="0093697B">
        <w:rPr>
          <w:rFonts w:ascii="David" w:hAnsi="David" w:cs="David"/>
          <w:i/>
          <w:iCs/>
          <w:rtl/>
        </w:rPr>
        <w:t>ואף ניכיתם בהתאם מדי חודש</w:t>
      </w:r>
      <w:r w:rsidRPr="00F62960">
        <w:rPr>
          <w:rFonts w:ascii="David" w:hAnsi="David" w:cs="David"/>
          <w:i/>
          <w:iCs/>
          <w:rtl/>
        </w:rPr>
        <w:t xml:space="preserve"> תשלומים משמעותיים כחלקי במימון הפנסיה ועכשיו פתאום כשהגיע הזמן לממש את זכויותי אתם גוזלים</w:t>
      </w:r>
      <w:r w:rsidR="00F5567F" w:rsidRPr="00F62960">
        <w:rPr>
          <w:rFonts w:ascii="David" w:hAnsi="David" w:cs="David"/>
          <w:i/>
          <w:iCs/>
          <w:rtl/>
        </w:rPr>
        <w:t xml:space="preserve"> </w:t>
      </w:r>
      <w:r w:rsidRPr="00F62960">
        <w:rPr>
          <w:rFonts w:ascii="David" w:hAnsi="David" w:cs="David"/>
          <w:i/>
          <w:iCs/>
          <w:rtl/>
        </w:rPr>
        <w:t xml:space="preserve">את הגימלה ללא הסבר ונותנים לי להמתין ל"חשיבה ובדיקה"? </w:t>
      </w:r>
      <w:r w:rsidRPr="00F62960">
        <w:rPr>
          <w:rFonts w:ascii="David" w:hAnsi="David" w:cs="David"/>
          <w:b/>
          <w:bCs/>
          <w:i/>
          <w:iCs/>
          <w:sz w:val="28"/>
          <w:szCs w:val="28"/>
          <w:rtl/>
        </w:rPr>
        <w:t>מתי יסתיימו "בדיקותיכם" המעמיקות? בעוד שנה? 10 שנים? לאחר פטירתי</w:t>
      </w:r>
      <w:r w:rsidRPr="00F62960">
        <w:rPr>
          <w:rFonts w:ascii="David" w:hAnsi="David" w:cs="David"/>
          <w:b/>
          <w:bCs/>
          <w:sz w:val="28"/>
          <w:szCs w:val="28"/>
          <w:rtl/>
        </w:rPr>
        <w:t>".</w:t>
      </w:r>
    </w:p>
    <w:p w:rsidR="003B5BCB" w:rsidRPr="0093697B" w:rsidRDefault="003B5BCB" w:rsidP="0013771F">
      <w:pPr>
        <w:pStyle w:val="a8"/>
        <w:numPr>
          <w:ilvl w:val="0"/>
          <w:numId w:val="9"/>
        </w:numPr>
        <w:tabs>
          <w:tab w:val="left" w:pos="674"/>
        </w:tabs>
        <w:spacing w:after="220" w:line="360" w:lineRule="auto"/>
        <w:ind w:left="669" w:hanging="567"/>
        <w:rPr>
          <w:rFonts w:ascii="David" w:hAnsi="David" w:cs="David"/>
          <w:b/>
          <w:bCs/>
          <w:i/>
          <w:iCs/>
        </w:rPr>
      </w:pPr>
      <w:r w:rsidRPr="00F62960">
        <w:rPr>
          <w:rFonts w:ascii="David" w:hAnsi="David" w:cs="David"/>
          <w:rtl/>
        </w:rPr>
        <w:t>נציין עוד, כי לנוכח ההתנהלות האכזרית ממש של המערכת, פנה המערער לנציב תלונות הציבור באפריל 2017 בתקוה להסתייע בו</w:t>
      </w:r>
      <w:r w:rsidRPr="00F62960">
        <w:rPr>
          <w:rFonts w:ascii="David" w:hAnsi="David" w:cs="David"/>
          <w:b/>
          <w:bCs/>
          <w:rtl/>
        </w:rPr>
        <w:t xml:space="preserve">. </w:t>
      </w:r>
      <w:r w:rsidRPr="00F62960">
        <w:rPr>
          <w:rFonts w:ascii="David" w:hAnsi="David" w:cs="David"/>
          <w:rtl/>
        </w:rPr>
        <w:t xml:space="preserve">רק </w:t>
      </w:r>
      <w:r w:rsidRPr="00F62960">
        <w:rPr>
          <w:rFonts w:ascii="David" w:hAnsi="David" w:cs="David"/>
          <w:b/>
          <w:bCs/>
          <w:rtl/>
        </w:rPr>
        <w:t>לאחר כשנה ורבע, במהלך יולי 2018, נתקבלה תשובתו (בליווי התנצלות על הימשכות הטיפול בפניית המערער) לפיה</w:t>
      </w:r>
      <w:r w:rsidRPr="00F62960">
        <w:rPr>
          <w:rFonts w:ascii="David" w:hAnsi="David"/>
          <w:b/>
          <w:bCs/>
          <w:rtl/>
        </w:rPr>
        <w:t xml:space="preserve"> </w:t>
      </w:r>
      <w:r w:rsidRPr="00F62960">
        <w:rPr>
          <w:rFonts w:ascii="David" w:hAnsi="David" w:cs="David"/>
          <w:b/>
          <w:bCs/>
          <w:i/>
          <w:iCs/>
          <w:rtl/>
        </w:rPr>
        <w:t>לא קמה עילה שבדין להתערבות נציבות תלונות הציבור, שבשונה מבתי הדין לעבודה, מוגבלת מאוד בבירור תלונות עובדים בעניינים הנוגעים לשירותם</w:t>
      </w:r>
      <w:r w:rsidRPr="003B5BCB">
        <w:rPr>
          <w:rFonts w:ascii="David" w:hAnsi="David" w:cs="David"/>
          <w:b/>
          <w:bCs/>
          <w:i/>
          <w:iCs/>
          <w:rtl/>
        </w:rPr>
        <w:t xml:space="preserve"> </w:t>
      </w:r>
      <w:r w:rsidRPr="0093697B">
        <w:rPr>
          <w:rFonts w:ascii="David" w:hAnsi="David" w:cs="David"/>
          <w:b/>
          <w:bCs/>
          <w:i/>
          <w:iCs/>
          <w:rtl/>
        </w:rPr>
        <w:t>כעובדים"</w:t>
      </w:r>
      <w:r w:rsidR="00CF5D73">
        <w:rPr>
          <w:rFonts w:ascii="David" w:hAnsi="David" w:cs="David"/>
          <w:b/>
          <w:bCs/>
          <w:i/>
          <w:iCs/>
          <w:rtl/>
        </w:rPr>
        <w:t xml:space="preserve"> </w:t>
      </w:r>
      <w:r w:rsidR="00CF5D73">
        <w:rPr>
          <w:rFonts w:ascii="David" w:hAnsi="David" w:cs="David"/>
          <w:rtl/>
        </w:rPr>
        <w:t>(</w:t>
      </w:r>
      <w:r w:rsidR="00CF5D73">
        <w:rPr>
          <w:rFonts w:ascii="David" w:hAnsi="David" w:cs="David"/>
          <w:i/>
          <w:iCs/>
          <w:rtl/>
        </w:rPr>
        <w:t>ראו נספחים 12א' – 12ב' לכתב התביעה</w:t>
      </w:r>
      <w:r w:rsidR="00CF5D73">
        <w:rPr>
          <w:rFonts w:ascii="David" w:hAnsi="David" w:cs="David"/>
          <w:rtl/>
        </w:rPr>
        <w:t>)</w:t>
      </w:r>
      <w:r w:rsidRPr="0013771F">
        <w:rPr>
          <w:rFonts w:ascii="David" w:hAnsi="David" w:cs="David"/>
          <w:b/>
          <w:bCs/>
          <w:i/>
          <w:iCs/>
          <w:sz w:val="16"/>
          <w:szCs w:val="16"/>
          <w:rtl/>
        </w:rPr>
        <w:t>.</w:t>
      </w:r>
      <w:r w:rsidRPr="0093697B">
        <w:rPr>
          <w:rFonts w:ascii="David" w:hAnsi="David" w:cs="David"/>
          <w:b/>
          <w:bCs/>
          <w:i/>
          <w:iCs/>
          <w:rtl/>
        </w:rPr>
        <w:t xml:space="preserve"> </w:t>
      </w:r>
    </w:p>
    <w:p w:rsidR="00F62960" w:rsidRPr="0093697B" w:rsidRDefault="00F62960" w:rsidP="0013771F">
      <w:pPr>
        <w:pStyle w:val="a8"/>
        <w:numPr>
          <w:ilvl w:val="0"/>
          <w:numId w:val="9"/>
        </w:numPr>
        <w:tabs>
          <w:tab w:val="left" w:pos="674"/>
        </w:tabs>
        <w:spacing w:after="360" w:line="360" w:lineRule="auto"/>
        <w:ind w:left="674" w:hanging="630"/>
        <w:rPr>
          <w:rFonts w:cs="David"/>
        </w:rPr>
      </w:pPr>
      <w:r w:rsidRPr="00655EE8">
        <w:rPr>
          <w:rFonts w:ascii="David" w:hAnsi="David" w:cs="David"/>
          <w:rtl/>
        </w:rPr>
        <w:lastRenderedPageBreak/>
        <w:t>כדי לא להלאות את בית הדין, המערער לא הציג בשלב הגשת התביעה את הפירוט המלא של פניותיו ואת כל האסמכתאות לפניות אלה, אותם התכו</w:t>
      </w:r>
      <w:r w:rsidR="0093697B" w:rsidRPr="00F65A30">
        <w:rPr>
          <w:rFonts w:ascii="David" w:hAnsi="David" w:cs="David"/>
          <w:rtl/>
        </w:rPr>
        <w:t>ו</w:t>
      </w:r>
      <w:r w:rsidRPr="001A50DD">
        <w:rPr>
          <w:rFonts w:ascii="David" w:hAnsi="David" w:cs="David"/>
          <w:rtl/>
        </w:rPr>
        <w:t xml:space="preserve">ן להציג </w:t>
      </w:r>
      <w:r w:rsidR="0093697B" w:rsidRPr="0093697B">
        <w:rPr>
          <w:rFonts w:ascii="David" w:hAnsi="David" w:cs="David"/>
          <w:rtl/>
        </w:rPr>
        <w:t>במסגרת שלב ההוכחות, כנדרש ועל פי דין</w:t>
      </w:r>
      <w:r w:rsidRPr="0093697B">
        <w:rPr>
          <w:rFonts w:cs="David"/>
          <w:rtl/>
        </w:rPr>
        <w:t>.</w:t>
      </w:r>
    </w:p>
    <w:p w:rsidR="00C1449C" w:rsidRPr="000B11C2" w:rsidRDefault="00C1449C" w:rsidP="000B11C2">
      <w:pPr>
        <w:pStyle w:val="a8"/>
        <w:tabs>
          <w:tab w:val="left" w:pos="674"/>
        </w:tabs>
        <w:spacing w:after="120" w:line="360" w:lineRule="auto"/>
        <w:ind w:left="44"/>
        <w:rPr>
          <w:rFonts w:ascii="David" w:hAnsi="David" w:cs="David"/>
          <w:b/>
          <w:bCs/>
          <w:sz w:val="26"/>
          <w:szCs w:val="26"/>
          <w:u w:val="single"/>
        </w:rPr>
      </w:pPr>
      <w:r w:rsidRPr="000B11C2">
        <w:rPr>
          <w:rFonts w:ascii="David" w:hAnsi="David" w:cs="David"/>
          <w:b/>
          <w:bCs/>
          <w:sz w:val="26"/>
          <w:szCs w:val="26"/>
          <w:rtl/>
        </w:rPr>
        <w:t>א.6.</w:t>
      </w:r>
      <w:r w:rsidRPr="000B11C2">
        <w:rPr>
          <w:rFonts w:ascii="David" w:hAnsi="David" w:cs="David"/>
          <w:b/>
          <w:bCs/>
          <w:sz w:val="26"/>
          <w:szCs w:val="26"/>
          <w:rtl/>
        </w:rPr>
        <w:tab/>
      </w:r>
      <w:r w:rsidRPr="000B11C2">
        <w:rPr>
          <w:rFonts w:ascii="David" w:hAnsi="David" w:cs="David"/>
          <w:b/>
          <w:bCs/>
          <w:sz w:val="26"/>
          <w:szCs w:val="26"/>
          <w:u w:val="single"/>
          <w:rtl/>
        </w:rPr>
        <w:t>עיקרי התביעה</w:t>
      </w:r>
    </w:p>
    <w:p w:rsidR="0043225B" w:rsidRPr="000B11C2" w:rsidRDefault="000650C9" w:rsidP="0013771F">
      <w:pPr>
        <w:pStyle w:val="a8"/>
        <w:tabs>
          <w:tab w:val="left" w:pos="674"/>
        </w:tabs>
        <w:spacing w:after="220" w:line="360" w:lineRule="auto"/>
        <w:rPr>
          <w:rFonts w:cs="David"/>
        </w:rPr>
      </w:pPr>
      <w:r w:rsidRPr="000B11C2">
        <w:rPr>
          <w:rFonts w:cs="David"/>
          <w:rtl/>
        </w:rPr>
        <w:t>לאחר שמיצה את ההליכים,</w:t>
      </w:r>
      <w:r w:rsidR="002302DF" w:rsidRPr="000B11C2">
        <w:rPr>
          <w:rFonts w:cs="David"/>
          <w:rtl/>
        </w:rPr>
        <w:t xml:space="preserve"> ולאחר שהבין שלא נותרה לו כל ברירה, אלא לתבוע את המקום בו עבד למעלה מארבעים ושתיים שנים, הגיש</w:t>
      </w:r>
      <w:r w:rsidRPr="000B11C2">
        <w:rPr>
          <w:rFonts w:cs="David"/>
          <w:rtl/>
        </w:rPr>
        <w:t xml:space="preserve"> </w:t>
      </w:r>
      <w:r w:rsidR="00BD33F3" w:rsidRPr="000B11C2">
        <w:rPr>
          <w:rFonts w:cs="David"/>
          <w:rtl/>
        </w:rPr>
        <w:t xml:space="preserve">המערער </w:t>
      </w:r>
      <w:r w:rsidR="009308D3" w:rsidRPr="000B11C2">
        <w:rPr>
          <w:rFonts w:cs="David"/>
          <w:rtl/>
        </w:rPr>
        <w:t xml:space="preserve">בלב כבד </w:t>
      </w:r>
      <w:r w:rsidR="00FD7E47" w:rsidRPr="000B11C2">
        <w:rPr>
          <w:rFonts w:cs="David"/>
          <w:rtl/>
        </w:rPr>
        <w:t>תביעה בשלושה ראשים עיקריים</w:t>
      </w:r>
      <w:r w:rsidR="002302DF" w:rsidRPr="000B11C2">
        <w:rPr>
          <w:rFonts w:cs="David"/>
          <w:rtl/>
        </w:rPr>
        <w:t xml:space="preserve"> -</w:t>
      </w:r>
    </w:p>
    <w:p w:rsidR="005D71AF" w:rsidRPr="0093697B" w:rsidRDefault="002A1C7D" w:rsidP="0013771F">
      <w:pPr>
        <w:pStyle w:val="a8"/>
        <w:numPr>
          <w:ilvl w:val="0"/>
          <w:numId w:val="9"/>
        </w:numPr>
        <w:tabs>
          <w:tab w:val="left" w:pos="638"/>
        </w:tabs>
        <w:spacing w:after="220" w:line="360" w:lineRule="auto"/>
        <w:ind w:left="638" w:hanging="630"/>
        <w:rPr>
          <w:rFonts w:cs="David"/>
          <w:rtl/>
        </w:rPr>
      </w:pPr>
      <w:r w:rsidRPr="0093697B">
        <w:rPr>
          <w:rFonts w:cs="David"/>
          <w:u w:val="single"/>
          <w:rtl/>
        </w:rPr>
        <w:t>השלמת התקופה הקצובה בחוזה העבודה</w:t>
      </w:r>
      <w:r w:rsidRPr="0093697B">
        <w:rPr>
          <w:rFonts w:cs="David"/>
          <w:rtl/>
        </w:rPr>
        <w:t xml:space="preserve"> – המערער הגיש תביעה בעניין זכותו לעבוד עד תום תקופת החוזה עליו חתם, שהוא חוזה לתקופה קצובה, שתוקפו הוארך מעת לעת. המדינה הפסיקה חד-צדדית את תוקפו</w:t>
      </w:r>
      <w:r w:rsidR="0093697B">
        <w:rPr>
          <w:rFonts w:cs="David"/>
          <w:rtl/>
        </w:rPr>
        <w:t>,</w:t>
      </w:r>
      <w:r w:rsidR="002C38CB" w:rsidRPr="0093697B">
        <w:rPr>
          <w:rFonts w:cs="David"/>
          <w:rtl/>
        </w:rPr>
        <w:t xml:space="preserve"> </w:t>
      </w:r>
      <w:r w:rsidR="0093697B" w:rsidRPr="0093697B">
        <w:rPr>
          <w:rFonts w:cs="David"/>
          <w:rtl/>
        </w:rPr>
        <w:t>ב</w:t>
      </w:r>
      <w:r w:rsidR="0093697B">
        <w:rPr>
          <w:rFonts w:cs="David"/>
          <w:rtl/>
        </w:rPr>
        <w:t>מהלך</w:t>
      </w:r>
      <w:r w:rsidR="0093697B" w:rsidRPr="0093697B">
        <w:rPr>
          <w:rFonts w:cs="David"/>
          <w:rtl/>
        </w:rPr>
        <w:t xml:space="preserve"> </w:t>
      </w:r>
      <w:r w:rsidR="002C38CB" w:rsidRPr="0093697B">
        <w:rPr>
          <w:rFonts w:cs="David"/>
          <w:rtl/>
        </w:rPr>
        <w:t>תקופת החוזה</w:t>
      </w:r>
      <w:r w:rsidR="0093697B">
        <w:rPr>
          <w:rFonts w:cs="David"/>
          <w:rtl/>
        </w:rPr>
        <w:t>,</w:t>
      </w:r>
      <w:r w:rsidR="005D71AF" w:rsidRPr="0093697B">
        <w:rPr>
          <w:rFonts w:cs="David"/>
          <w:rtl/>
        </w:rPr>
        <w:t xml:space="preserve"> בניגוד לדרך הקבועה בחוזה</w:t>
      </w:r>
      <w:r w:rsidRPr="0093697B">
        <w:rPr>
          <w:rFonts w:cs="David"/>
          <w:rtl/>
        </w:rPr>
        <w:t xml:space="preserve">. </w:t>
      </w:r>
    </w:p>
    <w:p w:rsidR="002302DF" w:rsidRPr="000B11C2" w:rsidRDefault="00106C5C" w:rsidP="0013771F">
      <w:pPr>
        <w:pStyle w:val="a8"/>
        <w:tabs>
          <w:tab w:val="left" w:pos="638"/>
          <w:tab w:val="left" w:pos="1394"/>
        </w:tabs>
        <w:spacing w:after="220" w:line="360" w:lineRule="auto"/>
        <w:ind w:left="638" w:hanging="630"/>
        <w:rPr>
          <w:rFonts w:cs="David"/>
          <w:b/>
          <w:bCs/>
          <w:rtl/>
        </w:rPr>
      </w:pPr>
      <w:r w:rsidRPr="000B11C2">
        <w:rPr>
          <w:rFonts w:cs="David"/>
          <w:rtl/>
        </w:rPr>
        <w:tab/>
      </w:r>
      <w:r w:rsidR="002A1C7D" w:rsidRPr="000B11C2">
        <w:rPr>
          <w:rFonts w:cs="David"/>
          <w:rtl/>
        </w:rPr>
        <w:t>המערער אמנם נדרש להפסיק לעבוד</w:t>
      </w:r>
      <w:r w:rsidR="00A6000E" w:rsidRPr="000B11C2">
        <w:rPr>
          <w:rFonts w:cs="David"/>
          <w:rtl/>
        </w:rPr>
        <w:t xml:space="preserve"> </w:t>
      </w:r>
      <w:r w:rsidR="00A460C8" w:rsidRPr="000B11C2">
        <w:rPr>
          <w:rFonts w:cs="David"/>
          <w:rtl/>
        </w:rPr>
        <w:t>באוגוסט 2012</w:t>
      </w:r>
      <w:r w:rsidR="00A6000E" w:rsidRPr="000B11C2">
        <w:rPr>
          <w:rFonts w:cs="David"/>
          <w:rtl/>
        </w:rPr>
        <w:t>, אך ההודעה על כך ניתנה</w:t>
      </w:r>
      <w:r w:rsidR="00A460C8" w:rsidRPr="000B11C2">
        <w:rPr>
          <w:rFonts w:cs="David"/>
          <w:rtl/>
        </w:rPr>
        <w:t xml:space="preserve"> </w:t>
      </w:r>
      <w:r w:rsidR="00A6000E" w:rsidRPr="000B11C2">
        <w:rPr>
          <w:rFonts w:cs="David"/>
          <w:rtl/>
        </w:rPr>
        <w:t>ע</w:t>
      </w:r>
      <w:r w:rsidR="00127238" w:rsidRPr="000B11C2">
        <w:rPr>
          <w:rFonts w:cs="David"/>
          <w:rtl/>
        </w:rPr>
        <w:t>"י</w:t>
      </w:r>
      <w:r w:rsidR="00C21354" w:rsidRPr="000B11C2">
        <w:rPr>
          <w:rFonts w:cs="David"/>
          <w:rtl/>
        </w:rPr>
        <w:t xml:space="preserve"> </w:t>
      </w:r>
      <w:r w:rsidR="00760288" w:rsidRPr="000B11C2">
        <w:rPr>
          <w:rFonts w:cs="David"/>
          <w:rtl/>
        </w:rPr>
        <w:t xml:space="preserve">סמנכ"לית </w:t>
      </w:r>
      <w:r w:rsidR="002C6D28" w:rsidRPr="000B11C2">
        <w:rPr>
          <w:rFonts w:cs="David"/>
          <w:rtl/>
        </w:rPr>
        <w:t xml:space="preserve">משרד </w:t>
      </w:r>
      <w:r w:rsidR="00760288" w:rsidRPr="000B11C2">
        <w:rPr>
          <w:rFonts w:cs="David"/>
          <w:rtl/>
        </w:rPr>
        <w:t>האוצר</w:t>
      </w:r>
      <w:r w:rsidR="00C21354" w:rsidRPr="000B11C2">
        <w:rPr>
          <w:rFonts w:cs="David"/>
          <w:rtl/>
        </w:rPr>
        <w:t xml:space="preserve">– </w:t>
      </w:r>
      <w:r w:rsidR="00C21354" w:rsidRPr="000B11C2">
        <w:rPr>
          <w:rFonts w:cs="David"/>
          <w:b/>
          <w:bCs/>
          <w:u w:val="single"/>
          <w:rtl/>
        </w:rPr>
        <w:t>שאינה מוסמכת להפסיק את העסקתו</w:t>
      </w:r>
      <w:r w:rsidR="00A6000E" w:rsidRPr="000B11C2">
        <w:rPr>
          <w:rFonts w:cs="David"/>
          <w:b/>
          <w:bCs/>
          <w:rtl/>
        </w:rPr>
        <w:t xml:space="preserve">. </w:t>
      </w:r>
      <w:r w:rsidR="002A1C7D" w:rsidRPr="000B11C2">
        <w:rPr>
          <w:rFonts w:cs="David"/>
          <w:rtl/>
        </w:rPr>
        <w:t xml:space="preserve">רק </w:t>
      </w:r>
      <w:r w:rsidR="002A1C7D" w:rsidRPr="000B11C2">
        <w:rPr>
          <w:rFonts w:cs="David"/>
          <w:b/>
          <w:bCs/>
          <w:u w:val="single"/>
          <w:rtl/>
        </w:rPr>
        <w:t>בחודש דצמבר 2012</w:t>
      </w:r>
      <w:r w:rsidR="002A1C7D" w:rsidRPr="000B11C2">
        <w:rPr>
          <w:rFonts w:cs="David"/>
          <w:b/>
          <w:bCs/>
          <w:rtl/>
        </w:rPr>
        <w:t xml:space="preserve"> קיבל </w:t>
      </w:r>
      <w:r w:rsidR="00CB79DF" w:rsidRPr="000B11C2">
        <w:rPr>
          <w:rFonts w:cs="David"/>
          <w:b/>
          <w:bCs/>
          <w:rtl/>
        </w:rPr>
        <w:t xml:space="preserve">המערער </w:t>
      </w:r>
      <w:r w:rsidR="002A1C7D" w:rsidRPr="000B11C2">
        <w:rPr>
          <w:rFonts w:cs="David"/>
          <w:b/>
          <w:bCs/>
          <w:rtl/>
        </w:rPr>
        <w:t xml:space="preserve">את החלטת </w:t>
      </w:r>
      <w:r w:rsidR="00127238" w:rsidRPr="000B11C2">
        <w:rPr>
          <w:rFonts w:cs="David"/>
          <w:b/>
          <w:bCs/>
          <w:rtl/>
        </w:rPr>
        <w:t>ה</w:t>
      </w:r>
      <w:r w:rsidR="002A1C7D" w:rsidRPr="000B11C2">
        <w:rPr>
          <w:rFonts w:cs="David"/>
          <w:b/>
          <w:bCs/>
          <w:rtl/>
        </w:rPr>
        <w:t xml:space="preserve">נציב </w:t>
      </w:r>
      <w:r w:rsidR="00A6000E" w:rsidRPr="000B11C2">
        <w:rPr>
          <w:rFonts w:cs="David"/>
          <w:b/>
          <w:bCs/>
          <w:u w:val="single"/>
          <w:rtl/>
        </w:rPr>
        <w:t>ש</w:t>
      </w:r>
      <w:r w:rsidR="00783F42" w:rsidRPr="000B11C2">
        <w:rPr>
          <w:rFonts w:cs="David"/>
          <w:b/>
          <w:bCs/>
          <w:u w:val="single"/>
          <w:rtl/>
        </w:rPr>
        <w:t xml:space="preserve">הוא היחיד המוסמך </w:t>
      </w:r>
      <w:r w:rsidR="00426F7E" w:rsidRPr="000B11C2">
        <w:rPr>
          <w:rFonts w:cs="David"/>
          <w:b/>
          <w:bCs/>
          <w:u w:val="single"/>
          <w:rtl/>
        </w:rPr>
        <w:t xml:space="preserve">להפסיק </w:t>
      </w:r>
      <w:r w:rsidR="00783F42" w:rsidRPr="000B11C2">
        <w:rPr>
          <w:rFonts w:cs="David"/>
          <w:b/>
          <w:bCs/>
          <w:u w:val="single"/>
          <w:rtl/>
        </w:rPr>
        <w:t>את העסקת</w:t>
      </w:r>
      <w:r w:rsidR="00127238" w:rsidRPr="000B11C2">
        <w:rPr>
          <w:rFonts w:cs="David"/>
          <w:b/>
          <w:bCs/>
          <w:u w:val="single"/>
          <w:rtl/>
        </w:rPr>
        <w:t>ו</w:t>
      </w:r>
      <w:r w:rsidR="00127238" w:rsidRPr="000B11C2">
        <w:rPr>
          <w:rFonts w:cs="David"/>
          <w:rtl/>
        </w:rPr>
        <w:t xml:space="preserve"> בכפוף להוראות החוזה</w:t>
      </w:r>
      <w:r w:rsidR="00783F42" w:rsidRPr="000B11C2">
        <w:rPr>
          <w:rFonts w:cs="David"/>
          <w:rtl/>
        </w:rPr>
        <w:t>.</w:t>
      </w:r>
      <w:r w:rsidR="00C21354" w:rsidRPr="000B11C2">
        <w:rPr>
          <w:rFonts w:cs="David"/>
          <w:b/>
          <w:bCs/>
          <w:rtl/>
        </w:rPr>
        <w:t xml:space="preserve"> </w:t>
      </w:r>
    </w:p>
    <w:p w:rsidR="002A1C7D" w:rsidRPr="00F65A30" w:rsidRDefault="00106C5C" w:rsidP="0013771F">
      <w:pPr>
        <w:pStyle w:val="a8"/>
        <w:tabs>
          <w:tab w:val="left" w:pos="638"/>
          <w:tab w:val="left" w:pos="1394"/>
        </w:tabs>
        <w:spacing w:after="220" w:line="360" w:lineRule="auto"/>
        <w:ind w:left="638" w:hanging="630"/>
        <w:rPr>
          <w:rFonts w:cs="David"/>
          <w:rtl/>
        </w:rPr>
      </w:pPr>
      <w:r w:rsidRPr="000B11C2">
        <w:rPr>
          <w:rFonts w:cs="David"/>
          <w:rtl/>
        </w:rPr>
        <w:tab/>
      </w:r>
      <w:r w:rsidR="00C21354" w:rsidRPr="0093697B">
        <w:rPr>
          <w:rFonts w:cs="David"/>
          <w:rtl/>
        </w:rPr>
        <w:t xml:space="preserve">לפיכך, </w:t>
      </w:r>
      <w:r w:rsidR="00C21354" w:rsidRPr="0093697B">
        <w:rPr>
          <w:rFonts w:cs="David"/>
          <w:b/>
          <w:bCs/>
          <w:rtl/>
        </w:rPr>
        <w:t>עילת התביעה של המערער קמה בפועל</w:t>
      </w:r>
      <w:r w:rsidR="00127238" w:rsidRPr="0093697B">
        <w:rPr>
          <w:rFonts w:cs="David"/>
          <w:b/>
          <w:bCs/>
          <w:rtl/>
        </w:rPr>
        <w:t xml:space="preserve">, לכל המוקדם, </w:t>
      </w:r>
      <w:r w:rsidR="00C21354" w:rsidRPr="0093697B">
        <w:rPr>
          <w:rFonts w:cs="David"/>
          <w:b/>
          <w:bCs/>
          <w:rtl/>
        </w:rPr>
        <w:t>אך ורק בחודש דצ</w:t>
      </w:r>
      <w:r w:rsidR="00FC5512" w:rsidRPr="0093697B">
        <w:rPr>
          <w:rFonts w:cs="David"/>
          <w:b/>
          <w:bCs/>
          <w:rtl/>
        </w:rPr>
        <w:t>מבר 2012,</w:t>
      </w:r>
      <w:r w:rsidR="00FC5512" w:rsidRPr="0093697B">
        <w:rPr>
          <w:rFonts w:cs="David"/>
          <w:rtl/>
        </w:rPr>
        <w:t xml:space="preserve"> עם קבלת החלטתו של נציב</w:t>
      </w:r>
      <w:r w:rsidR="00C21354" w:rsidRPr="0093697B">
        <w:rPr>
          <w:rFonts w:cs="David"/>
          <w:rtl/>
        </w:rPr>
        <w:t xml:space="preserve"> השירות</w:t>
      </w:r>
      <w:r w:rsidR="002302DF" w:rsidRPr="0093697B">
        <w:rPr>
          <w:rFonts w:cs="David"/>
          <w:rtl/>
        </w:rPr>
        <w:t xml:space="preserve">, שהוא </w:t>
      </w:r>
      <w:r w:rsidR="002C38CB" w:rsidRPr="0013771F">
        <w:rPr>
          <w:rFonts w:cs="David"/>
          <w:rtl/>
        </w:rPr>
        <w:t>כאמור</w:t>
      </w:r>
      <w:r w:rsidR="002C38CB" w:rsidRPr="0093697B">
        <w:rPr>
          <w:rFonts w:cs="David"/>
          <w:rtl/>
        </w:rPr>
        <w:t xml:space="preserve"> </w:t>
      </w:r>
      <w:r w:rsidR="002302DF" w:rsidRPr="0093697B">
        <w:rPr>
          <w:rFonts w:cs="David"/>
          <w:rtl/>
        </w:rPr>
        <w:t>הגורם היחידי המוסמך להפסיק את העסקתו</w:t>
      </w:r>
      <w:r w:rsidR="00C21354" w:rsidRPr="0093697B">
        <w:rPr>
          <w:rFonts w:cs="David"/>
          <w:rtl/>
        </w:rPr>
        <w:t xml:space="preserve">. </w:t>
      </w:r>
      <w:r w:rsidR="002A1C7D" w:rsidRPr="0093697B">
        <w:rPr>
          <w:rFonts w:cs="David"/>
          <w:rtl/>
        </w:rPr>
        <w:t xml:space="preserve">לכן טעה בית הדין </w:t>
      </w:r>
      <w:r w:rsidR="00BA4FC6" w:rsidRPr="0093697B">
        <w:rPr>
          <w:rFonts w:cs="David"/>
          <w:rtl/>
        </w:rPr>
        <w:t xml:space="preserve">הנכבד </w:t>
      </w:r>
      <w:r w:rsidR="002A1C7D" w:rsidRPr="00655EE8">
        <w:rPr>
          <w:rFonts w:cs="David"/>
          <w:rtl/>
        </w:rPr>
        <w:t xml:space="preserve">קמא טעות מהותית </w:t>
      </w:r>
      <w:r w:rsidR="00A6000E" w:rsidRPr="00F65A30">
        <w:rPr>
          <w:rFonts w:cs="David"/>
          <w:rtl/>
        </w:rPr>
        <w:t>כאשר קבע שמירוץ ההתיישנות החל בחודש אוגוסט 2012, ובשל כך התיישנה התביעה לזכויות מכוח החוזה לתקופה קצובה.</w:t>
      </w:r>
    </w:p>
    <w:p w:rsidR="00E73534" w:rsidRPr="000B11C2" w:rsidRDefault="0043225B" w:rsidP="0013771F">
      <w:pPr>
        <w:pStyle w:val="a8"/>
        <w:numPr>
          <w:ilvl w:val="0"/>
          <w:numId w:val="9"/>
        </w:numPr>
        <w:tabs>
          <w:tab w:val="left" w:pos="638"/>
          <w:tab w:val="left" w:pos="1394"/>
        </w:tabs>
        <w:spacing w:after="220" w:line="360" w:lineRule="auto"/>
        <w:ind w:left="638" w:hanging="630"/>
        <w:rPr>
          <w:rFonts w:cs="David"/>
          <w:rtl/>
        </w:rPr>
      </w:pPr>
      <w:r w:rsidRPr="000B11C2">
        <w:rPr>
          <w:rFonts w:cs="David"/>
          <w:u w:val="single"/>
          <w:rtl/>
        </w:rPr>
        <w:t>גובה הגמלה המגיעה למערער</w:t>
      </w:r>
      <w:r w:rsidRPr="000B11C2">
        <w:rPr>
          <w:rFonts w:cs="David"/>
          <w:rtl/>
        </w:rPr>
        <w:t xml:space="preserve"> – המערער הגיש תביעה בעניין גובה הגמלה המשולמת לו. המערער טען כי </w:t>
      </w:r>
      <w:r w:rsidRPr="000B11C2">
        <w:rPr>
          <w:rFonts w:cs="David"/>
          <w:b/>
          <w:bCs/>
          <w:rtl/>
        </w:rPr>
        <w:t xml:space="preserve">מאחר שהחוזה עליו חתם קובע </w:t>
      </w:r>
      <w:r w:rsidR="000765DF" w:rsidRPr="000B11C2">
        <w:rPr>
          <w:rFonts w:cs="David"/>
          <w:b/>
          <w:bCs/>
          <w:rtl/>
        </w:rPr>
        <w:t xml:space="preserve">שחוק </w:t>
      </w:r>
      <w:r w:rsidR="00BD33F3" w:rsidRPr="000B11C2">
        <w:rPr>
          <w:rFonts w:cs="David"/>
          <w:b/>
          <w:bCs/>
          <w:rtl/>
        </w:rPr>
        <w:t>הגימלאות</w:t>
      </w:r>
      <w:r w:rsidR="000765DF" w:rsidRPr="000B11C2">
        <w:rPr>
          <w:rFonts w:cs="David"/>
          <w:b/>
          <w:bCs/>
          <w:rtl/>
        </w:rPr>
        <w:t xml:space="preserve"> </w:t>
      </w:r>
      <w:r w:rsidRPr="000B11C2">
        <w:rPr>
          <w:rFonts w:cs="David"/>
          <w:b/>
          <w:bCs/>
          <w:rtl/>
        </w:rPr>
        <w:t>אינו חל עליו</w:t>
      </w:r>
      <w:r w:rsidR="00A6000E" w:rsidRPr="000B11C2">
        <w:rPr>
          <w:rFonts w:cs="David"/>
          <w:b/>
          <w:bCs/>
          <w:rtl/>
        </w:rPr>
        <w:t xml:space="preserve"> </w:t>
      </w:r>
      <w:r w:rsidR="00A6000E" w:rsidRPr="002C38CB">
        <w:rPr>
          <w:rFonts w:cs="David"/>
          <w:rtl/>
        </w:rPr>
        <w:t>(</w:t>
      </w:r>
      <w:r w:rsidR="002C38CB" w:rsidRPr="002C38CB">
        <w:rPr>
          <w:rFonts w:cs="David"/>
          <w:rtl/>
        </w:rPr>
        <w:t>אלא במידה שנקבעה בחוזה)</w:t>
      </w:r>
      <w:r w:rsidR="002C38CB">
        <w:rPr>
          <w:rFonts w:cs="David"/>
          <w:b/>
          <w:bCs/>
          <w:rtl/>
        </w:rPr>
        <w:t xml:space="preserve"> </w:t>
      </w:r>
      <w:r w:rsidRPr="000B11C2">
        <w:rPr>
          <w:rFonts w:cs="David"/>
          <w:b/>
          <w:bCs/>
          <w:rtl/>
        </w:rPr>
        <w:t>הוא רשאי להגיש תביעה בעניין זה עד שבע שנים ממועד סיום עבודתו</w:t>
      </w:r>
      <w:r w:rsidRPr="000B11C2">
        <w:rPr>
          <w:rFonts w:cs="David"/>
          <w:rtl/>
        </w:rPr>
        <w:t>.</w:t>
      </w:r>
      <w:r w:rsidR="005D43E3" w:rsidRPr="000B11C2">
        <w:rPr>
          <w:rFonts w:cs="David"/>
          <w:rtl/>
        </w:rPr>
        <w:t xml:space="preserve"> </w:t>
      </w:r>
      <w:r w:rsidR="00A6000E" w:rsidRPr="000B11C2">
        <w:rPr>
          <w:rFonts w:cs="David"/>
          <w:rtl/>
        </w:rPr>
        <w:t xml:space="preserve">בית הדין קמא קבע – בכל הכבוד, בשוגג – כי </w:t>
      </w:r>
      <w:r w:rsidR="000765DF" w:rsidRPr="000B11C2">
        <w:rPr>
          <w:rFonts w:cs="David"/>
          <w:rtl/>
        </w:rPr>
        <w:t>היה על המערער להגיש תביעתו בהתאם ללוח הזמנים הקבוע בחוק הגימלאות, ומאחר שלא עשה כן – הוא דחה את תביעתו.</w:t>
      </w:r>
      <w:r w:rsidR="00E73534" w:rsidRPr="000B11C2">
        <w:rPr>
          <w:rFonts w:cs="David"/>
          <w:rtl/>
        </w:rPr>
        <w:t xml:space="preserve"> </w:t>
      </w:r>
    </w:p>
    <w:p w:rsidR="000765DF" w:rsidRPr="00916E11" w:rsidRDefault="00106C5C" w:rsidP="0013771F">
      <w:pPr>
        <w:pStyle w:val="a8"/>
        <w:tabs>
          <w:tab w:val="left" w:pos="638"/>
          <w:tab w:val="left" w:pos="1394"/>
        </w:tabs>
        <w:spacing w:after="220" w:line="360" w:lineRule="auto"/>
        <w:ind w:left="638" w:hanging="630"/>
        <w:rPr>
          <w:rFonts w:cs="David"/>
          <w:rtl/>
        </w:rPr>
      </w:pPr>
      <w:r w:rsidRPr="000B11C2">
        <w:rPr>
          <w:rFonts w:cs="David"/>
          <w:rtl/>
        </w:rPr>
        <w:tab/>
      </w:r>
      <w:r w:rsidR="000765DF" w:rsidRPr="00916E11">
        <w:rPr>
          <w:rFonts w:cs="David"/>
          <w:rtl/>
        </w:rPr>
        <w:t xml:space="preserve">כאמור לעיל, פסק הדין </w:t>
      </w:r>
      <w:r w:rsidR="00127238" w:rsidRPr="00916E11">
        <w:rPr>
          <w:rFonts w:cs="David"/>
          <w:rtl/>
        </w:rPr>
        <w:t>עומד בניגוד ל</w:t>
      </w:r>
      <w:r w:rsidR="000765DF" w:rsidRPr="00916E11">
        <w:rPr>
          <w:rFonts w:cs="David"/>
          <w:rtl/>
        </w:rPr>
        <w:t xml:space="preserve">הוראות </w:t>
      </w:r>
      <w:r w:rsidR="0019517D" w:rsidRPr="00916E11">
        <w:rPr>
          <w:rFonts w:cs="David"/>
          <w:rtl/>
        </w:rPr>
        <w:t>חוזה הבכירים</w:t>
      </w:r>
      <w:r w:rsidR="000765DF" w:rsidRPr="00916E11">
        <w:rPr>
          <w:rFonts w:cs="David"/>
          <w:rtl/>
        </w:rPr>
        <w:t xml:space="preserve">, וסותר פסיקה </w:t>
      </w:r>
      <w:r w:rsidR="00127238" w:rsidRPr="00916E11">
        <w:rPr>
          <w:rFonts w:cs="David"/>
          <w:rtl/>
        </w:rPr>
        <w:t>ש</w:t>
      </w:r>
      <w:r w:rsidR="000765DF" w:rsidRPr="00916E11">
        <w:rPr>
          <w:rFonts w:cs="David"/>
          <w:rtl/>
        </w:rPr>
        <w:t>ל בית דין אזורי לעבודה</w:t>
      </w:r>
      <w:r w:rsidR="0093697B" w:rsidRPr="00916E11">
        <w:rPr>
          <w:rFonts w:cs="David"/>
          <w:rtl/>
        </w:rPr>
        <w:t>, המוזכרת בתשובת המערער לבקשה לסילוק על הסף</w:t>
      </w:r>
      <w:r w:rsidR="000765DF" w:rsidRPr="00916E11">
        <w:rPr>
          <w:rFonts w:cs="David"/>
          <w:rtl/>
        </w:rPr>
        <w:t>. המערער יטען, בכל הכבוד, וכ</w:t>
      </w:r>
      <w:r w:rsidR="00127238" w:rsidRPr="00916E11">
        <w:rPr>
          <w:rFonts w:cs="David"/>
          <w:rtl/>
        </w:rPr>
        <w:t>מ</w:t>
      </w:r>
      <w:r w:rsidR="000765DF" w:rsidRPr="00916E11">
        <w:rPr>
          <w:rFonts w:cs="David"/>
          <w:rtl/>
        </w:rPr>
        <w:t>פ</w:t>
      </w:r>
      <w:r w:rsidR="00127238" w:rsidRPr="00916E11">
        <w:rPr>
          <w:rFonts w:cs="David"/>
          <w:rtl/>
        </w:rPr>
        <w:t>ו</w:t>
      </w:r>
      <w:r w:rsidR="000765DF" w:rsidRPr="00916E11">
        <w:rPr>
          <w:rFonts w:cs="David"/>
          <w:rtl/>
        </w:rPr>
        <w:t xml:space="preserve">רט להלן, כי פסק הדין </w:t>
      </w:r>
      <w:r w:rsidR="00EF34E3" w:rsidRPr="00916E11">
        <w:rPr>
          <w:rFonts w:cs="David"/>
          <w:rtl/>
        </w:rPr>
        <w:t xml:space="preserve">של בית הדין קמא </w:t>
      </w:r>
      <w:r w:rsidR="000765DF" w:rsidRPr="00916E11">
        <w:rPr>
          <w:rFonts w:cs="David"/>
          <w:rtl/>
        </w:rPr>
        <w:t>שגוי מיסודו, ולמעשה מכניס לתוך החוזה תניות ומלים שאין בו</w:t>
      </w:r>
      <w:r w:rsidR="008D3073" w:rsidRPr="00916E11">
        <w:rPr>
          <w:rFonts w:cs="David"/>
          <w:rtl/>
        </w:rPr>
        <w:t xml:space="preserve"> – בניגוד לכללי </w:t>
      </w:r>
      <w:r w:rsidR="00127238" w:rsidRPr="00916E11">
        <w:rPr>
          <w:rFonts w:cs="David"/>
          <w:rtl/>
        </w:rPr>
        <w:t>ה</w:t>
      </w:r>
      <w:r w:rsidR="008D3073" w:rsidRPr="00916E11">
        <w:rPr>
          <w:rFonts w:cs="David"/>
          <w:rtl/>
        </w:rPr>
        <w:t>פרשנות</w:t>
      </w:r>
      <w:r w:rsidR="00127238" w:rsidRPr="00916E11">
        <w:rPr>
          <w:rFonts w:cs="David"/>
          <w:rtl/>
        </w:rPr>
        <w:t xml:space="preserve"> המקובלים</w:t>
      </w:r>
      <w:r w:rsidR="000765DF" w:rsidRPr="00916E11">
        <w:rPr>
          <w:rFonts w:cs="David"/>
          <w:rtl/>
        </w:rPr>
        <w:t>.</w:t>
      </w:r>
    </w:p>
    <w:p w:rsidR="00C41E20" w:rsidRPr="000B11C2" w:rsidRDefault="00FD7E47" w:rsidP="00F65A30">
      <w:pPr>
        <w:pStyle w:val="a8"/>
        <w:numPr>
          <w:ilvl w:val="0"/>
          <w:numId w:val="9"/>
        </w:numPr>
        <w:tabs>
          <w:tab w:val="left" w:pos="638"/>
          <w:tab w:val="left" w:pos="1394"/>
        </w:tabs>
        <w:spacing w:after="120" w:line="360" w:lineRule="auto"/>
        <w:ind w:left="638" w:hanging="630"/>
        <w:rPr>
          <w:rFonts w:cs="David"/>
        </w:rPr>
      </w:pPr>
      <w:r w:rsidRPr="000B11C2">
        <w:rPr>
          <w:rFonts w:cs="David"/>
          <w:u w:val="single"/>
          <w:rtl/>
        </w:rPr>
        <w:t>תביעה בגין נזקים לא ממוניים</w:t>
      </w:r>
      <w:r w:rsidRPr="000B11C2">
        <w:rPr>
          <w:rFonts w:cs="David"/>
          <w:rtl/>
        </w:rPr>
        <w:t xml:space="preserve"> </w:t>
      </w:r>
      <w:r w:rsidR="00BD33F3" w:rsidRPr="000B11C2">
        <w:rPr>
          <w:rFonts w:cs="David"/>
          <w:rtl/>
        </w:rPr>
        <w:t xml:space="preserve">– ראש </w:t>
      </w:r>
      <w:r w:rsidRPr="000B11C2">
        <w:rPr>
          <w:rFonts w:cs="David"/>
          <w:rtl/>
        </w:rPr>
        <w:t xml:space="preserve">תביעה </w:t>
      </w:r>
      <w:r w:rsidR="00BD33F3" w:rsidRPr="000B11C2">
        <w:rPr>
          <w:rFonts w:cs="David"/>
          <w:rtl/>
        </w:rPr>
        <w:t>זה נובע מהתנהלותן המבישה של המשיבות</w:t>
      </w:r>
      <w:r w:rsidR="00EC0AC2" w:rsidRPr="000B11C2">
        <w:rPr>
          <w:rFonts w:cs="David"/>
          <w:rtl/>
        </w:rPr>
        <w:t xml:space="preserve"> כלפיי המערער</w:t>
      </w:r>
      <w:r w:rsidRPr="000B11C2">
        <w:rPr>
          <w:rFonts w:cs="David"/>
          <w:rtl/>
        </w:rPr>
        <w:t xml:space="preserve"> ועגמת הנפש הרבה שגרמו לו.</w:t>
      </w:r>
      <w:r w:rsidR="00C41E20" w:rsidRPr="000B11C2">
        <w:rPr>
          <w:rFonts w:cs="David"/>
          <w:rtl/>
        </w:rPr>
        <w:t xml:space="preserve"> בית הדין קמא קבע כי תביעה זאת בעינה עומדת, אך מחק אותה – למרות קביעתו שכלל לא הוגשה בקשה </w:t>
      </w:r>
      <w:r w:rsidR="00E73534" w:rsidRPr="000B11C2">
        <w:rPr>
          <w:rFonts w:cs="David"/>
          <w:rtl/>
        </w:rPr>
        <w:t xml:space="preserve">של המשיבות </w:t>
      </w:r>
      <w:r w:rsidR="00C41E20" w:rsidRPr="000B11C2">
        <w:rPr>
          <w:rFonts w:cs="David"/>
          <w:rtl/>
        </w:rPr>
        <w:t xml:space="preserve">בנושא – מאחר שלא היתה מפורטת, לא הוצגו אסמכתאות והיא לא כומתה. כפי שנפרט להלן, כל נימוקיו של בית הדין </w:t>
      </w:r>
      <w:r w:rsidR="00446765" w:rsidRPr="000B11C2">
        <w:rPr>
          <w:rFonts w:cs="David"/>
          <w:rtl/>
        </w:rPr>
        <w:t xml:space="preserve">הנכבד </w:t>
      </w:r>
      <w:r w:rsidR="00C41E20" w:rsidRPr="000B11C2">
        <w:rPr>
          <w:rFonts w:cs="David"/>
          <w:rtl/>
        </w:rPr>
        <w:t>קמא היו שגויים, וממילא לא היה מקום לצעד דרסטי של מחיקת תביעה מנימוקים אלה, אף אם היה בהם ממש.</w:t>
      </w:r>
    </w:p>
    <w:p w:rsidR="002C6D28" w:rsidRPr="000B11C2" w:rsidRDefault="002C6D28" w:rsidP="0013771F">
      <w:pPr>
        <w:pStyle w:val="a8"/>
        <w:tabs>
          <w:tab w:val="left" w:pos="1394"/>
        </w:tabs>
        <w:spacing w:after="0" w:line="360" w:lineRule="auto"/>
        <w:ind w:left="1394"/>
        <w:rPr>
          <w:rFonts w:cs="David"/>
          <w:rtl/>
        </w:rPr>
      </w:pPr>
    </w:p>
    <w:p w:rsidR="008C7365" w:rsidRPr="000B11C2" w:rsidRDefault="008C7365" w:rsidP="000B11C2">
      <w:pPr>
        <w:pStyle w:val="7"/>
        <w:numPr>
          <w:ilvl w:val="0"/>
          <w:numId w:val="3"/>
        </w:numPr>
        <w:spacing w:after="120" w:line="360" w:lineRule="auto"/>
        <w:ind w:left="674" w:hanging="630"/>
        <w:rPr>
          <w:rFonts w:cs="David"/>
          <w:sz w:val="28"/>
          <w:szCs w:val="28"/>
          <w:rtl/>
        </w:rPr>
      </w:pPr>
      <w:r w:rsidRPr="000B11C2">
        <w:rPr>
          <w:rFonts w:cs="David"/>
          <w:sz w:val="28"/>
          <w:szCs w:val="28"/>
          <w:rtl/>
        </w:rPr>
        <w:t>טענות המערער</w:t>
      </w:r>
    </w:p>
    <w:p w:rsidR="001D504A" w:rsidRPr="000B11C2" w:rsidRDefault="001D504A" w:rsidP="000E3B23">
      <w:pPr>
        <w:pStyle w:val="a8"/>
        <w:tabs>
          <w:tab w:val="left" w:pos="674"/>
        </w:tabs>
        <w:spacing w:after="240" w:line="360" w:lineRule="auto"/>
        <w:rPr>
          <w:rFonts w:cs="David"/>
          <w:rtl/>
        </w:rPr>
      </w:pPr>
      <w:r w:rsidRPr="000B11C2">
        <w:rPr>
          <w:rFonts w:cs="David"/>
          <w:rtl/>
        </w:rPr>
        <w:t xml:space="preserve">לאחר הגשת התביעה, ולאחר שהמשיבות ביקשו ארכות להגשת כתב ההגנה (בהסכמת המערער), הגישו המשיבות בקשה לסילוק התביעה על הסף, וכן בקשה לארכה נוספת להגשת כתב ההגנה. בית הדין </w:t>
      </w:r>
      <w:r w:rsidR="002104DA" w:rsidRPr="000B11C2">
        <w:rPr>
          <w:rFonts w:cs="David"/>
          <w:rtl/>
        </w:rPr>
        <w:t xml:space="preserve">הנכבד </w:t>
      </w:r>
      <w:r w:rsidRPr="000B11C2">
        <w:rPr>
          <w:rFonts w:cs="David"/>
          <w:rtl/>
        </w:rPr>
        <w:t xml:space="preserve">קמא קיבל את הבקשה, </w:t>
      </w:r>
      <w:r w:rsidR="00523912" w:rsidRPr="000B11C2">
        <w:rPr>
          <w:rFonts w:cs="David"/>
          <w:rtl/>
        </w:rPr>
        <w:t xml:space="preserve">בכל הכבוד – בשוגג ומתוך טעות. </w:t>
      </w:r>
      <w:r w:rsidRPr="000B11C2">
        <w:rPr>
          <w:rFonts w:cs="David"/>
          <w:rtl/>
        </w:rPr>
        <w:t>להלן יתייחס המערער לנימוקיי פסק הדין.</w:t>
      </w:r>
    </w:p>
    <w:p w:rsidR="00985B99" w:rsidRPr="000B11C2" w:rsidRDefault="005B151C" w:rsidP="0013771F">
      <w:pPr>
        <w:pStyle w:val="7"/>
        <w:spacing w:after="220" w:line="360" w:lineRule="auto"/>
        <w:rPr>
          <w:rFonts w:cs="David"/>
          <w:sz w:val="26"/>
          <w:szCs w:val="26"/>
          <w:rtl/>
        </w:rPr>
      </w:pPr>
      <w:r w:rsidRPr="000B11C2">
        <w:rPr>
          <w:rFonts w:cs="David"/>
          <w:sz w:val="26"/>
          <w:szCs w:val="26"/>
          <w:u w:val="none"/>
          <w:rtl/>
        </w:rPr>
        <w:lastRenderedPageBreak/>
        <w:t>ב.1.</w:t>
      </w:r>
      <w:r w:rsidRPr="000B11C2">
        <w:rPr>
          <w:rFonts w:cs="David"/>
          <w:b w:val="0"/>
          <w:bCs w:val="0"/>
          <w:sz w:val="26"/>
          <w:szCs w:val="26"/>
          <w:u w:val="none"/>
          <w:rtl/>
        </w:rPr>
        <w:tab/>
      </w:r>
      <w:r w:rsidR="00985B99" w:rsidRPr="000B11C2">
        <w:rPr>
          <w:rFonts w:cs="David"/>
          <w:sz w:val="26"/>
          <w:szCs w:val="26"/>
          <w:rtl/>
        </w:rPr>
        <w:t>ידו "הקמוצה" של בית הדין בעניין בקשות דחייה / מחיקה על הסף</w:t>
      </w:r>
    </w:p>
    <w:p w:rsidR="00985B99" w:rsidRPr="000B11C2" w:rsidRDefault="003765C7" w:rsidP="0013771F">
      <w:pPr>
        <w:pStyle w:val="a8"/>
        <w:numPr>
          <w:ilvl w:val="0"/>
          <w:numId w:val="9"/>
        </w:numPr>
        <w:tabs>
          <w:tab w:val="left" w:pos="674"/>
        </w:tabs>
        <w:spacing w:after="220" w:line="360" w:lineRule="auto"/>
        <w:ind w:left="674" w:hanging="630"/>
        <w:rPr>
          <w:rFonts w:cs="David"/>
        </w:rPr>
      </w:pPr>
      <w:r w:rsidRPr="000B11C2">
        <w:rPr>
          <w:rFonts w:cs="David"/>
          <w:rtl/>
        </w:rPr>
        <w:t>ההלכה היא ש</w:t>
      </w:r>
      <w:r w:rsidR="00985B99" w:rsidRPr="000B11C2">
        <w:rPr>
          <w:rFonts w:cs="David"/>
          <w:b/>
          <w:bCs/>
          <w:rtl/>
        </w:rPr>
        <w:t xml:space="preserve">רק במקרים נדירים מתקבלות בקשות </w:t>
      </w:r>
      <w:r w:rsidRPr="000B11C2">
        <w:rPr>
          <w:rFonts w:cs="David"/>
          <w:b/>
          <w:bCs/>
          <w:rtl/>
        </w:rPr>
        <w:t>לדחייה על הסף</w:t>
      </w:r>
      <w:r w:rsidR="003E3FD3" w:rsidRPr="000B11C2">
        <w:rPr>
          <w:rFonts w:cs="David"/>
          <w:b/>
          <w:bCs/>
          <w:rtl/>
        </w:rPr>
        <w:t xml:space="preserve"> </w:t>
      </w:r>
      <w:r w:rsidR="00985B99" w:rsidRPr="000B11C2">
        <w:rPr>
          <w:rFonts w:cs="David"/>
          <w:rtl/>
        </w:rPr>
        <w:t>(</w:t>
      </w:r>
      <w:r w:rsidR="003E3FD3" w:rsidRPr="000B11C2">
        <w:rPr>
          <w:rFonts w:cs="David"/>
          <w:rtl/>
        </w:rPr>
        <w:t xml:space="preserve">ראו לדוגמא </w:t>
      </w:r>
      <w:r w:rsidR="00985B99" w:rsidRPr="000B11C2">
        <w:rPr>
          <w:rFonts w:cs="David"/>
          <w:rtl/>
        </w:rPr>
        <w:t xml:space="preserve">ברע 158/99  </w:t>
      </w:r>
      <w:r w:rsidR="00985B99" w:rsidRPr="000B11C2">
        <w:rPr>
          <w:rFonts w:cs="David"/>
          <w:b/>
          <w:bCs/>
          <w:rtl/>
        </w:rPr>
        <w:t>סלקום ישראל בע"מ נ' רגינה בליאק</w:t>
      </w:r>
      <w:r w:rsidR="003E3FD3" w:rsidRPr="000B11C2">
        <w:rPr>
          <w:rFonts w:cs="David"/>
          <w:rtl/>
        </w:rPr>
        <w:t xml:space="preserve">, וכן </w:t>
      </w:r>
      <w:r w:rsidR="00985B99" w:rsidRPr="000B11C2">
        <w:rPr>
          <w:rFonts w:cs="David"/>
          <w:rtl/>
        </w:rPr>
        <w:t xml:space="preserve">ברע 67197-01/17  </w:t>
      </w:r>
      <w:r w:rsidR="00985B99" w:rsidRPr="000B11C2">
        <w:rPr>
          <w:rFonts w:cs="David"/>
          <w:b/>
          <w:bCs/>
          <w:rtl/>
        </w:rPr>
        <w:t>רותם גיספאן נ' בסט שרותי קירור בע"מ, שחר שטינלאוף</w:t>
      </w:r>
      <w:r w:rsidR="003E3FD3" w:rsidRPr="000B11C2">
        <w:rPr>
          <w:rFonts w:cs="David"/>
          <w:rtl/>
        </w:rPr>
        <w:t>).</w:t>
      </w:r>
      <w:r w:rsidR="00784838" w:rsidRPr="000B11C2">
        <w:rPr>
          <w:rFonts w:cs="David"/>
          <w:rtl/>
        </w:rPr>
        <w:t xml:space="preserve"> </w:t>
      </w:r>
      <w:r w:rsidR="00985B99" w:rsidRPr="000B11C2">
        <w:rPr>
          <w:rFonts w:cs="David"/>
          <w:rtl/>
        </w:rPr>
        <w:t>הלכות אלה עולות בקנה אחד עם ההכרה במעמדה של זכות הגישה לערכאות</w:t>
      </w:r>
      <w:r w:rsidR="005B151C" w:rsidRPr="000B11C2">
        <w:rPr>
          <w:rFonts w:cs="David"/>
          <w:rtl/>
        </w:rPr>
        <w:t xml:space="preserve"> (בעניין זה ראו לדוגמא את פסק הדין ב - </w:t>
      </w:r>
      <w:r w:rsidR="00EC0AC2" w:rsidRPr="000B11C2">
        <w:rPr>
          <w:rFonts w:cs="David"/>
          <w:rtl/>
        </w:rPr>
        <w:t xml:space="preserve">עבל 59462-12/15 </w:t>
      </w:r>
      <w:r w:rsidR="00985B99" w:rsidRPr="000B11C2">
        <w:rPr>
          <w:rFonts w:cs="David"/>
          <w:b/>
          <w:bCs/>
          <w:rtl/>
        </w:rPr>
        <w:t>מוניקה מאלו נ' המוסד לביטוח לאומי</w:t>
      </w:r>
      <w:r w:rsidR="00985B99" w:rsidRPr="000B11C2">
        <w:rPr>
          <w:rFonts w:cs="David"/>
          <w:rtl/>
        </w:rPr>
        <w:t xml:space="preserve">). </w:t>
      </w:r>
    </w:p>
    <w:p w:rsidR="00EC0AC2" w:rsidRPr="001A50DD" w:rsidRDefault="003765C7" w:rsidP="0013771F">
      <w:pPr>
        <w:pStyle w:val="a8"/>
        <w:numPr>
          <w:ilvl w:val="0"/>
          <w:numId w:val="9"/>
        </w:numPr>
        <w:tabs>
          <w:tab w:val="left" w:pos="674"/>
        </w:tabs>
        <w:spacing w:after="220" w:line="360" w:lineRule="auto"/>
        <w:ind w:left="674" w:hanging="630"/>
        <w:rPr>
          <w:rFonts w:cs="David"/>
        </w:rPr>
      </w:pPr>
      <w:r w:rsidRPr="0093697B">
        <w:rPr>
          <w:rFonts w:cs="David"/>
          <w:rtl/>
        </w:rPr>
        <w:t xml:space="preserve">לטעמנו, ובית הדין קמא לא נתן </w:t>
      </w:r>
      <w:r w:rsidR="003344EF" w:rsidRPr="00C66666">
        <w:rPr>
          <w:rFonts w:cs="David"/>
          <w:rtl/>
        </w:rPr>
        <w:t xml:space="preserve">לכך </w:t>
      </w:r>
      <w:r w:rsidRPr="00C66666">
        <w:rPr>
          <w:rFonts w:cs="David"/>
          <w:rtl/>
        </w:rPr>
        <w:t xml:space="preserve">משקל– </w:t>
      </w:r>
      <w:r w:rsidRPr="00C66666">
        <w:rPr>
          <w:rFonts w:cs="David"/>
          <w:b/>
          <w:bCs/>
          <w:rtl/>
        </w:rPr>
        <w:t xml:space="preserve">כאשר המדינה מבקשת לסלק תביעות נגדה על הסף יש לנקוט חומרה יתרה בבחינת </w:t>
      </w:r>
      <w:r w:rsidR="00220A08" w:rsidRPr="00655EE8">
        <w:rPr>
          <w:rFonts w:cs="David"/>
          <w:b/>
          <w:bCs/>
          <w:rtl/>
        </w:rPr>
        <w:t>הבקשה</w:t>
      </w:r>
      <w:r w:rsidRPr="00F65A30">
        <w:rPr>
          <w:rFonts w:cs="David"/>
          <w:b/>
          <w:bCs/>
          <w:rtl/>
        </w:rPr>
        <w:t>, כך שרק במקרים חריגים ויוצאי דופן תתקבלנה בקשות כאמור</w:t>
      </w:r>
      <w:r w:rsidRPr="00F65A30">
        <w:rPr>
          <w:rFonts w:cs="David"/>
          <w:rtl/>
        </w:rPr>
        <w:t>.</w:t>
      </w:r>
    </w:p>
    <w:p w:rsidR="003765C7" w:rsidRPr="00655EE8" w:rsidRDefault="003765C7" w:rsidP="0013771F">
      <w:pPr>
        <w:pStyle w:val="a8"/>
        <w:numPr>
          <w:ilvl w:val="0"/>
          <w:numId w:val="9"/>
        </w:numPr>
        <w:tabs>
          <w:tab w:val="left" w:pos="674"/>
        </w:tabs>
        <w:spacing w:after="220" w:line="360" w:lineRule="auto"/>
        <w:ind w:left="674" w:hanging="630"/>
        <w:rPr>
          <w:rFonts w:cs="David"/>
        </w:rPr>
      </w:pPr>
      <w:r w:rsidRPr="0013771F">
        <w:rPr>
          <w:rFonts w:cs="David"/>
          <w:rtl/>
        </w:rPr>
        <w:t>מבלי לגרוע מכך נוסיף ונבהיר כי בחינת האינטרסים השונים</w:t>
      </w:r>
      <w:r w:rsidR="00FE3DFE" w:rsidRPr="0013771F">
        <w:rPr>
          <w:rFonts w:cs="David"/>
          <w:rtl/>
        </w:rPr>
        <w:t xml:space="preserve"> </w:t>
      </w:r>
      <w:r w:rsidRPr="0013771F">
        <w:rPr>
          <w:rFonts w:cs="David"/>
          <w:rtl/>
        </w:rPr>
        <w:t>המפורטים בסעיף 19 לפסק הדין</w:t>
      </w:r>
      <w:r w:rsidR="0093697B">
        <w:rPr>
          <w:rFonts w:cs="David"/>
          <w:rtl/>
        </w:rPr>
        <w:t xml:space="preserve"> </w:t>
      </w:r>
      <w:r w:rsidR="005B151C" w:rsidRPr="0093697B">
        <w:rPr>
          <w:rFonts w:cs="David"/>
          <w:rtl/>
        </w:rPr>
        <w:t>מביאה</w:t>
      </w:r>
      <w:r w:rsidRPr="00C66666">
        <w:rPr>
          <w:rFonts w:cs="David"/>
          <w:rtl/>
        </w:rPr>
        <w:t xml:space="preserve"> למסקנות הפוכות מהמסקנות אל</w:t>
      </w:r>
      <w:r w:rsidR="00F7574C" w:rsidRPr="00C66666">
        <w:rPr>
          <w:rFonts w:cs="David"/>
          <w:rtl/>
        </w:rPr>
        <w:t>יהן הגיע בית הדין קמא בפסק דינו, כפי שנסביר:</w:t>
      </w:r>
    </w:p>
    <w:p w:rsidR="00634342" w:rsidRPr="00C66666" w:rsidRDefault="005D43E3" w:rsidP="0013771F">
      <w:pPr>
        <w:pStyle w:val="a8"/>
        <w:numPr>
          <w:ilvl w:val="1"/>
          <w:numId w:val="9"/>
        </w:numPr>
        <w:tabs>
          <w:tab w:val="left" w:pos="1394"/>
        </w:tabs>
        <w:spacing w:after="220" w:line="360" w:lineRule="auto"/>
        <w:ind w:left="1394" w:hanging="720"/>
        <w:rPr>
          <w:rFonts w:cs="David"/>
          <w:rtl/>
        </w:rPr>
      </w:pPr>
      <w:r w:rsidRPr="00F65A30">
        <w:rPr>
          <w:rFonts w:cs="David"/>
          <w:b/>
          <w:bCs/>
          <w:rtl/>
        </w:rPr>
        <w:t xml:space="preserve">לא נגרם </w:t>
      </w:r>
      <w:r w:rsidR="00F7574C" w:rsidRPr="00F65A30">
        <w:rPr>
          <w:rFonts w:cs="David"/>
          <w:b/>
          <w:bCs/>
          <w:rtl/>
        </w:rPr>
        <w:t>"נזק ראייתי לנתבעים"</w:t>
      </w:r>
      <w:r w:rsidR="00F7574C" w:rsidRPr="001A50DD">
        <w:rPr>
          <w:rFonts w:cs="David"/>
          <w:rtl/>
        </w:rPr>
        <w:t>- המערער הצביע</w:t>
      </w:r>
      <w:r w:rsidR="00FE3DFE" w:rsidRPr="0013771F">
        <w:rPr>
          <w:rFonts w:cs="David"/>
          <w:rtl/>
        </w:rPr>
        <w:t xml:space="preserve"> </w:t>
      </w:r>
      <w:r w:rsidR="00F7574C" w:rsidRPr="0093697B">
        <w:rPr>
          <w:rFonts w:cs="David"/>
          <w:rtl/>
        </w:rPr>
        <w:t xml:space="preserve">על כך שלא </w:t>
      </w:r>
      <w:r w:rsidRPr="00C66666">
        <w:rPr>
          <w:rFonts w:cs="David"/>
          <w:rtl/>
        </w:rPr>
        <w:t xml:space="preserve">נגרם </w:t>
      </w:r>
      <w:r w:rsidR="00F7574C" w:rsidRPr="00C66666">
        <w:rPr>
          <w:rFonts w:cs="David"/>
          <w:rtl/>
        </w:rPr>
        <w:t>נזק ראייתי למדינה, וממילא היתה זאת אחריותה המלאה לשמור את המסמכים הרלבנטיים</w:t>
      </w:r>
      <w:r w:rsidR="00C66666">
        <w:rPr>
          <w:rFonts w:cs="David"/>
          <w:rtl/>
        </w:rPr>
        <w:t>, במיוחד בהתחשב בכך שידעה כי למערער יש טענות והשגות רבות</w:t>
      </w:r>
      <w:r w:rsidR="00F7574C" w:rsidRPr="00C66666">
        <w:rPr>
          <w:rFonts w:cs="David"/>
          <w:rtl/>
        </w:rPr>
        <w:t>.</w:t>
      </w:r>
      <w:r w:rsidR="00634342" w:rsidRPr="00C66666">
        <w:rPr>
          <w:rFonts w:cs="David"/>
          <w:rtl/>
        </w:rPr>
        <w:t xml:space="preserve"> בעניין זה נפנה גם לטענות</w:t>
      </w:r>
      <w:r w:rsidR="00220A08" w:rsidRPr="00C66666">
        <w:rPr>
          <w:rFonts w:cs="David"/>
          <w:rtl/>
        </w:rPr>
        <w:t xml:space="preserve"> ה</w:t>
      </w:r>
      <w:r w:rsidR="00634342" w:rsidRPr="00C66666">
        <w:rPr>
          <w:rFonts w:cs="David"/>
          <w:rtl/>
        </w:rPr>
        <w:t>מערער בסעיף 42 לתגובה לבקשה לסילוק התביעה על הסף</w:t>
      </w:r>
      <w:r w:rsidR="003E3FD3" w:rsidRPr="00C66666">
        <w:rPr>
          <w:rFonts w:cs="David"/>
          <w:rtl/>
        </w:rPr>
        <w:t>, שיובאו כאן בקצרה</w:t>
      </w:r>
      <w:r w:rsidR="00634342" w:rsidRPr="00C66666">
        <w:rPr>
          <w:rFonts w:cs="David"/>
          <w:rtl/>
        </w:rPr>
        <w:t>:</w:t>
      </w:r>
      <w:r w:rsidR="005B151C" w:rsidRPr="00C66666">
        <w:rPr>
          <w:rFonts w:cs="David"/>
          <w:rtl/>
        </w:rPr>
        <w:t xml:space="preserve"> </w:t>
      </w:r>
    </w:p>
    <w:p w:rsidR="00FE3DFE" w:rsidRDefault="00FE3DFE" w:rsidP="00916E11">
      <w:pPr>
        <w:pStyle w:val="a8"/>
        <w:numPr>
          <w:ilvl w:val="0"/>
          <w:numId w:val="4"/>
        </w:numPr>
        <w:tabs>
          <w:tab w:val="left" w:pos="1754"/>
        </w:tabs>
        <w:spacing w:after="220" w:line="360" w:lineRule="auto"/>
        <w:ind w:left="1754"/>
        <w:rPr>
          <w:rFonts w:cs="David"/>
        </w:rPr>
      </w:pPr>
      <w:r w:rsidRPr="000B11C2">
        <w:rPr>
          <w:rFonts w:cs="David"/>
          <w:rtl/>
        </w:rPr>
        <w:t>המדינה, כמעסיק ציבורי, חייבת לשמור מסמכים לפחות לכל תקופת ההתיישנות, ואין היא יכולה להיבנות מטענה ערטילאית ולא מוכחת של "נזק ראייתי"</w:t>
      </w:r>
      <w:r w:rsidR="00F60482">
        <w:rPr>
          <w:rFonts w:cs="David"/>
          <w:rtl/>
        </w:rPr>
        <w:t>, מה עוד שידעה שלמערער טענות רבות נגדה בעניין זה</w:t>
      </w:r>
      <w:r w:rsidRPr="000B11C2">
        <w:rPr>
          <w:rFonts w:cs="David"/>
          <w:rtl/>
        </w:rPr>
        <w:t>.</w:t>
      </w:r>
    </w:p>
    <w:p w:rsidR="00634342" w:rsidRPr="000B11C2" w:rsidRDefault="00634342" w:rsidP="0013771F">
      <w:pPr>
        <w:pStyle w:val="a8"/>
        <w:numPr>
          <w:ilvl w:val="0"/>
          <w:numId w:val="4"/>
        </w:numPr>
        <w:tabs>
          <w:tab w:val="left" w:pos="1754"/>
        </w:tabs>
        <w:spacing w:after="220" w:line="360" w:lineRule="auto"/>
        <w:ind w:left="1754"/>
        <w:rPr>
          <w:rFonts w:cs="David"/>
        </w:rPr>
      </w:pPr>
      <w:r w:rsidRPr="000B11C2">
        <w:rPr>
          <w:rFonts w:cs="David"/>
          <w:rtl/>
        </w:rPr>
        <w:t>המשיבות</w:t>
      </w:r>
      <w:r w:rsidR="00F7574C" w:rsidRPr="000B11C2">
        <w:rPr>
          <w:rFonts w:cs="David"/>
          <w:rtl/>
        </w:rPr>
        <w:t xml:space="preserve"> לא טרחו </w:t>
      </w:r>
      <w:r w:rsidRPr="000B11C2">
        <w:rPr>
          <w:rFonts w:cs="David"/>
          <w:rtl/>
        </w:rPr>
        <w:t>ל</w:t>
      </w:r>
      <w:r w:rsidR="00F7574C" w:rsidRPr="000B11C2">
        <w:rPr>
          <w:rFonts w:cs="David"/>
          <w:rtl/>
        </w:rPr>
        <w:t xml:space="preserve">הצביע על שינוי </w:t>
      </w:r>
      <w:r w:rsidRPr="000B11C2">
        <w:rPr>
          <w:rFonts w:cs="David"/>
          <w:rtl/>
        </w:rPr>
        <w:t xml:space="preserve">קונקרטי של </w:t>
      </w:r>
      <w:r w:rsidR="00F7574C" w:rsidRPr="000B11C2">
        <w:rPr>
          <w:rFonts w:cs="David"/>
          <w:rtl/>
        </w:rPr>
        <w:t>מצב לרעה</w:t>
      </w:r>
      <w:r w:rsidR="003E3FD3" w:rsidRPr="000B11C2">
        <w:rPr>
          <w:rFonts w:cs="David"/>
          <w:rtl/>
        </w:rPr>
        <w:t xml:space="preserve">; </w:t>
      </w:r>
    </w:p>
    <w:p w:rsidR="00523912" w:rsidRDefault="00F7574C" w:rsidP="0013771F">
      <w:pPr>
        <w:pStyle w:val="a8"/>
        <w:numPr>
          <w:ilvl w:val="0"/>
          <w:numId w:val="4"/>
        </w:numPr>
        <w:tabs>
          <w:tab w:val="left" w:pos="1394"/>
          <w:tab w:val="left" w:pos="1754"/>
        </w:tabs>
        <w:spacing w:after="220" w:line="360" w:lineRule="auto"/>
        <w:ind w:left="1754"/>
        <w:rPr>
          <w:rFonts w:cs="David"/>
        </w:rPr>
      </w:pPr>
      <w:r w:rsidRPr="000B11C2">
        <w:rPr>
          <w:rFonts w:cs="David"/>
          <w:rtl/>
        </w:rPr>
        <w:t>המדינה</w:t>
      </w:r>
      <w:r w:rsidR="005B151C" w:rsidRPr="000B11C2">
        <w:rPr>
          <w:rFonts w:cs="David"/>
          <w:rtl/>
        </w:rPr>
        <w:t xml:space="preserve"> חייבת</w:t>
      </w:r>
      <w:r w:rsidR="003E3FD3" w:rsidRPr="000B11C2">
        <w:rPr>
          <w:rFonts w:cs="David"/>
          <w:rtl/>
        </w:rPr>
        <w:t xml:space="preserve"> ב</w:t>
      </w:r>
      <w:r w:rsidRPr="000B11C2">
        <w:rPr>
          <w:rFonts w:cs="David"/>
          <w:rtl/>
        </w:rPr>
        <w:t>חובת תיעוד מנהלית</w:t>
      </w:r>
      <w:r w:rsidR="003E3FD3" w:rsidRPr="000B11C2">
        <w:rPr>
          <w:rFonts w:cs="David"/>
          <w:rtl/>
        </w:rPr>
        <w:t xml:space="preserve"> (</w:t>
      </w:r>
      <w:r w:rsidR="003E3FD3" w:rsidRPr="000B11C2">
        <w:rPr>
          <w:rFonts w:cs="David"/>
          <w:b/>
          <w:bCs/>
          <w:rtl/>
        </w:rPr>
        <w:t>שמירת תיקו האישי של עובד שהוא או שאריו מקבלים גמלה מהמדינה, היא ל - "100 שנים לאחר לידתו של האדם אליו מתייחס התיק</w:t>
      </w:r>
      <w:r w:rsidR="003E3FD3" w:rsidRPr="000B11C2">
        <w:rPr>
          <w:rFonts w:cs="David"/>
          <w:rtl/>
        </w:rPr>
        <w:t xml:space="preserve">"), וממילא שמרה את המסמכים הרלבנטיים; </w:t>
      </w:r>
    </w:p>
    <w:p w:rsidR="00C66666" w:rsidRPr="000B11C2" w:rsidRDefault="00C66666" w:rsidP="0013771F">
      <w:pPr>
        <w:pStyle w:val="a8"/>
        <w:numPr>
          <w:ilvl w:val="0"/>
          <w:numId w:val="4"/>
        </w:numPr>
        <w:tabs>
          <w:tab w:val="left" w:pos="1394"/>
          <w:tab w:val="left" w:pos="1754"/>
        </w:tabs>
        <w:spacing w:after="220" w:line="360" w:lineRule="auto"/>
        <w:ind w:left="1754"/>
        <w:rPr>
          <w:rFonts w:cs="David"/>
          <w:rtl/>
        </w:rPr>
      </w:pPr>
      <w:r>
        <w:rPr>
          <w:rFonts w:cs="David"/>
          <w:rtl/>
        </w:rPr>
        <w:t>כמו כן, אם טוענת המדינה כי נגרם לה נזק ראייתי, הרי שלכאורה היה נציב התלונות, או כל גורם אחר שעסק בנושא, מעדכן את המערער כי ההחלטות בעניינו התקבלו מבלי שכל המידע נמצא בפניו.</w:t>
      </w:r>
    </w:p>
    <w:p w:rsidR="00634342" w:rsidRPr="000B11C2" w:rsidRDefault="00634342" w:rsidP="0013771F">
      <w:pPr>
        <w:pStyle w:val="a8"/>
        <w:numPr>
          <w:ilvl w:val="1"/>
          <w:numId w:val="9"/>
        </w:numPr>
        <w:tabs>
          <w:tab w:val="left" w:pos="1394"/>
        </w:tabs>
        <w:spacing w:after="220" w:line="360" w:lineRule="auto"/>
        <w:ind w:left="1394" w:hanging="720"/>
        <w:rPr>
          <w:rFonts w:cs="David"/>
          <w:rtl/>
        </w:rPr>
      </w:pPr>
      <w:r w:rsidRPr="000B11C2">
        <w:rPr>
          <w:rFonts w:cs="David"/>
          <w:b/>
          <w:bCs/>
          <w:rtl/>
        </w:rPr>
        <w:t xml:space="preserve">התובע </w:t>
      </w:r>
      <w:r w:rsidR="005D43E3" w:rsidRPr="000B11C2">
        <w:rPr>
          <w:rFonts w:cs="David"/>
          <w:b/>
          <w:bCs/>
          <w:rtl/>
        </w:rPr>
        <w:t xml:space="preserve">לא </w:t>
      </w:r>
      <w:r w:rsidR="00F7574C" w:rsidRPr="000B11C2">
        <w:rPr>
          <w:rFonts w:cs="David"/>
          <w:b/>
          <w:bCs/>
          <w:rtl/>
        </w:rPr>
        <w:t xml:space="preserve">"ישן על זכויותיו" – </w:t>
      </w:r>
      <w:r w:rsidRPr="000B11C2">
        <w:rPr>
          <w:rFonts w:cs="David"/>
          <w:rtl/>
        </w:rPr>
        <w:t xml:space="preserve">המערער פנה </w:t>
      </w:r>
      <w:r w:rsidR="00E126B3" w:rsidRPr="000B11C2">
        <w:rPr>
          <w:rFonts w:cs="David"/>
          <w:rtl/>
        </w:rPr>
        <w:t xml:space="preserve">עשרות רבות של </w:t>
      </w:r>
      <w:r w:rsidRPr="000B11C2">
        <w:rPr>
          <w:rFonts w:cs="David"/>
          <w:rtl/>
        </w:rPr>
        <w:t>פעמים, בעל פה ו</w:t>
      </w:r>
      <w:r w:rsidR="00F7574C" w:rsidRPr="000B11C2">
        <w:rPr>
          <w:rFonts w:cs="David"/>
          <w:rtl/>
        </w:rPr>
        <w:t xml:space="preserve">בכתב, </w:t>
      </w:r>
      <w:r w:rsidR="005D43E3" w:rsidRPr="000B11C2">
        <w:rPr>
          <w:rFonts w:cs="David"/>
          <w:rtl/>
        </w:rPr>
        <w:t>לגורמים הרלבנטיים השונים</w:t>
      </w:r>
      <w:r w:rsidR="00A925F3">
        <w:rPr>
          <w:rFonts w:cs="David"/>
          <w:rtl/>
        </w:rPr>
        <w:t>, ולכל המשיבים ו</w:t>
      </w:r>
      <w:r w:rsidRPr="000B11C2">
        <w:rPr>
          <w:rFonts w:cs="David"/>
          <w:rtl/>
        </w:rPr>
        <w:t>לכן, לא ניתן לראות במערער כמי שישן על זכויותיו.</w:t>
      </w:r>
      <w:r w:rsidR="003E3FD3" w:rsidRPr="000B11C2">
        <w:rPr>
          <w:rFonts w:cs="David"/>
          <w:rtl/>
        </w:rPr>
        <w:t xml:space="preserve"> </w:t>
      </w:r>
      <w:r w:rsidRPr="000B11C2">
        <w:rPr>
          <w:rFonts w:cs="David"/>
          <w:rtl/>
        </w:rPr>
        <w:t>נדגיש כי המערער לא הציג, בשלב של כתב התביעה, את כל הראיות בעניין זה, מאחר שזה לא היה המקום להגישן</w:t>
      </w:r>
      <w:r w:rsidR="005B151C" w:rsidRPr="000B11C2">
        <w:rPr>
          <w:rFonts w:cs="David"/>
          <w:rtl/>
        </w:rPr>
        <w:t xml:space="preserve">, והוא יציגן לבית הדין הנכבד, </w:t>
      </w:r>
      <w:r w:rsidRPr="000B11C2">
        <w:rPr>
          <w:rFonts w:cs="David"/>
          <w:rtl/>
        </w:rPr>
        <w:t xml:space="preserve">על מנת להוכיח מעל לכל ספק כי לא </w:t>
      </w:r>
      <w:r w:rsidR="00C02D74" w:rsidRPr="000B11C2">
        <w:rPr>
          <w:rFonts w:cs="David"/>
          <w:rtl/>
        </w:rPr>
        <w:t>"</w:t>
      </w:r>
      <w:r w:rsidRPr="000B11C2">
        <w:rPr>
          <w:rFonts w:cs="David"/>
          <w:rtl/>
        </w:rPr>
        <w:t>ישן על זכויותיו</w:t>
      </w:r>
      <w:r w:rsidR="00C02D74" w:rsidRPr="000B11C2">
        <w:rPr>
          <w:rFonts w:cs="David"/>
          <w:rtl/>
        </w:rPr>
        <w:t>"</w:t>
      </w:r>
      <w:r w:rsidRPr="000B11C2">
        <w:rPr>
          <w:rFonts w:cs="David"/>
          <w:rtl/>
        </w:rPr>
        <w:t>.</w:t>
      </w:r>
    </w:p>
    <w:p w:rsidR="00634342" w:rsidRPr="000B11C2" w:rsidRDefault="00F7574C" w:rsidP="0013771F">
      <w:pPr>
        <w:pStyle w:val="a8"/>
        <w:numPr>
          <w:ilvl w:val="1"/>
          <w:numId w:val="9"/>
        </w:numPr>
        <w:tabs>
          <w:tab w:val="left" w:pos="1394"/>
        </w:tabs>
        <w:spacing w:after="220" w:line="360" w:lineRule="auto"/>
        <w:ind w:left="1394" w:hanging="720"/>
        <w:rPr>
          <w:rFonts w:cs="David"/>
        </w:rPr>
      </w:pPr>
      <w:r w:rsidRPr="000B11C2">
        <w:rPr>
          <w:rFonts w:cs="David"/>
          <w:b/>
          <w:bCs/>
          <w:rtl/>
        </w:rPr>
        <w:t xml:space="preserve">התובע </w:t>
      </w:r>
      <w:r w:rsidR="005D43E3" w:rsidRPr="000B11C2">
        <w:rPr>
          <w:rFonts w:cs="David"/>
          <w:b/>
          <w:bCs/>
          <w:rtl/>
        </w:rPr>
        <w:t>לא "</w:t>
      </w:r>
      <w:r w:rsidRPr="000B11C2">
        <w:rPr>
          <w:rFonts w:cs="David"/>
          <w:b/>
          <w:bCs/>
          <w:rtl/>
        </w:rPr>
        <w:t xml:space="preserve">ויתר ומחל על זכויותיו" </w:t>
      </w:r>
      <w:r w:rsidR="00634342" w:rsidRPr="000B11C2">
        <w:rPr>
          <w:rFonts w:cs="David"/>
          <w:b/>
          <w:bCs/>
          <w:rtl/>
        </w:rPr>
        <w:t xml:space="preserve">– </w:t>
      </w:r>
      <w:r w:rsidR="00634342" w:rsidRPr="000B11C2">
        <w:rPr>
          <w:rFonts w:cs="David"/>
          <w:rtl/>
        </w:rPr>
        <w:t xml:space="preserve">ברור כי </w:t>
      </w:r>
      <w:r w:rsidR="004A5F15" w:rsidRPr="000B11C2">
        <w:rPr>
          <w:rFonts w:cs="David"/>
          <w:rtl/>
        </w:rPr>
        <w:t>נימוק זה</w:t>
      </w:r>
      <w:r w:rsidR="00EE5402" w:rsidRPr="000B11C2">
        <w:rPr>
          <w:rFonts w:cs="David"/>
          <w:rtl/>
        </w:rPr>
        <w:t xml:space="preserve"> לא</w:t>
      </w:r>
      <w:r w:rsidR="00E126B3" w:rsidRPr="000B11C2">
        <w:rPr>
          <w:rFonts w:cs="David"/>
          <w:rtl/>
        </w:rPr>
        <w:t xml:space="preserve"> </w:t>
      </w:r>
      <w:r w:rsidR="00634342" w:rsidRPr="000B11C2">
        <w:rPr>
          <w:rFonts w:cs="David"/>
          <w:rtl/>
        </w:rPr>
        <w:t>מתקיי</w:t>
      </w:r>
      <w:r w:rsidR="004A5F15" w:rsidRPr="000B11C2">
        <w:rPr>
          <w:rFonts w:cs="David"/>
          <w:rtl/>
        </w:rPr>
        <w:t>ם בענייננו</w:t>
      </w:r>
      <w:r w:rsidR="00634342" w:rsidRPr="000B11C2">
        <w:rPr>
          <w:rFonts w:cs="David"/>
          <w:rtl/>
        </w:rPr>
        <w:t>, לאור הפניות הרבות של המערער, ולמען הקיצור נפנה לדברים שכתבנו לעיל.</w:t>
      </w:r>
    </w:p>
    <w:p w:rsidR="001D504A" w:rsidRPr="000B11C2" w:rsidRDefault="00F7574C" w:rsidP="0013771F">
      <w:pPr>
        <w:pStyle w:val="a8"/>
        <w:numPr>
          <w:ilvl w:val="1"/>
          <w:numId w:val="9"/>
        </w:numPr>
        <w:tabs>
          <w:tab w:val="left" w:pos="1394"/>
        </w:tabs>
        <w:spacing w:after="220" w:line="360" w:lineRule="auto"/>
        <w:ind w:left="1394" w:hanging="720"/>
        <w:rPr>
          <w:rFonts w:cs="David"/>
          <w:b/>
          <w:bCs/>
        </w:rPr>
      </w:pPr>
      <w:r w:rsidRPr="000B11C2">
        <w:rPr>
          <w:rFonts w:cs="David"/>
          <w:b/>
          <w:bCs/>
          <w:rtl/>
        </w:rPr>
        <w:t xml:space="preserve">הצורך "לברר תביעות תוך זמן סביר" </w:t>
      </w:r>
      <w:r w:rsidR="001D504A" w:rsidRPr="000B11C2">
        <w:rPr>
          <w:rFonts w:cs="David"/>
          <w:b/>
          <w:bCs/>
          <w:rtl/>
        </w:rPr>
        <w:t xml:space="preserve">– </w:t>
      </w:r>
      <w:r w:rsidR="001D504A" w:rsidRPr="000B11C2">
        <w:rPr>
          <w:rFonts w:cs="David"/>
          <w:rtl/>
        </w:rPr>
        <w:t>במקרה זה מי שפועל בחוסר סבירות היא המדינה, אשר בידה כל המסמכים והמידע הדרושים לברר את התביעה, ואשר התעכבה במתן תשובותיה לפניותיו של המערער לפני הגשת התביעה.</w:t>
      </w:r>
    </w:p>
    <w:p w:rsidR="00F7574C" w:rsidRPr="0013771F" w:rsidRDefault="001D504A" w:rsidP="00A925F3">
      <w:pPr>
        <w:pStyle w:val="a8"/>
        <w:tabs>
          <w:tab w:val="left" w:pos="1394"/>
        </w:tabs>
        <w:spacing w:after="240" w:line="360" w:lineRule="auto"/>
        <w:ind w:left="674"/>
        <w:rPr>
          <w:rFonts w:cs="David"/>
          <w:rtl/>
        </w:rPr>
      </w:pPr>
      <w:r w:rsidRPr="00C66666">
        <w:rPr>
          <w:rFonts w:cs="David"/>
          <w:rtl/>
        </w:rPr>
        <w:lastRenderedPageBreak/>
        <w:t xml:space="preserve">יודגש כי המערער </w:t>
      </w:r>
      <w:r w:rsidR="00A925F3" w:rsidRPr="0013771F">
        <w:rPr>
          <w:rFonts w:cs="David"/>
          <w:rtl/>
        </w:rPr>
        <w:t>הוא ש</w:t>
      </w:r>
      <w:r w:rsidRPr="00C66666">
        <w:rPr>
          <w:rFonts w:cs="David"/>
          <w:rtl/>
        </w:rPr>
        <w:t>עשה</w:t>
      </w:r>
      <w:r w:rsidR="00F7574C" w:rsidRPr="00C66666">
        <w:rPr>
          <w:rFonts w:cs="David"/>
          <w:rtl/>
        </w:rPr>
        <w:t xml:space="preserve"> ככל האפשר שלא להטריח את המערכת המשפטית </w:t>
      </w:r>
      <w:r w:rsidR="00A925F3" w:rsidRPr="00C66666">
        <w:rPr>
          <w:rFonts w:cs="David"/>
          <w:rtl/>
        </w:rPr>
        <w:t xml:space="preserve">על מנת למנוע בזבוז זמן ומשאבים </w:t>
      </w:r>
      <w:r w:rsidR="00F7574C" w:rsidRPr="00655EE8">
        <w:rPr>
          <w:rFonts w:cs="David"/>
          <w:rtl/>
        </w:rPr>
        <w:t>(ר' סעי</w:t>
      </w:r>
      <w:r w:rsidR="00F7574C" w:rsidRPr="00F65A30">
        <w:rPr>
          <w:rFonts w:cs="David"/>
          <w:rtl/>
        </w:rPr>
        <w:t>ף 44 לכתב התביעה)</w:t>
      </w:r>
      <w:r w:rsidRPr="00F65A30">
        <w:rPr>
          <w:rFonts w:cs="David"/>
          <w:rtl/>
        </w:rPr>
        <w:t>.</w:t>
      </w:r>
      <w:r w:rsidR="00F7574C" w:rsidRPr="001A50DD">
        <w:rPr>
          <w:rFonts w:cs="David"/>
          <w:rtl/>
        </w:rPr>
        <w:t xml:space="preserve"> </w:t>
      </w:r>
      <w:r w:rsidRPr="0013771F">
        <w:rPr>
          <w:rFonts w:cs="David"/>
          <w:rtl/>
        </w:rPr>
        <w:t>לא יעלה על הדעת כי דווקא המדינה תזקוף לחובת המערער את רצונו הכן להימנע מהגשת תביעה, לאחר שעשה על מאמץ להימנע מכך.</w:t>
      </w:r>
    </w:p>
    <w:p w:rsidR="005B151C" w:rsidRPr="000B11C2" w:rsidRDefault="005B151C" w:rsidP="000E3B23">
      <w:pPr>
        <w:rPr>
          <w:rtl/>
        </w:rPr>
      </w:pPr>
    </w:p>
    <w:p w:rsidR="002A1C7D" w:rsidRPr="000B11C2" w:rsidRDefault="005B151C" w:rsidP="000E3B23">
      <w:pPr>
        <w:pStyle w:val="7"/>
        <w:spacing w:after="120" w:line="360" w:lineRule="auto"/>
        <w:ind w:left="44"/>
        <w:rPr>
          <w:rFonts w:cs="David"/>
          <w:sz w:val="26"/>
          <w:szCs w:val="26"/>
        </w:rPr>
      </w:pPr>
      <w:r w:rsidRPr="000B11C2">
        <w:rPr>
          <w:rFonts w:cs="David"/>
          <w:sz w:val="26"/>
          <w:szCs w:val="26"/>
          <w:u w:val="none"/>
          <w:rtl/>
        </w:rPr>
        <w:t>ב.2.</w:t>
      </w:r>
      <w:r w:rsidRPr="000B11C2">
        <w:rPr>
          <w:rFonts w:cs="David"/>
          <w:sz w:val="26"/>
          <w:szCs w:val="26"/>
          <w:u w:val="none"/>
          <w:rtl/>
        </w:rPr>
        <w:tab/>
      </w:r>
      <w:r w:rsidR="002A1C7D" w:rsidRPr="000B11C2">
        <w:rPr>
          <w:rFonts w:cs="David"/>
          <w:sz w:val="26"/>
          <w:szCs w:val="26"/>
          <w:rtl/>
        </w:rPr>
        <w:t xml:space="preserve">טעה בית הדין </w:t>
      </w:r>
      <w:r w:rsidR="002104DA" w:rsidRPr="000B11C2">
        <w:rPr>
          <w:rFonts w:cs="David"/>
          <w:sz w:val="26"/>
          <w:szCs w:val="26"/>
          <w:rtl/>
        </w:rPr>
        <w:t xml:space="preserve">הנכבד </w:t>
      </w:r>
      <w:r w:rsidR="002A1C7D" w:rsidRPr="000B11C2">
        <w:rPr>
          <w:rFonts w:cs="David"/>
          <w:sz w:val="26"/>
          <w:szCs w:val="26"/>
          <w:rtl/>
        </w:rPr>
        <w:t>קמא כאשר דחה את תביעתו של המערער בעניין חוזה העבודה</w:t>
      </w:r>
    </w:p>
    <w:p w:rsidR="002A1C7D" w:rsidRPr="000B11C2" w:rsidRDefault="00784838" w:rsidP="002A1C7D">
      <w:pPr>
        <w:pStyle w:val="a8"/>
        <w:tabs>
          <w:tab w:val="left" w:pos="674"/>
        </w:tabs>
        <w:spacing w:after="240" w:line="360" w:lineRule="auto"/>
        <w:ind w:left="44"/>
        <w:rPr>
          <w:rFonts w:cs="David"/>
          <w:b/>
          <w:bCs/>
          <w:u w:val="single"/>
        </w:rPr>
      </w:pPr>
      <w:r w:rsidRPr="000B11C2">
        <w:rPr>
          <w:rFonts w:cs="David"/>
          <w:b/>
          <w:bCs/>
          <w:u w:val="single"/>
          <w:rtl/>
        </w:rPr>
        <w:t xml:space="preserve">מועד התגבשות </w:t>
      </w:r>
      <w:r w:rsidR="002A1C7D" w:rsidRPr="000B11C2">
        <w:rPr>
          <w:rFonts w:cs="David"/>
          <w:b/>
          <w:bCs/>
          <w:u w:val="single"/>
          <w:rtl/>
        </w:rPr>
        <w:t>עילת התביעה</w:t>
      </w:r>
    </w:p>
    <w:p w:rsidR="00C02D74" w:rsidRPr="00F65A30" w:rsidRDefault="00CC0702" w:rsidP="0013771F">
      <w:pPr>
        <w:numPr>
          <w:ilvl w:val="0"/>
          <w:numId w:val="9"/>
        </w:numPr>
        <w:tabs>
          <w:tab w:val="left" w:pos="674"/>
        </w:tabs>
        <w:spacing w:after="220" w:line="360" w:lineRule="auto"/>
        <w:ind w:left="674" w:hanging="630"/>
        <w:jc w:val="both"/>
        <w:rPr>
          <w:rFonts w:ascii="David" w:hAnsi="David" w:cs="David"/>
        </w:rPr>
      </w:pPr>
      <w:r w:rsidRPr="00C66666">
        <w:rPr>
          <w:rFonts w:cs="David"/>
          <w:rtl/>
        </w:rPr>
        <w:t>כאמור לעיל, ו</w:t>
      </w:r>
      <w:r w:rsidR="002A1C7D" w:rsidRPr="00C66666">
        <w:rPr>
          <w:rFonts w:cs="David"/>
          <w:rtl/>
        </w:rPr>
        <w:t xml:space="preserve">בכתב התביעה - </w:t>
      </w:r>
      <w:r w:rsidR="00633324" w:rsidRPr="00C66666">
        <w:rPr>
          <w:rFonts w:cs="David"/>
          <w:b/>
          <w:bCs/>
          <w:rtl/>
        </w:rPr>
        <w:t>נציב שרות המדינה</w:t>
      </w:r>
      <w:r w:rsidR="00E14476" w:rsidRPr="00C66666">
        <w:rPr>
          <w:rFonts w:cs="David"/>
          <w:b/>
          <w:bCs/>
          <w:rtl/>
        </w:rPr>
        <w:t xml:space="preserve">, הגורם המוסמך </w:t>
      </w:r>
      <w:r w:rsidR="00E14476" w:rsidRPr="0013771F">
        <w:rPr>
          <w:rFonts w:cs="David"/>
          <w:b/>
          <w:bCs/>
          <w:rtl/>
        </w:rPr>
        <w:t>הבלעדי לפי החוזה</w:t>
      </w:r>
      <w:r w:rsidR="00E14476" w:rsidRPr="0013771F">
        <w:rPr>
          <w:rFonts w:cs="David"/>
          <w:rtl/>
        </w:rPr>
        <w:t xml:space="preserve"> (או מי שהוסמך על ידו)</w:t>
      </w:r>
      <w:r w:rsidR="00E14476" w:rsidRPr="00C66666">
        <w:rPr>
          <w:rFonts w:cs="David"/>
          <w:rtl/>
        </w:rPr>
        <w:t xml:space="preserve"> </w:t>
      </w:r>
      <w:r w:rsidR="00E14476" w:rsidRPr="0013771F">
        <w:rPr>
          <w:rFonts w:cs="David"/>
          <w:b/>
          <w:bCs/>
          <w:rtl/>
        </w:rPr>
        <w:t xml:space="preserve">להפסיק את ההעסקה, </w:t>
      </w:r>
      <w:r w:rsidR="00E14476" w:rsidRPr="00C66666">
        <w:rPr>
          <w:rFonts w:cs="David"/>
          <w:b/>
          <w:bCs/>
          <w:rtl/>
        </w:rPr>
        <w:t xml:space="preserve">לא </w:t>
      </w:r>
      <w:r w:rsidR="00633324" w:rsidRPr="00C66666">
        <w:rPr>
          <w:rFonts w:cs="David"/>
          <w:b/>
          <w:bCs/>
          <w:rtl/>
        </w:rPr>
        <w:t>הודי</w:t>
      </w:r>
      <w:r w:rsidR="00E14476" w:rsidRPr="00C66666">
        <w:rPr>
          <w:rFonts w:cs="David"/>
          <w:b/>
          <w:bCs/>
          <w:rtl/>
        </w:rPr>
        <w:t>ע</w:t>
      </w:r>
      <w:r w:rsidR="00633324" w:rsidRPr="00C66666">
        <w:rPr>
          <w:rFonts w:cs="David"/>
          <w:b/>
          <w:bCs/>
          <w:rtl/>
        </w:rPr>
        <w:t xml:space="preserve"> למערער על החלטת הנציב</w:t>
      </w:r>
      <w:r w:rsidR="005352AE" w:rsidRPr="00C66666">
        <w:rPr>
          <w:rFonts w:cs="David"/>
          <w:b/>
          <w:bCs/>
          <w:rtl/>
        </w:rPr>
        <w:t xml:space="preserve"> להפסיק את העסקתו </w:t>
      </w:r>
      <w:r w:rsidR="00633324" w:rsidRPr="00C66666">
        <w:rPr>
          <w:rFonts w:cs="David"/>
          <w:b/>
          <w:bCs/>
          <w:rtl/>
        </w:rPr>
        <w:t>ו</w:t>
      </w:r>
      <w:r w:rsidR="002A1C7D" w:rsidRPr="00655EE8">
        <w:rPr>
          <w:rFonts w:cs="David"/>
          <w:b/>
          <w:bCs/>
          <w:rtl/>
        </w:rPr>
        <w:t xml:space="preserve">המדינה </w:t>
      </w:r>
      <w:r w:rsidR="005352AE" w:rsidRPr="00F65A30">
        <w:rPr>
          <w:rFonts w:cs="David"/>
          <w:b/>
          <w:bCs/>
          <w:rtl/>
        </w:rPr>
        <w:t xml:space="preserve">לא העבירה </w:t>
      </w:r>
      <w:r w:rsidR="002A1C7D" w:rsidRPr="00F65A30">
        <w:rPr>
          <w:rFonts w:cs="David"/>
          <w:b/>
          <w:bCs/>
          <w:rtl/>
        </w:rPr>
        <w:t xml:space="preserve">למשיב הודעה בעניין גמלתו, ולא שילמה </w:t>
      </w:r>
      <w:r w:rsidR="00633324" w:rsidRPr="001A50DD">
        <w:rPr>
          <w:rFonts w:cs="David"/>
          <w:b/>
          <w:bCs/>
          <w:rtl/>
        </w:rPr>
        <w:t>א</w:t>
      </w:r>
      <w:r w:rsidR="00E14476" w:rsidRPr="0013771F">
        <w:rPr>
          <w:rFonts w:cs="David"/>
          <w:b/>
          <w:bCs/>
          <w:rtl/>
        </w:rPr>
        <w:t>ן</w:t>
      </w:r>
      <w:r w:rsidR="00633324" w:rsidRPr="0013771F">
        <w:rPr>
          <w:rFonts w:cs="David"/>
          <w:b/>
          <w:bCs/>
          <w:rtl/>
        </w:rPr>
        <w:t>ת</w:t>
      </w:r>
      <w:r w:rsidR="00E14476" w:rsidRPr="0013771F">
        <w:rPr>
          <w:rFonts w:cs="David"/>
          <w:b/>
          <w:bCs/>
          <w:rtl/>
        </w:rPr>
        <w:t>ה</w:t>
      </w:r>
      <w:r w:rsidR="00633324" w:rsidRPr="0013771F">
        <w:rPr>
          <w:rFonts w:cs="David"/>
          <w:b/>
          <w:bCs/>
          <w:rtl/>
        </w:rPr>
        <w:t xml:space="preserve"> עד לחודש דצמבר 2012. </w:t>
      </w:r>
      <w:r w:rsidR="002A1C7D" w:rsidRPr="0013771F">
        <w:rPr>
          <w:rFonts w:cs="David"/>
          <w:rtl/>
        </w:rPr>
        <w:t xml:space="preserve"> </w:t>
      </w:r>
      <w:r w:rsidR="00633324" w:rsidRPr="0013771F">
        <w:rPr>
          <w:rFonts w:cs="David"/>
          <w:rtl/>
        </w:rPr>
        <w:t xml:space="preserve">כלומר, </w:t>
      </w:r>
      <w:r w:rsidR="005D43E3" w:rsidRPr="00C66666">
        <w:rPr>
          <w:rFonts w:cs="David"/>
          <w:b/>
          <w:bCs/>
          <w:rtl/>
        </w:rPr>
        <w:t xml:space="preserve">זכות התביעה </w:t>
      </w:r>
      <w:r w:rsidR="00633324" w:rsidRPr="0013771F">
        <w:rPr>
          <w:rFonts w:cs="David"/>
          <w:b/>
          <w:bCs/>
          <w:rtl/>
        </w:rPr>
        <w:t>על הפיטורין ועל שיעורי הגימל</w:t>
      </w:r>
      <w:r w:rsidR="00C66666">
        <w:rPr>
          <w:rFonts w:cs="David"/>
          <w:b/>
          <w:bCs/>
          <w:rtl/>
        </w:rPr>
        <w:t>ה</w:t>
      </w:r>
      <w:r w:rsidR="00633324" w:rsidRPr="0013771F">
        <w:rPr>
          <w:rFonts w:cs="David"/>
          <w:b/>
          <w:bCs/>
          <w:rtl/>
        </w:rPr>
        <w:t>, התלויים זה בזה</w:t>
      </w:r>
      <w:r w:rsidR="00633324" w:rsidRPr="00C66666">
        <w:rPr>
          <w:rFonts w:cs="David"/>
          <w:b/>
          <w:bCs/>
          <w:rtl/>
        </w:rPr>
        <w:t xml:space="preserve">, לא קמה </w:t>
      </w:r>
      <w:r w:rsidR="00633324" w:rsidRPr="0013771F">
        <w:rPr>
          <w:rFonts w:cs="David"/>
          <w:b/>
          <w:bCs/>
          <w:rtl/>
        </w:rPr>
        <w:t>וב</w:t>
      </w:r>
      <w:r w:rsidR="00C66666">
        <w:rPr>
          <w:rFonts w:cs="David"/>
          <w:b/>
          <w:bCs/>
          <w:rtl/>
        </w:rPr>
        <w:t>ו</w:t>
      </w:r>
      <w:r w:rsidR="00633324" w:rsidRPr="0013771F">
        <w:rPr>
          <w:rFonts w:cs="David"/>
          <w:b/>
          <w:bCs/>
          <w:rtl/>
        </w:rPr>
        <w:t>ודאי לא התגבשה</w:t>
      </w:r>
      <w:r w:rsidR="00633324" w:rsidRPr="00C66666">
        <w:rPr>
          <w:rFonts w:cs="David"/>
          <w:b/>
          <w:bCs/>
          <w:rtl/>
        </w:rPr>
        <w:t xml:space="preserve"> </w:t>
      </w:r>
      <w:r w:rsidR="005D43E3" w:rsidRPr="00C66666">
        <w:rPr>
          <w:rFonts w:cs="David"/>
          <w:b/>
          <w:bCs/>
          <w:rtl/>
        </w:rPr>
        <w:t>לפני</w:t>
      </w:r>
      <w:r w:rsidR="005D43E3" w:rsidRPr="00C66666">
        <w:rPr>
          <w:rFonts w:cs="David"/>
          <w:rtl/>
        </w:rPr>
        <w:t xml:space="preserve"> </w:t>
      </w:r>
      <w:r w:rsidR="005D43E3" w:rsidRPr="00C66666">
        <w:rPr>
          <w:rFonts w:cs="David"/>
          <w:b/>
          <w:bCs/>
          <w:rtl/>
        </w:rPr>
        <w:t xml:space="preserve">חודש דצמבר 2012, עת קיבל המשיב את החלטת </w:t>
      </w:r>
      <w:r w:rsidR="00220A08" w:rsidRPr="00C66666">
        <w:rPr>
          <w:rFonts w:cs="David"/>
          <w:b/>
          <w:bCs/>
          <w:rtl/>
        </w:rPr>
        <w:t>ה</w:t>
      </w:r>
      <w:r w:rsidR="005D43E3" w:rsidRPr="00C66666">
        <w:rPr>
          <w:rFonts w:cs="David"/>
          <w:b/>
          <w:bCs/>
          <w:rtl/>
        </w:rPr>
        <w:t xml:space="preserve">נציב בעניין הגמלה ובהמשך את הגמלה עצמה, והוא הופרש </w:t>
      </w:r>
      <w:r w:rsidR="00633324" w:rsidRPr="00C66666">
        <w:rPr>
          <w:rFonts w:cs="David"/>
          <w:b/>
          <w:bCs/>
          <w:rtl/>
        </w:rPr>
        <w:t xml:space="preserve">פורמלית </w:t>
      </w:r>
      <w:r w:rsidR="005D43E3" w:rsidRPr="00655EE8">
        <w:rPr>
          <w:rFonts w:cs="David"/>
          <w:b/>
          <w:bCs/>
          <w:rtl/>
        </w:rPr>
        <w:t>מעבודתו במדינה.</w:t>
      </w:r>
    </w:p>
    <w:p w:rsidR="00F60482" w:rsidRDefault="002A1C7D" w:rsidP="0013771F">
      <w:pPr>
        <w:pStyle w:val="a8"/>
        <w:numPr>
          <w:ilvl w:val="0"/>
          <w:numId w:val="9"/>
        </w:numPr>
        <w:tabs>
          <w:tab w:val="left" w:pos="674"/>
        </w:tabs>
        <w:spacing w:after="220" w:line="360" w:lineRule="auto"/>
        <w:ind w:left="674" w:hanging="630"/>
        <w:rPr>
          <w:rFonts w:cs="David"/>
        </w:rPr>
      </w:pPr>
      <w:r w:rsidRPr="00F65A30">
        <w:rPr>
          <w:rFonts w:cs="David"/>
          <w:rtl/>
        </w:rPr>
        <w:t xml:space="preserve">לעניין </w:t>
      </w:r>
      <w:r w:rsidR="00E14476" w:rsidRPr="0013771F">
        <w:rPr>
          <w:rFonts w:cs="David"/>
          <w:rtl/>
        </w:rPr>
        <w:t>התגבשות</w:t>
      </w:r>
      <w:r w:rsidR="00E14476" w:rsidRPr="00C66666">
        <w:rPr>
          <w:rFonts w:cs="David"/>
          <w:rtl/>
        </w:rPr>
        <w:t xml:space="preserve"> </w:t>
      </w:r>
      <w:r w:rsidRPr="00C66666">
        <w:rPr>
          <w:rFonts w:cs="David"/>
          <w:rtl/>
        </w:rPr>
        <w:t xml:space="preserve">עילת התביעה, נפנה לפסק הדין בעניין רחל קידר, שניתן ביום 6.8.2019 (עע 23928-09/18  </w:t>
      </w:r>
      <w:r w:rsidRPr="00C66666">
        <w:rPr>
          <w:rFonts w:cs="David"/>
          <w:b/>
          <w:bCs/>
          <w:rtl/>
        </w:rPr>
        <w:t>שירותי בריאות כללית נ' רחל קידר, קרן הגמלאות המרכזית של עובדי ההסתדרות ואח'</w:t>
      </w:r>
      <w:r w:rsidRPr="00C66666">
        <w:rPr>
          <w:rFonts w:cs="David"/>
          <w:rtl/>
        </w:rPr>
        <w:t xml:space="preserve">), וחוזר על ההלכות המוזכרות גם בפסק הדין. בפסק דין קידר האמור נקבע, בין היתר, כי </w:t>
      </w:r>
      <w:r w:rsidR="0025300E" w:rsidRPr="00655EE8">
        <w:rPr>
          <w:rFonts w:cs="David"/>
          <w:rtl/>
        </w:rPr>
        <w:t xml:space="preserve">"עילת התביעה" מתגבשת אך ורק מקום בו יש </w:t>
      </w:r>
      <w:r w:rsidR="00F60482">
        <w:rPr>
          <w:rFonts w:cs="David"/>
          <w:rtl/>
        </w:rPr>
        <w:t>–</w:t>
      </w:r>
      <w:r w:rsidR="0025300E" w:rsidRPr="00655EE8">
        <w:rPr>
          <w:rFonts w:cs="David"/>
          <w:rtl/>
        </w:rPr>
        <w:t xml:space="preserve"> </w:t>
      </w:r>
    </w:p>
    <w:p w:rsidR="002A1C7D" w:rsidRPr="000B11C2" w:rsidRDefault="00F60482" w:rsidP="0013771F">
      <w:pPr>
        <w:pStyle w:val="a8"/>
        <w:spacing w:after="220" w:line="360" w:lineRule="auto"/>
        <w:ind w:left="818" w:right="360"/>
        <w:rPr>
          <w:rFonts w:cs="David"/>
        </w:rPr>
      </w:pPr>
      <w:r>
        <w:rPr>
          <w:rFonts w:cs="David"/>
          <w:rtl/>
        </w:rPr>
        <w:t>"</w:t>
      </w:r>
      <w:r w:rsidR="0025300E" w:rsidRPr="00F65A30">
        <w:rPr>
          <w:b/>
          <w:bCs/>
          <w:spacing w:val="10"/>
          <w:rtl/>
        </w:rPr>
        <w:t>אפשרות מעשית</w:t>
      </w:r>
      <w:r w:rsidR="0025300E" w:rsidRPr="000B11C2">
        <w:rPr>
          <w:b/>
          <w:bCs/>
          <w:spacing w:val="10"/>
          <w:rtl/>
        </w:rPr>
        <w:t xml:space="preserve"> בידי תובע לפנות לבית המשפט לצורך הגשת תביעה, בבחינת "כוח תביעה" שרק עם התגבשותו, מתחיל מניין ההתיישנות ... "כוח תביעה" במשמעות זו פירושו קיום אפשרות ממשית בידי תובע להגיש תביעה משפטית ולזכות בסעד המבוקש, ככל שהוא יעמוד בנטל ההוכחה העובדתי ובנטל הביסוס המשפטי של תביעתו. המועד להיווצרות עילת התובענה לצורך התיישנות הוא, אפוא, המועד שבו נתגבשו העובדות המקימות זכות לסעד, וכאשר נתון בידי התובע כוח קונקרטי </w:t>
      </w:r>
      <w:r w:rsidR="0025300E" w:rsidRPr="000B11C2">
        <w:rPr>
          <w:b/>
          <w:bCs/>
          <w:rtl/>
        </w:rPr>
        <w:t>לממש</w:t>
      </w:r>
      <w:r w:rsidR="0025300E" w:rsidRPr="000B11C2">
        <w:rPr>
          <w:b/>
          <w:bCs/>
          <w:spacing w:val="10"/>
          <w:rtl/>
        </w:rPr>
        <w:t xml:space="preserve"> הלכה למעשה את זכות התביעה שבידו בדרך של פנייה לערכאות. אין די בקיום זכות תביעה מושגית-תיאורטית בלבד בידי התובע. נדרשת בשלות של זכות התביעה במובן קיומו של כוח, הלכה למעשה, לפנות לבית המשפט בתביעה משפטית, ולזכות בסעד אם תוכח התביעה ...  ".</w:t>
      </w:r>
    </w:p>
    <w:p w:rsidR="002A1C7D" w:rsidRPr="00C66666" w:rsidRDefault="002A1C7D" w:rsidP="0013771F">
      <w:pPr>
        <w:pStyle w:val="a8"/>
        <w:numPr>
          <w:ilvl w:val="0"/>
          <w:numId w:val="9"/>
        </w:numPr>
        <w:tabs>
          <w:tab w:val="left" w:pos="674"/>
        </w:tabs>
        <w:spacing w:after="220" w:line="360" w:lineRule="auto"/>
        <w:ind w:left="674" w:hanging="630"/>
        <w:rPr>
          <w:rFonts w:cs="David"/>
        </w:rPr>
      </w:pPr>
      <w:r w:rsidRPr="00C66666">
        <w:rPr>
          <w:rFonts w:cs="David"/>
          <w:rtl/>
        </w:rPr>
        <w:t xml:space="preserve">ובמלים פשוטות – רק </w:t>
      </w:r>
      <w:r w:rsidRPr="00C66666">
        <w:rPr>
          <w:rFonts w:cs="David"/>
          <w:b/>
          <w:bCs/>
          <w:rtl/>
        </w:rPr>
        <w:t>כאשר יש בידי התובע את הכוח להגיש את התביעה, מתחיל מירוץ ההתיישנות.</w:t>
      </w:r>
      <w:r w:rsidRPr="00C66666">
        <w:rPr>
          <w:rFonts w:cs="David"/>
          <w:rtl/>
        </w:rPr>
        <w:t xml:space="preserve"> בענייננו – המערער יטען כי</w:t>
      </w:r>
      <w:r w:rsidR="00592C88" w:rsidRPr="00655EE8">
        <w:rPr>
          <w:rFonts w:cs="David"/>
          <w:rtl/>
        </w:rPr>
        <w:t xml:space="preserve"> </w:t>
      </w:r>
      <w:r w:rsidR="00CB2B5B" w:rsidRPr="00F65A30">
        <w:rPr>
          <w:rFonts w:cs="David"/>
          <w:rtl/>
        </w:rPr>
        <w:t>מירוץ ההתיישנות לא מתחיל לפני ה</w:t>
      </w:r>
      <w:r w:rsidR="00592C88" w:rsidRPr="001A50DD">
        <w:rPr>
          <w:rFonts w:cs="David"/>
          <w:rtl/>
        </w:rPr>
        <w:t xml:space="preserve">מועד בו ניתנה החלטת </w:t>
      </w:r>
      <w:r w:rsidR="00592C88" w:rsidRPr="0013771F">
        <w:rPr>
          <w:rFonts w:cs="David"/>
          <w:b/>
          <w:bCs/>
          <w:u w:val="single"/>
          <w:rtl/>
        </w:rPr>
        <w:t>הגורם המוסמך</w:t>
      </w:r>
      <w:r w:rsidR="00592C88" w:rsidRPr="0013771F">
        <w:rPr>
          <w:rFonts w:cs="David"/>
          <w:rtl/>
        </w:rPr>
        <w:t xml:space="preserve"> על הפ</w:t>
      </w:r>
      <w:r w:rsidR="00CB2B5B" w:rsidRPr="0013771F">
        <w:rPr>
          <w:rFonts w:cs="David"/>
          <w:rtl/>
        </w:rPr>
        <w:t>סקת עבודתו</w:t>
      </w:r>
      <w:r w:rsidR="00BF63D3" w:rsidRPr="0013771F">
        <w:rPr>
          <w:rFonts w:cs="David"/>
          <w:rtl/>
        </w:rPr>
        <w:t xml:space="preserve"> והגורם המוסמך לקביעת גמלתו ותשלומה</w:t>
      </w:r>
      <w:r w:rsidR="00592C88" w:rsidRPr="0013771F">
        <w:rPr>
          <w:rFonts w:cs="David"/>
          <w:rtl/>
        </w:rPr>
        <w:t>.</w:t>
      </w:r>
      <w:r w:rsidR="00EE5402" w:rsidRPr="0013771F">
        <w:rPr>
          <w:rFonts w:cs="David"/>
          <w:rtl/>
        </w:rPr>
        <w:t xml:space="preserve"> </w:t>
      </w:r>
    </w:p>
    <w:p w:rsidR="002A1C7D" w:rsidRPr="00C66666" w:rsidRDefault="002A1C7D" w:rsidP="0013771F">
      <w:pPr>
        <w:pStyle w:val="a8"/>
        <w:numPr>
          <w:ilvl w:val="0"/>
          <w:numId w:val="9"/>
        </w:numPr>
        <w:tabs>
          <w:tab w:val="left" w:pos="674"/>
        </w:tabs>
        <w:spacing w:after="220" w:line="360" w:lineRule="auto"/>
        <w:ind w:left="674" w:hanging="630"/>
        <w:rPr>
          <w:rFonts w:cs="David"/>
        </w:rPr>
      </w:pPr>
      <w:r w:rsidRPr="00C66666">
        <w:rPr>
          <w:rFonts w:cs="David"/>
          <w:b/>
          <w:bCs/>
          <w:rtl/>
        </w:rPr>
        <w:t xml:space="preserve">טעה בית דין קמא בעניין ההחלטה על הפסקת עבודתו של המערער – </w:t>
      </w:r>
    </w:p>
    <w:p w:rsidR="002A1C7D" w:rsidRPr="0013771F" w:rsidRDefault="002A1C7D" w:rsidP="0013771F">
      <w:pPr>
        <w:pStyle w:val="a8"/>
        <w:numPr>
          <w:ilvl w:val="1"/>
          <w:numId w:val="9"/>
        </w:numPr>
        <w:tabs>
          <w:tab w:val="left" w:pos="1394"/>
        </w:tabs>
        <w:spacing w:after="220" w:line="360" w:lineRule="auto"/>
        <w:ind w:left="1394" w:hanging="630"/>
        <w:rPr>
          <w:rFonts w:cs="David"/>
        </w:rPr>
      </w:pPr>
      <w:r w:rsidRPr="00655EE8">
        <w:rPr>
          <w:rFonts w:cs="David"/>
          <w:rtl/>
        </w:rPr>
        <w:t xml:space="preserve">המערער יטען כי הגורם היחידי שמוסמך להחליט על סיום תפקידו הוא </w:t>
      </w:r>
      <w:r w:rsidRPr="00F65A30">
        <w:rPr>
          <w:rFonts w:cs="David"/>
          <w:b/>
          <w:bCs/>
          <w:u w:val="single"/>
          <w:rtl/>
        </w:rPr>
        <w:t>נצי</w:t>
      </w:r>
      <w:r w:rsidR="000C1CD1" w:rsidRPr="00F65A30">
        <w:rPr>
          <w:rFonts w:cs="David"/>
          <w:b/>
          <w:bCs/>
          <w:u w:val="single"/>
          <w:rtl/>
        </w:rPr>
        <w:t>ב</w:t>
      </w:r>
      <w:r w:rsidRPr="001A50DD">
        <w:rPr>
          <w:rFonts w:cs="David"/>
          <w:b/>
          <w:bCs/>
          <w:u w:val="single"/>
          <w:rtl/>
        </w:rPr>
        <w:t xml:space="preserve"> השירות</w:t>
      </w:r>
      <w:r w:rsidR="00C02D74" w:rsidRPr="0013771F">
        <w:rPr>
          <w:rFonts w:cs="David"/>
          <w:rtl/>
        </w:rPr>
        <w:t xml:space="preserve"> (שהחלטתו במקרה של המערער ניתנה בניגוד לדין)</w:t>
      </w:r>
      <w:r w:rsidR="0025300E" w:rsidRPr="0013771F">
        <w:rPr>
          <w:rFonts w:cs="David"/>
          <w:rtl/>
        </w:rPr>
        <w:t>, כאמור בסעיף 4 לחוזה הבכירים ובהתאם לחוק</w:t>
      </w:r>
      <w:r w:rsidRPr="0013771F">
        <w:rPr>
          <w:rFonts w:cs="David"/>
          <w:rtl/>
        </w:rPr>
        <w:t xml:space="preserve">. לפיכך, המכתב של החשבת הכללית דאז </w:t>
      </w:r>
      <w:r w:rsidR="0073441D" w:rsidRPr="0013771F">
        <w:rPr>
          <w:rFonts w:cs="David"/>
          <w:rtl/>
        </w:rPr>
        <w:t>מיום ה-5 ל</w:t>
      </w:r>
      <w:r w:rsidRPr="00C66666">
        <w:rPr>
          <w:rFonts w:cs="David"/>
          <w:rtl/>
        </w:rPr>
        <w:t xml:space="preserve">חודש אוגוסט 2012 </w:t>
      </w:r>
      <w:r w:rsidR="00E126B3" w:rsidRPr="00655EE8">
        <w:rPr>
          <w:rFonts w:cs="David"/>
          <w:rtl/>
        </w:rPr>
        <w:t>ש</w:t>
      </w:r>
      <w:r w:rsidR="004A5F15" w:rsidRPr="00F65A30">
        <w:rPr>
          <w:rFonts w:cs="David"/>
          <w:rtl/>
        </w:rPr>
        <w:t xml:space="preserve">בפועל </w:t>
      </w:r>
      <w:r w:rsidR="00E126B3" w:rsidRPr="00F65A30">
        <w:rPr>
          <w:rFonts w:cs="David"/>
          <w:b/>
          <w:bCs/>
          <w:rtl/>
        </w:rPr>
        <w:t>רק מבטלת את סמכויותיו כחשב להתחייב בשם המדינה</w:t>
      </w:r>
      <w:r w:rsidR="00E126B3" w:rsidRPr="001A50DD">
        <w:rPr>
          <w:rFonts w:cs="David"/>
          <w:rtl/>
        </w:rPr>
        <w:t xml:space="preserve">, </w:t>
      </w:r>
      <w:r w:rsidRPr="0013771F">
        <w:rPr>
          <w:rFonts w:cs="David"/>
          <w:rtl/>
        </w:rPr>
        <w:t xml:space="preserve">לא </w:t>
      </w:r>
      <w:r w:rsidR="0073441D" w:rsidRPr="0013771F">
        <w:rPr>
          <w:rFonts w:cs="David"/>
          <w:rtl/>
        </w:rPr>
        <w:t>היה מסמך של הפס</w:t>
      </w:r>
      <w:r w:rsidRPr="0013771F">
        <w:rPr>
          <w:rFonts w:cs="David"/>
          <w:rtl/>
        </w:rPr>
        <w:t>ק</w:t>
      </w:r>
      <w:r w:rsidR="0073441D" w:rsidRPr="0013771F">
        <w:rPr>
          <w:rFonts w:cs="David"/>
          <w:rtl/>
        </w:rPr>
        <w:t>ת</w:t>
      </w:r>
      <w:r w:rsidRPr="0013771F">
        <w:rPr>
          <w:rFonts w:cs="David"/>
          <w:rtl/>
        </w:rPr>
        <w:t xml:space="preserve"> עבודתו.</w:t>
      </w:r>
    </w:p>
    <w:p w:rsidR="002A1C7D" w:rsidRPr="00916E11" w:rsidRDefault="002A1C7D" w:rsidP="00EB6DB8">
      <w:pPr>
        <w:pStyle w:val="a8"/>
        <w:numPr>
          <w:ilvl w:val="1"/>
          <w:numId w:val="9"/>
        </w:numPr>
        <w:tabs>
          <w:tab w:val="left" w:pos="1394"/>
        </w:tabs>
        <w:spacing w:after="220" w:line="360" w:lineRule="auto"/>
        <w:ind w:left="1394" w:hanging="630"/>
        <w:rPr>
          <w:rFonts w:cs="David"/>
        </w:rPr>
      </w:pPr>
      <w:r w:rsidRPr="009A6853">
        <w:rPr>
          <w:rFonts w:cs="David"/>
          <w:rtl/>
        </w:rPr>
        <w:lastRenderedPageBreak/>
        <w:t>המערער יוסיף ויטען כי קביעתו השגויה של בית הדין קמא</w:t>
      </w:r>
      <w:r w:rsidR="00BF63D3" w:rsidRPr="009A6853">
        <w:rPr>
          <w:rFonts w:cs="David"/>
          <w:rtl/>
        </w:rPr>
        <w:t xml:space="preserve"> </w:t>
      </w:r>
      <w:r w:rsidRPr="009A6853">
        <w:rPr>
          <w:rFonts w:cs="David"/>
          <w:rtl/>
        </w:rPr>
        <w:t xml:space="preserve">כי </w:t>
      </w:r>
      <w:r w:rsidR="00CC0702" w:rsidRPr="009A6853">
        <w:rPr>
          <w:rFonts w:cs="David"/>
          <w:rtl/>
        </w:rPr>
        <w:t xml:space="preserve">ממועד מכתבה של החשבת </w:t>
      </w:r>
      <w:r w:rsidR="00CC0702" w:rsidRPr="00916E11">
        <w:rPr>
          <w:rFonts w:cs="David"/>
          <w:rtl/>
        </w:rPr>
        <w:t>הכללית</w:t>
      </w:r>
      <w:r w:rsidR="0092761A" w:rsidRPr="00916E11">
        <w:rPr>
          <w:rFonts w:cs="David"/>
          <w:rtl/>
        </w:rPr>
        <w:t xml:space="preserve"> </w:t>
      </w:r>
      <w:r w:rsidRPr="00916E11">
        <w:rPr>
          <w:rFonts w:cs="David"/>
          <w:rtl/>
        </w:rPr>
        <w:t xml:space="preserve">קמה עילת התביעה </w:t>
      </w:r>
      <w:r w:rsidR="009A6853" w:rsidRPr="00916E11">
        <w:rPr>
          <w:rFonts w:cs="David"/>
          <w:rtl/>
        </w:rPr>
        <w:t>(</w:t>
      </w:r>
      <w:r w:rsidR="00916E11">
        <w:rPr>
          <w:rFonts w:cs="David"/>
          <w:i/>
          <w:iCs/>
          <w:rtl/>
        </w:rPr>
        <w:t>סעיף 27 לפסק הדין</w:t>
      </w:r>
      <w:r w:rsidR="009A6853" w:rsidRPr="00916E11">
        <w:rPr>
          <w:rFonts w:cs="David"/>
          <w:rtl/>
        </w:rPr>
        <w:t>)</w:t>
      </w:r>
      <w:r w:rsidR="0092761A" w:rsidRPr="00916E11">
        <w:rPr>
          <w:rFonts w:cs="David"/>
          <w:rtl/>
        </w:rPr>
        <w:t xml:space="preserve"> </w:t>
      </w:r>
      <w:r w:rsidRPr="00916E11">
        <w:rPr>
          <w:rFonts w:cs="David"/>
          <w:rtl/>
        </w:rPr>
        <w:t xml:space="preserve">אינה הגיונית, בכל הכבוד, שכן </w:t>
      </w:r>
      <w:r w:rsidR="00CC0702" w:rsidRPr="00916E11">
        <w:rPr>
          <w:rFonts w:cs="David"/>
          <w:rtl/>
        </w:rPr>
        <w:t>ה</w:t>
      </w:r>
      <w:r w:rsidRPr="00916E11">
        <w:rPr>
          <w:rFonts w:cs="David"/>
          <w:rtl/>
        </w:rPr>
        <w:t xml:space="preserve">נציבות שחתומה על החוזה, </w:t>
      </w:r>
      <w:r w:rsidR="00CC0702" w:rsidRPr="00916E11">
        <w:rPr>
          <w:rFonts w:cs="David"/>
          <w:rtl/>
        </w:rPr>
        <w:t>לא הפסיקה את עבודתו</w:t>
      </w:r>
      <w:r w:rsidR="00BF63D3" w:rsidRPr="00916E11">
        <w:rPr>
          <w:rFonts w:cs="David"/>
          <w:rtl/>
        </w:rPr>
        <w:t xml:space="preserve"> בחודש אוגוסט 2012, והמערער </w:t>
      </w:r>
      <w:r w:rsidRPr="00916E11">
        <w:rPr>
          <w:rFonts w:cs="David"/>
          <w:rtl/>
        </w:rPr>
        <w:t xml:space="preserve">לא יכול היה לתבוע </w:t>
      </w:r>
      <w:r w:rsidR="00CC0702" w:rsidRPr="00916E11">
        <w:rPr>
          <w:rFonts w:cs="David"/>
          <w:rtl/>
        </w:rPr>
        <w:t>ללא החלטתה</w:t>
      </w:r>
      <w:r w:rsidRPr="00916E11">
        <w:rPr>
          <w:rFonts w:cs="David"/>
          <w:rtl/>
        </w:rPr>
        <w:t>.</w:t>
      </w:r>
    </w:p>
    <w:p w:rsidR="009A6853" w:rsidRPr="00916E11" w:rsidRDefault="002A1C7D" w:rsidP="0013771F">
      <w:pPr>
        <w:pStyle w:val="a8"/>
        <w:numPr>
          <w:ilvl w:val="1"/>
          <w:numId w:val="9"/>
        </w:numPr>
        <w:tabs>
          <w:tab w:val="left" w:pos="1394"/>
        </w:tabs>
        <w:spacing w:after="220" w:line="360" w:lineRule="auto"/>
        <w:ind w:left="1394" w:hanging="630"/>
        <w:rPr>
          <w:rFonts w:cs="David"/>
        </w:rPr>
      </w:pPr>
      <w:r w:rsidRPr="00916E11">
        <w:rPr>
          <w:rFonts w:cs="David"/>
          <w:b/>
          <w:bCs/>
          <w:rtl/>
        </w:rPr>
        <w:t xml:space="preserve">לכן, </w:t>
      </w:r>
      <w:r w:rsidR="00EE5402" w:rsidRPr="00916E11">
        <w:rPr>
          <w:rFonts w:cs="David"/>
          <w:b/>
          <w:bCs/>
          <w:rtl/>
        </w:rPr>
        <w:t>עילת התביעה לא התגבשה לפני ש</w:t>
      </w:r>
      <w:r w:rsidRPr="00916E11">
        <w:rPr>
          <w:rFonts w:cs="David"/>
          <w:b/>
          <w:bCs/>
          <w:rtl/>
        </w:rPr>
        <w:t xml:space="preserve">הגורם המוסמך הודיע על סיום </w:t>
      </w:r>
      <w:r w:rsidR="00956C59" w:rsidRPr="00916E11">
        <w:rPr>
          <w:rFonts w:cs="David"/>
          <w:b/>
          <w:bCs/>
          <w:rtl/>
        </w:rPr>
        <w:t>העסקתו</w:t>
      </w:r>
      <w:r w:rsidRPr="00916E11">
        <w:rPr>
          <w:rFonts w:cs="David"/>
          <w:b/>
          <w:bCs/>
          <w:rtl/>
        </w:rPr>
        <w:t>.</w:t>
      </w:r>
      <w:r w:rsidR="009A6853" w:rsidRPr="00916E11">
        <w:rPr>
          <w:rFonts w:cs="David"/>
          <w:b/>
          <w:bCs/>
          <w:rtl/>
        </w:rPr>
        <w:t xml:space="preserve">    </w:t>
      </w:r>
    </w:p>
    <w:p w:rsidR="002A1C7D" w:rsidRPr="00916E11" w:rsidRDefault="009A6853" w:rsidP="00916E11">
      <w:pPr>
        <w:pStyle w:val="a8"/>
        <w:numPr>
          <w:ilvl w:val="1"/>
          <w:numId w:val="9"/>
        </w:numPr>
        <w:tabs>
          <w:tab w:val="left" w:pos="1394"/>
        </w:tabs>
        <w:spacing w:after="220" w:line="360" w:lineRule="auto"/>
        <w:ind w:left="1394" w:hanging="630"/>
        <w:rPr>
          <w:rFonts w:cs="David"/>
        </w:rPr>
      </w:pPr>
      <w:r w:rsidRPr="00916E11">
        <w:rPr>
          <w:rFonts w:cs="David"/>
          <w:rtl/>
        </w:rPr>
        <w:t>נעיר עוד</w:t>
      </w:r>
      <w:r w:rsidR="00916E11" w:rsidRPr="00916E11">
        <w:rPr>
          <w:rFonts w:cs="David"/>
          <w:rtl/>
        </w:rPr>
        <w:t>, בכל הכבוד,</w:t>
      </w:r>
      <w:r w:rsidRPr="00916E11">
        <w:rPr>
          <w:rFonts w:cs="David"/>
          <w:rtl/>
        </w:rPr>
        <w:t xml:space="preserve"> </w:t>
      </w:r>
      <w:r w:rsidR="00893B87" w:rsidRPr="00916E11">
        <w:rPr>
          <w:rFonts w:cs="David"/>
          <w:rtl/>
        </w:rPr>
        <w:t xml:space="preserve">כי בכל מקרה, </w:t>
      </w:r>
      <w:r w:rsidRPr="00916E11">
        <w:rPr>
          <w:rFonts w:cs="David"/>
          <w:rtl/>
        </w:rPr>
        <w:t>בית הדין קמא טעה גם בקביעתו כי מרוץ ההתיישנות החל במועד האמור, 5.8.2012, משום שבתי הדין היו בפגרה באותו מועד.</w:t>
      </w:r>
    </w:p>
    <w:p w:rsidR="002A1C7D" w:rsidRPr="000B11C2" w:rsidRDefault="002A1C7D" w:rsidP="0013771F">
      <w:pPr>
        <w:pStyle w:val="a8"/>
        <w:numPr>
          <w:ilvl w:val="0"/>
          <w:numId w:val="9"/>
        </w:numPr>
        <w:tabs>
          <w:tab w:val="left" w:pos="674"/>
        </w:tabs>
        <w:spacing w:after="220" w:line="360" w:lineRule="auto"/>
        <w:ind w:left="674" w:hanging="630"/>
        <w:rPr>
          <w:rFonts w:cs="David"/>
        </w:rPr>
      </w:pPr>
      <w:r w:rsidRPr="000B11C2">
        <w:rPr>
          <w:rFonts w:cs="David"/>
          <w:b/>
          <w:bCs/>
          <w:rtl/>
        </w:rPr>
        <w:t xml:space="preserve">טעה בית דין קמא כאשר התעלם ממכלול העובדות המקימות את עילת התביעה – </w:t>
      </w:r>
    </w:p>
    <w:p w:rsidR="002A1C7D" w:rsidRPr="000B11C2" w:rsidRDefault="002A1C7D" w:rsidP="0013771F">
      <w:pPr>
        <w:pStyle w:val="a8"/>
        <w:numPr>
          <w:ilvl w:val="1"/>
          <w:numId w:val="9"/>
        </w:numPr>
        <w:tabs>
          <w:tab w:val="left" w:pos="1394"/>
        </w:tabs>
        <w:spacing w:after="220" w:line="360" w:lineRule="auto"/>
        <w:ind w:left="1394" w:hanging="630"/>
        <w:rPr>
          <w:rFonts w:cs="David"/>
        </w:rPr>
      </w:pPr>
      <w:r w:rsidRPr="000B11C2">
        <w:rPr>
          <w:rFonts w:cs="David"/>
          <w:rtl/>
        </w:rPr>
        <w:t>המערער יוסיף ויטען סיום עבודה של עובד מדינה, בוודאי לאחר כארבעים ושתיים שנות עבודה, מביאה לשורת התרחשויות הקשורות זו בזאת, ואשר לא ניתן לנתקן, ובעיקר הכוונה לתשלום הגמלה המגיע</w:t>
      </w:r>
      <w:r w:rsidR="003344EF" w:rsidRPr="000B11C2">
        <w:rPr>
          <w:rFonts w:cs="David"/>
          <w:rtl/>
        </w:rPr>
        <w:t>ה</w:t>
      </w:r>
      <w:r w:rsidRPr="000B11C2">
        <w:rPr>
          <w:rFonts w:cs="David"/>
          <w:rtl/>
        </w:rPr>
        <w:t xml:space="preserve"> לעובד מדינה הפרוש לגמלאות. </w:t>
      </w:r>
    </w:p>
    <w:p w:rsidR="002A1C7D" w:rsidRPr="000B11C2" w:rsidRDefault="002A1C7D" w:rsidP="0013771F">
      <w:pPr>
        <w:pStyle w:val="a8"/>
        <w:numPr>
          <w:ilvl w:val="1"/>
          <w:numId w:val="9"/>
        </w:numPr>
        <w:tabs>
          <w:tab w:val="left" w:pos="1394"/>
        </w:tabs>
        <w:spacing w:after="220" w:line="360" w:lineRule="auto"/>
        <w:ind w:left="1394" w:hanging="630"/>
        <w:rPr>
          <w:rFonts w:cs="David"/>
          <w:rtl/>
        </w:rPr>
      </w:pPr>
      <w:r w:rsidRPr="000B11C2">
        <w:rPr>
          <w:rFonts w:cs="David"/>
          <w:rtl/>
        </w:rPr>
        <w:t xml:space="preserve">בכל הכבוד, הקביעה </w:t>
      </w:r>
      <w:r w:rsidR="000C1CD1" w:rsidRPr="000B11C2">
        <w:rPr>
          <w:rFonts w:cs="David"/>
          <w:rtl/>
        </w:rPr>
        <w:t xml:space="preserve">של בית הדין קמא בסעיף 27 לפסק הדין, </w:t>
      </w:r>
      <w:r w:rsidRPr="000B11C2">
        <w:rPr>
          <w:rFonts w:cs="David"/>
          <w:rtl/>
        </w:rPr>
        <w:t>כי כבר ביום 5.8.12 "</w:t>
      </w:r>
      <w:r w:rsidRPr="000B11C2">
        <w:rPr>
          <w:rFonts w:cs="David"/>
          <w:i/>
          <w:iCs/>
          <w:rtl/>
        </w:rPr>
        <w:t xml:space="preserve">השתכלל </w:t>
      </w:r>
      <w:r w:rsidR="000C1CD1" w:rsidRPr="000B11C2">
        <w:rPr>
          <w:rFonts w:cs="David"/>
          <w:i/>
          <w:iCs/>
          <w:rtl/>
        </w:rPr>
        <w:t xml:space="preserve">בידיו </w:t>
      </w:r>
      <w:r w:rsidRPr="000B11C2">
        <w:rPr>
          <w:rFonts w:cs="David"/>
          <w:i/>
          <w:iCs/>
          <w:rtl/>
        </w:rPr>
        <w:t>כוח תביעה</w:t>
      </w:r>
      <w:r w:rsidR="000C1CD1" w:rsidRPr="000B11C2">
        <w:rPr>
          <w:rFonts w:cs="David"/>
          <w:i/>
          <w:iCs/>
          <w:rtl/>
        </w:rPr>
        <w:t xml:space="preserve"> קונקרטי</w:t>
      </w:r>
      <w:r w:rsidRPr="000B11C2">
        <w:rPr>
          <w:rFonts w:cs="David"/>
          <w:i/>
          <w:iCs/>
          <w:rtl/>
        </w:rPr>
        <w:t xml:space="preserve"> והתגבשה עילת </w:t>
      </w:r>
      <w:r w:rsidR="000C1CD1" w:rsidRPr="000B11C2">
        <w:rPr>
          <w:rFonts w:cs="David"/>
          <w:i/>
          <w:iCs/>
          <w:rtl/>
        </w:rPr>
        <w:t>תביעתו</w:t>
      </w:r>
      <w:r w:rsidRPr="000B11C2">
        <w:rPr>
          <w:rFonts w:cs="David"/>
          <w:rtl/>
        </w:rPr>
        <w:t>" לצורך התיישנות, יוצרת הפרדה מלאכותית בין רכיבי הפרישה השונים. המערער יטען כי לא ניתן להפריד בין רכיבים אלה, ויש לקחת בחשבון את "</w:t>
      </w:r>
      <w:r w:rsidRPr="000B11C2">
        <w:rPr>
          <w:rFonts w:cs="David"/>
          <w:b/>
          <w:bCs/>
          <w:rtl/>
        </w:rPr>
        <w:t xml:space="preserve">מכלול העובדות והמהותיות המולידות את הזכות לסעד". </w:t>
      </w:r>
      <w:r w:rsidRPr="000B11C2">
        <w:rPr>
          <w:rFonts w:cs="David"/>
          <w:rtl/>
        </w:rPr>
        <w:t>ראו סעיף 24 לפסק הדין המפנה לפסק הדין בעניין אפרידר - רע"א 6774/19 ‏</w:t>
      </w:r>
      <w:r w:rsidRPr="000B11C2">
        <w:rPr>
          <w:rFonts w:cs="David"/>
          <w:b/>
          <w:bCs/>
          <w:rtl/>
        </w:rPr>
        <w:t>אפרידר החברה לשיכון ופיתוח לישראל בע"מ נ' עיריית ראש העין</w:t>
      </w:r>
      <w:r w:rsidRPr="000B11C2">
        <w:rPr>
          <w:rFonts w:cs="David"/>
          <w:rtl/>
        </w:rPr>
        <w:t xml:space="preserve"> (16.4.2020);</w:t>
      </w:r>
    </w:p>
    <w:p w:rsidR="002A1C7D" w:rsidRPr="00C66666" w:rsidRDefault="002A1C7D" w:rsidP="0013771F">
      <w:pPr>
        <w:pStyle w:val="a8"/>
        <w:numPr>
          <w:ilvl w:val="1"/>
          <w:numId w:val="9"/>
        </w:numPr>
        <w:tabs>
          <w:tab w:val="left" w:pos="1394"/>
        </w:tabs>
        <w:spacing w:after="220" w:line="360" w:lineRule="auto"/>
        <w:ind w:left="1394" w:hanging="630"/>
        <w:rPr>
          <w:rFonts w:cs="David"/>
        </w:rPr>
      </w:pPr>
      <w:r w:rsidRPr="00C66666">
        <w:rPr>
          <w:rFonts w:cs="David"/>
          <w:rtl/>
        </w:rPr>
        <w:t>לפיכך, וכאשר בוחנים את מכלול העובדות –</w:t>
      </w:r>
      <w:r w:rsidR="0032400B" w:rsidRPr="00C66666">
        <w:rPr>
          <w:rFonts w:cs="David"/>
          <w:rtl/>
        </w:rPr>
        <w:t xml:space="preserve"> העילה לא התגבשה ל</w:t>
      </w:r>
      <w:r w:rsidR="0032400B" w:rsidRPr="00F61C52">
        <w:rPr>
          <w:rFonts w:cs="David"/>
          <w:rtl/>
        </w:rPr>
        <w:t>פני שהמערער התחיל לקבל גמלה, ולמצער – המועד בו ניתנה לו ההודע</w:t>
      </w:r>
      <w:r w:rsidR="0032400B" w:rsidRPr="00655EE8">
        <w:rPr>
          <w:rFonts w:cs="David"/>
          <w:rtl/>
        </w:rPr>
        <w:t>ה על הגמלה שחל בחודש דצמבר 2012.</w:t>
      </w:r>
      <w:r w:rsidR="0032400B" w:rsidRPr="00F65A30">
        <w:rPr>
          <w:rFonts w:cs="David"/>
          <w:b/>
          <w:bCs/>
          <w:rtl/>
        </w:rPr>
        <w:t xml:space="preserve">  </w:t>
      </w:r>
      <w:r w:rsidR="0032400B" w:rsidRPr="001A50DD">
        <w:rPr>
          <w:rFonts w:cs="David"/>
          <w:rtl/>
        </w:rPr>
        <w:t>ברור לכן שמרוץ ההת</w:t>
      </w:r>
      <w:r w:rsidR="00C66666">
        <w:rPr>
          <w:rFonts w:cs="David"/>
          <w:rtl/>
        </w:rPr>
        <w:t>י</w:t>
      </w:r>
      <w:r w:rsidR="0032400B" w:rsidRPr="0013771F">
        <w:rPr>
          <w:rFonts w:cs="David"/>
          <w:rtl/>
        </w:rPr>
        <w:t>ישנות  לא החל</w:t>
      </w:r>
      <w:r w:rsidR="0032400B" w:rsidRPr="00C66666">
        <w:rPr>
          <w:rFonts w:cs="David"/>
          <w:rtl/>
        </w:rPr>
        <w:t xml:space="preserve"> ב-</w:t>
      </w:r>
      <w:r w:rsidR="00BF63D3" w:rsidRPr="00C66666">
        <w:rPr>
          <w:rFonts w:cs="David"/>
          <w:rtl/>
        </w:rPr>
        <w:t>5.8.2012</w:t>
      </w:r>
      <w:r w:rsidRPr="00F61C52">
        <w:rPr>
          <w:rFonts w:cs="David"/>
          <w:rtl/>
        </w:rPr>
        <w:t xml:space="preserve"> </w:t>
      </w:r>
      <w:r w:rsidR="0032400B" w:rsidRPr="00F61C52">
        <w:rPr>
          <w:rFonts w:cs="David"/>
          <w:rtl/>
        </w:rPr>
        <w:t>כש</w:t>
      </w:r>
      <w:r w:rsidR="00370459" w:rsidRPr="00F61C52">
        <w:rPr>
          <w:rFonts w:cs="David"/>
          <w:rtl/>
        </w:rPr>
        <w:t xml:space="preserve">עדיין </w:t>
      </w:r>
      <w:r w:rsidRPr="00F61C52">
        <w:rPr>
          <w:rFonts w:cs="David"/>
          <w:rtl/>
        </w:rPr>
        <w:t xml:space="preserve">לא </w:t>
      </w:r>
      <w:r w:rsidR="00370459" w:rsidRPr="00F61C52">
        <w:rPr>
          <w:rFonts w:cs="David"/>
          <w:rtl/>
        </w:rPr>
        <w:t xml:space="preserve">התגבשה ולא </w:t>
      </w:r>
      <w:r w:rsidRPr="00F61C52">
        <w:rPr>
          <w:rFonts w:cs="David"/>
          <w:rtl/>
        </w:rPr>
        <w:t>קמה עילה ל</w:t>
      </w:r>
      <w:r w:rsidR="00BF63D3" w:rsidRPr="00F61C52">
        <w:rPr>
          <w:rFonts w:cs="David"/>
          <w:rtl/>
        </w:rPr>
        <w:t>תביעה</w:t>
      </w:r>
      <w:r w:rsidR="0032400B" w:rsidRPr="0013771F">
        <w:rPr>
          <w:rFonts w:cs="David"/>
          <w:rtl/>
        </w:rPr>
        <w:t>.</w:t>
      </w:r>
      <w:r w:rsidR="00BF63D3" w:rsidRPr="00C66666">
        <w:rPr>
          <w:rFonts w:cs="David"/>
          <w:rtl/>
        </w:rPr>
        <w:t xml:space="preserve"> </w:t>
      </w:r>
    </w:p>
    <w:p w:rsidR="00F60482" w:rsidRPr="0013771F" w:rsidRDefault="002A1C7D" w:rsidP="0013771F">
      <w:pPr>
        <w:pStyle w:val="a8"/>
        <w:numPr>
          <w:ilvl w:val="0"/>
          <w:numId w:val="9"/>
        </w:numPr>
        <w:tabs>
          <w:tab w:val="left" w:pos="674"/>
        </w:tabs>
        <w:spacing w:after="220" w:line="360" w:lineRule="auto"/>
        <w:ind w:left="728" w:hanging="630"/>
        <w:rPr>
          <w:rFonts w:cs="David"/>
        </w:rPr>
      </w:pPr>
      <w:r w:rsidRPr="000B11C2">
        <w:rPr>
          <w:rFonts w:cs="David"/>
          <w:b/>
          <w:bCs/>
          <w:rtl/>
        </w:rPr>
        <w:t xml:space="preserve">טעה בית דין קמא כאשר התעלם מהחובה למיצוי הליכים – </w:t>
      </w:r>
    </w:p>
    <w:p w:rsidR="000B11C2" w:rsidRDefault="00220A08" w:rsidP="0013771F">
      <w:pPr>
        <w:pStyle w:val="a8"/>
        <w:tabs>
          <w:tab w:val="left" w:pos="674"/>
        </w:tabs>
        <w:spacing w:after="220" w:line="360" w:lineRule="auto"/>
        <w:ind w:left="728"/>
        <w:rPr>
          <w:rFonts w:cs="David"/>
        </w:rPr>
      </w:pPr>
      <w:r w:rsidRPr="000B11C2">
        <w:rPr>
          <w:rFonts w:cs="David"/>
          <w:rtl/>
        </w:rPr>
        <w:t>מבלי לגרוע מהטענה כי רק במועד שבו הופרש המערער לגמלאות קמה זכות התביעה, יטען המערער כי למעשה לא היה יכול להגיש תביעתו כבר בחודש אוגוסט 2012, שכן מיד היתה עולה נגדו טענה על אי מיצוי הליכים. המערער פנה במועד ורק לאחר עיכוב ממושך קיבל תשובה</w:t>
      </w:r>
      <w:r w:rsidR="000B11C2" w:rsidRPr="000B11C2">
        <w:rPr>
          <w:rFonts w:cs="David"/>
          <w:rtl/>
        </w:rPr>
        <w:t xml:space="preserve">. </w:t>
      </w:r>
    </w:p>
    <w:p w:rsidR="00086099" w:rsidRPr="000B11C2" w:rsidRDefault="000B11C2" w:rsidP="0013771F">
      <w:pPr>
        <w:pStyle w:val="a8"/>
        <w:tabs>
          <w:tab w:val="left" w:pos="674"/>
        </w:tabs>
        <w:spacing w:after="220" w:line="360" w:lineRule="auto"/>
        <w:ind w:left="98"/>
        <w:rPr>
          <w:rFonts w:cs="David"/>
        </w:rPr>
      </w:pPr>
      <w:r w:rsidRPr="000B11C2">
        <w:rPr>
          <w:rFonts w:cs="David"/>
          <w:b/>
          <w:bCs/>
          <w:u w:val="single"/>
          <w:rtl/>
        </w:rPr>
        <w:t>למצער</w:t>
      </w:r>
      <w:r w:rsidRPr="000B11C2">
        <w:rPr>
          <w:rFonts w:cs="David"/>
          <w:rtl/>
        </w:rPr>
        <w:t xml:space="preserve"> </w:t>
      </w:r>
      <w:r>
        <w:rPr>
          <w:rFonts w:cs="David"/>
          <w:rtl/>
        </w:rPr>
        <w:t xml:space="preserve">- </w:t>
      </w:r>
      <w:r w:rsidR="00086099" w:rsidRPr="000B11C2">
        <w:rPr>
          <w:rFonts w:cs="David"/>
          <w:rtl/>
        </w:rPr>
        <w:t>המערער יטען</w:t>
      </w:r>
      <w:r>
        <w:rPr>
          <w:rFonts w:cs="David"/>
          <w:rtl/>
        </w:rPr>
        <w:t xml:space="preserve"> </w:t>
      </w:r>
      <w:r w:rsidR="00086099" w:rsidRPr="000B11C2">
        <w:rPr>
          <w:rFonts w:cs="David"/>
          <w:rtl/>
        </w:rPr>
        <w:t xml:space="preserve">כי יש לראות את המועד בו </w:t>
      </w:r>
      <w:r w:rsidR="00086099" w:rsidRPr="000B11C2">
        <w:rPr>
          <w:rFonts w:ascii="David" w:hAnsi="David" w:cs="David"/>
          <w:rtl/>
        </w:rPr>
        <w:t xml:space="preserve">התקבלה תשובת משרד האוצר, </w:t>
      </w:r>
      <w:r w:rsidR="00086099" w:rsidRPr="000B11C2">
        <w:rPr>
          <w:rFonts w:ascii="David" w:hAnsi="David" w:cs="David"/>
          <w:b/>
          <w:bCs/>
          <w:rtl/>
        </w:rPr>
        <w:t xml:space="preserve">ביום 24.10.2012, </w:t>
      </w:r>
      <w:r w:rsidR="00086099" w:rsidRPr="000B11C2">
        <w:rPr>
          <w:rFonts w:ascii="David" w:hAnsi="David" w:cs="David"/>
          <w:rtl/>
        </w:rPr>
        <w:t>כמועד שבו החל מירוץ</w:t>
      </w:r>
      <w:r w:rsidR="00CC0702" w:rsidRPr="000B11C2">
        <w:rPr>
          <w:rFonts w:ascii="David" w:hAnsi="David" w:cs="David"/>
          <w:rtl/>
        </w:rPr>
        <w:t xml:space="preserve"> ההתיישנות, כאשר </w:t>
      </w:r>
      <w:r w:rsidR="00EE5402" w:rsidRPr="000B11C2">
        <w:rPr>
          <w:rFonts w:ascii="David" w:hAnsi="David" w:cs="David"/>
          <w:rtl/>
        </w:rPr>
        <w:t>גם במקרה זה המערער לא איחר בהגשת התביעה</w:t>
      </w:r>
      <w:r w:rsidR="00EE5402" w:rsidRPr="000B11C2">
        <w:rPr>
          <w:rFonts w:cs="David"/>
          <w:rtl/>
        </w:rPr>
        <w:t>.</w:t>
      </w:r>
    </w:p>
    <w:p w:rsidR="00F60482" w:rsidRDefault="00086099" w:rsidP="0013771F">
      <w:pPr>
        <w:pStyle w:val="a8"/>
        <w:numPr>
          <w:ilvl w:val="0"/>
          <w:numId w:val="9"/>
        </w:numPr>
        <w:tabs>
          <w:tab w:val="left" w:pos="674"/>
        </w:tabs>
        <w:spacing w:after="220" w:line="360" w:lineRule="auto"/>
        <w:ind w:left="674" w:hanging="630"/>
        <w:rPr>
          <w:rFonts w:cs="David"/>
        </w:rPr>
      </w:pPr>
      <w:r w:rsidRPr="000B11C2">
        <w:rPr>
          <w:rFonts w:cs="David"/>
          <w:b/>
          <w:bCs/>
          <w:rtl/>
        </w:rPr>
        <w:t>זכות הגישה לערכאות מחייבת מתן הזדמנות למערער להעלות את טענות</w:t>
      </w:r>
      <w:r w:rsidR="00166E74" w:rsidRPr="000B11C2">
        <w:rPr>
          <w:rFonts w:cs="David"/>
          <w:b/>
          <w:bCs/>
          <w:rtl/>
        </w:rPr>
        <w:t>י</w:t>
      </w:r>
      <w:r w:rsidRPr="000B11C2">
        <w:rPr>
          <w:rFonts w:cs="David"/>
          <w:b/>
          <w:bCs/>
          <w:rtl/>
        </w:rPr>
        <w:t xml:space="preserve">ו </w:t>
      </w:r>
      <w:r w:rsidR="00F60482">
        <w:rPr>
          <w:rFonts w:cs="David"/>
          <w:rtl/>
        </w:rPr>
        <w:t>–</w:t>
      </w:r>
      <w:r w:rsidRPr="000B11C2">
        <w:rPr>
          <w:rFonts w:cs="David"/>
          <w:rtl/>
        </w:rPr>
        <w:t xml:space="preserve"> </w:t>
      </w:r>
    </w:p>
    <w:p w:rsidR="0025300E" w:rsidRPr="000B11C2" w:rsidRDefault="00220A08" w:rsidP="0013771F">
      <w:pPr>
        <w:pStyle w:val="a8"/>
        <w:tabs>
          <w:tab w:val="left" w:pos="674"/>
        </w:tabs>
        <w:spacing w:after="220" w:line="360" w:lineRule="auto"/>
        <w:ind w:left="674"/>
        <w:rPr>
          <w:rFonts w:cs="David"/>
        </w:rPr>
      </w:pPr>
      <w:r w:rsidRPr="000B11C2">
        <w:rPr>
          <w:rFonts w:cs="David"/>
          <w:rtl/>
        </w:rPr>
        <w:t>המערער יוסיף ויטען כי טעה בית הדין קמא כאשר לא נתן משקל מספיק לכך שמשמעות החלטתו היא מניעת זכות הגישה של המערער לערכאות בעניין שבו ברור שהמדינה לא פעלה בהתאם להוראות החוזה שהיא עצמה ניסחה. המערער יוסיף ויטען כי במקרה זה, שבו לכל היותר עשויה להיות מחלוקת בעניין המועד האחרון להגשת התובענה, היה מקום לייחס חשיבות לזכות הגישה לערכאות, שהיא זכות חוקתית, ולהכריע לטובת המערער, בהתאם להוראות חוזה בכירים שאותו ניסחה המדינה.</w:t>
      </w:r>
    </w:p>
    <w:p w:rsidR="00F60482" w:rsidRDefault="00F60482" w:rsidP="0013771F">
      <w:pPr>
        <w:pStyle w:val="a8"/>
        <w:tabs>
          <w:tab w:val="left" w:pos="674"/>
        </w:tabs>
        <w:spacing w:after="220" w:line="360" w:lineRule="auto"/>
        <w:rPr>
          <w:rFonts w:cs="David"/>
          <w:b/>
          <w:bCs/>
          <w:u w:val="single"/>
          <w:rtl/>
        </w:rPr>
      </w:pPr>
    </w:p>
    <w:p w:rsidR="002A1C7D" w:rsidRPr="000B11C2" w:rsidRDefault="002A1C7D" w:rsidP="0013771F">
      <w:pPr>
        <w:pStyle w:val="a8"/>
        <w:tabs>
          <w:tab w:val="left" w:pos="674"/>
        </w:tabs>
        <w:spacing w:after="220" w:line="360" w:lineRule="auto"/>
        <w:rPr>
          <w:rFonts w:cs="David"/>
          <w:b/>
          <w:bCs/>
        </w:rPr>
      </w:pPr>
      <w:r w:rsidRPr="000B11C2">
        <w:rPr>
          <w:rFonts w:cs="David"/>
          <w:b/>
          <w:bCs/>
          <w:u w:val="single"/>
          <w:rtl/>
        </w:rPr>
        <w:lastRenderedPageBreak/>
        <w:t xml:space="preserve">למצער </w:t>
      </w:r>
      <w:r w:rsidRPr="000B11C2">
        <w:rPr>
          <w:rFonts w:cs="David"/>
          <w:b/>
          <w:bCs/>
          <w:rtl/>
        </w:rPr>
        <w:t>– היה על בית הדין קמא לדחות את התביעה אך ורק לתקופה שקדמה לחודש אוקטובר 2012</w:t>
      </w:r>
      <w:r w:rsidR="00784838" w:rsidRPr="000B11C2">
        <w:rPr>
          <w:rFonts w:cs="David"/>
          <w:b/>
          <w:bCs/>
          <w:rtl/>
        </w:rPr>
        <w:t xml:space="preserve"> -</w:t>
      </w:r>
    </w:p>
    <w:p w:rsidR="000B11C2" w:rsidRPr="0013771F" w:rsidRDefault="002A1C7D" w:rsidP="0013771F">
      <w:pPr>
        <w:pStyle w:val="a8"/>
        <w:numPr>
          <w:ilvl w:val="0"/>
          <w:numId w:val="9"/>
        </w:numPr>
        <w:tabs>
          <w:tab w:val="left" w:pos="674"/>
        </w:tabs>
        <w:spacing w:after="220" w:line="360" w:lineRule="auto"/>
        <w:ind w:left="674" w:hanging="630"/>
        <w:rPr>
          <w:rFonts w:cs="David"/>
        </w:rPr>
      </w:pPr>
      <w:r w:rsidRPr="00F61C52">
        <w:rPr>
          <w:rFonts w:cs="David"/>
          <w:rtl/>
        </w:rPr>
        <w:t xml:space="preserve">המערער יוסיף ויטען כי </w:t>
      </w:r>
      <w:r w:rsidRPr="00655EE8">
        <w:rPr>
          <w:rFonts w:cs="David"/>
          <w:b/>
          <w:bCs/>
          <w:u w:val="single"/>
          <w:rtl/>
        </w:rPr>
        <w:t>למצער</w:t>
      </w:r>
      <w:r w:rsidRPr="00F65A30">
        <w:rPr>
          <w:rFonts w:cs="David"/>
          <w:rtl/>
        </w:rPr>
        <w:t xml:space="preserve"> היה על בית הדין קמא לדחות את התביעה אך ורק ביחס לרכיבי התביעה שקודמים לאוקטובר 2012</w:t>
      </w:r>
      <w:r w:rsidR="00F61C52" w:rsidRPr="001A50DD">
        <w:rPr>
          <w:rFonts w:cs="David"/>
          <w:rtl/>
        </w:rPr>
        <w:t>.</w:t>
      </w:r>
      <w:r w:rsidR="00D70B7D" w:rsidRPr="0013771F">
        <w:rPr>
          <w:rFonts w:cs="David"/>
          <w:rtl/>
        </w:rPr>
        <w:t xml:space="preserve"> </w:t>
      </w:r>
      <w:r w:rsidRPr="00655EE8">
        <w:rPr>
          <w:rFonts w:cs="David"/>
          <w:rtl/>
        </w:rPr>
        <w:t xml:space="preserve">המערער יטען כי התביעה לתשלום השכר מכוח </w:t>
      </w:r>
      <w:r w:rsidR="000B11C2" w:rsidRPr="00F65A30">
        <w:rPr>
          <w:rFonts w:cs="David"/>
          <w:rtl/>
        </w:rPr>
        <w:t>ה</w:t>
      </w:r>
      <w:r w:rsidRPr="00F65A30">
        <w:rPr>
          <w:rFonts w:cs="David"/>
          <w:rtl/>
        </w:rPr>
        <w:t xml:space="preserve">חוזה היא מסוג התביעות בהן העילה מתחדשת מדי חודש בחודשו – במועד </w:t>
      </w:r>
      <w:r w:rsidR="000B11C2" w:rsidRPr="001A50DD">
        <w:rPr>
          <w:rFonts w:cs="David"/>
          <w:rtl/>
        </w:rPr>
        <w:t>שבו היה אמור להתבצע תשלום</w:t>
      </w:r>
      <w:r w:rsidRPr="0013771F">
        <w:rPr>
          <w:rFonts w:cs="David"/>
          <w:rtl/>
        </w:rPr>
        <w:t xml:space="preserve"> השכר.</w:t>
      </w:r>
      <w:r w:rsidR="00784838" w:rsidRPr="0013771F">
        <w:rPr>
          <w:rFonts w:cs="David"/>
          <w:rtl/>
        </w:rPr>
        <w:t xml:space="preserve"> </w:t>
      </w:r>
    </w:p>
    <w:p w:rsidR="002A1C7D" w:rsidRPr="000B11C2" w:rsidRDefault="002A1C7D" w:rsidP="000E3B23">
      <w:pPr>
        <w:pStyle w:val="a8"/>
        <w:numPr>
          <w:ilvl w:val="0"/>
          <w:numId w:val="9"/>
        </w:numPr>
        <w:tabs>
          <w:tab w:val="left" w:pos="674"/>
        </w:tabs>
        <w:spacing w:after="240" w:line="360" w:lineRule="auto"/>
        <w:ind w:left="674" w:hanging="630"/>
        <w:rPr>
          <w:rStyle w:val="a7"/>
          <w:rFonts w:cs="David"/>
        </w:rPr>
      </w:pPr>
      <w:r w:rsidRPr="000B11C2">
        <w:rPr>
          <w:rFonts w:cs="David"/>
          <w:rtl/>
        </w:rPr>
        <w:t xml:space="preserve">בעניין זה היה מקום להחיל את הכללים שנקבעו ביחס לתשלום גמלה, המתחדשת מדי חודש בחודש – כפי שנקבע בפסק הדין בתיק </w:t>
      </w:r>
      <w:r w:rsidRPr="000B11C2">
        <w:rPr>
          <w:rFonts w:ascii="David" w:hAnsi="David" w:cs="David"/>
          <w:rtl/>
        </w:rPr>
        <w:t xml:space="preserve">בג"צ 3514/07 </w:t>
      </w:r>
      <w:r w:rsidRPr="000B11C2">
        <w:rPr>
          <w:rFonts w:ascii="David" w:hAnsi="David" w:cs="David"/>
          <w:b/>
          <w:bCs/>
          <w:u w:val="single"/>
          <w:rtl/>
        </w:rPr>
        <w:t>מבטחים נ' פיורסט</w:t>
      </w:r>
      <w:r w:rsidRPr="000B11C2">
        <w:rPr>
          <w:rFonts w:ascii="David" w:hAnsi="David" w:cs="David"/>
          <w:rtl/>
        </w:rPr>
        <w:t xml:space="preserve"> , ניתן ביום 13.5.12 והאסמכתאות המפורטות שם; ראו גם </w:t>
      </w:r>
      <w:r w:rsidRPr="000B11C2">
        <w:rPr>
          <w:rStyle w:val="a7"/>
          <w:rFonts w:ascii="David" w:hAnsi="David" w:cs="David"/>
          <w:rtl/>
        </w:rPr>
        <w:t xml:space="preserve">סעש (תל אביב) 38544-10/12  </w:t>
      </w:r>
      <w:r w:rsidRPr="000B11C2">
        <w:rPr>
          <w:rStyle w:val="a7"/>
          <w:rFonts w:ascii="David" w:hAnsi="David" w:cs="David"/>
          <w:b/>
          <w:bCs/>
          <w:u w:val="single"/>
          <w:rtl/>
        </w:rPr>
        <w:t>ראובן בן דוד נ' מנהלת הגמלאות - משרד האוצר ואח').</w:t>
      </w:r>
    </w:p>
    <w:p w:rsidR="002A6980" w:rsidRPr="000B11C2" w:rsidRDefault="002A6980" w:rsidP="000B11C2">
      <w:pPr>
        <w:pStyle w:val="a8"/>
        <w:tabs>
          <w:tab w:val="left" w:pos="674"/>
        </w:tabs>
        <w:spacing w:after="0" w:line="360" w:lineRule="auto"/>
        <w:ind w:left="44"/>
        <w:rPr>
          <w:rFonts w:cs="David"/>
          <w:b/>
          <w:bCs/>
          <w:u w:val="single"/>
          <w:rtl/>
        </w:rPr>
      </w:pPr>
    </w:p>
    <w:p w:rsidR="002A6980" w:rsidRPr="000B11C2" w:rsidRDefault="002A6980" w:rsidP="0013771F">
      <w:pPr>
        <w:pStyle w:val="a8"/>
        <w:tabs>
          <w:tab w:val="left" w:pos="674"/>
        </w:tabs>
        <w:spacing w:after="120" w:line="360" w:lineRule="auto"/>
        <w:ind w:left="44"/>
        <w:rPr>
          <w:rFonts w:cs="David"/>
          <w:b/>
          <w:bCs/>
          <w:sz w:val="28"/>
          <w:szCs w:val="28"/>
          <w:u w:val="single"/>
        </w:rPr>
      </w:pPr>
      <w:r w:rsidRPr="000B11C2">
        <w:rPr>
          <w:rFonts w:cs="David"/>
          <w:b/>
          <w:bCs/>
          <w:sz w:val="28"/>
          <w:szCs w:val="28"/>
          <w:rtl/>
        </w:rPr>
        <w:t>ב.3.</w:t>
      </w:r>
      <w:r w:rsidRPr="000B11C2">
        <w:rPr>
          <w:rFonts w:cs="David"/>
          <w:sz w:val="28"/>
          <w:szCs w:val="28"/>
          <w:rtl/>
        </w:rPr>
        <w:tab/>
      </w:r>
      <w:r w:rsidRPr="000B11C2">
        <w:rPr>
          <w:rFonts w:cs="David"/>
          <w:b/>
          <w:bCs/>
          <w:sz w:val="28"/>
          <w:szCs w:val="28"/>
          <w:u w:val="single"/>
          <w:rtl/>
        </w:rPr>
        <w:t>טעה בית הדין הנכבד קמא כאשר קבע כי סיכויי התביעה אינם גבוהים</w:t>
      </w:r>
    </w:p>
    <w:p w:rsidR="002A6980" w:rsidRPr="000B11C2" w:rsidRDefault="002A6980" w:rsidP="002A6980">
      <w:pPr>
        <w:pStyle w:val="a8"/>
        <w:numPr>
          <w:ilvl w:val="0"/>
          <w:numId w:val="9"/>
        </w:numPr>
        <w:tabs>
          <w:tab w:val="left" w:pos="674"/>
        </w:tabs>
        <w:spacing w:after="240" w:line="360" w:lineRule="auto"/>
        <w:ind w:left="674" w:hanging="630"/>
        <w:rPr>
          <w:rFonts w:cs="David"/>
        </w:rPr>
      </w:pPr>
      <w:r w:rsidRPr="000B11C2">
        <w:rPr>
          <w:rFonts w:cs="David"/>
          <w:rtl/>
        </w:rPr>
        <w:t>בסעיף 31 לפסק הדין קמא קבע בית הדין קמא כי לא התרשם מכך שסיכויי התביעה גבוהים, מאחר שכאשר "</w:t>
      </w:r>
      <w:r w:rsidRPr="000B11C2">
        <w:rPr>
          <w:i/>
          <w:iCs/>
          <w:rtl/>
        </w:rPr>
        <w:t xml:space="preserve">חוזה עבודה כולל </w:t>
      </w:r>
      <w:r w:rsidRPr="000B11C2">
        <w:rPr>
          <w:b/>
          <w:bCs/>
          <w:i/>
          <w:iCs/>
          <w:rtl/>
        </w:rPr>
        <w:t>הוראה המרשה לצד לחוזה לסיימו בכל עת לפני תום תקופתו</w:t>
      </w:r>
      <w:r w:rsidRPr="000B11C2">
        <w:rPr>
          <w:i/>
          <w:iCs/>
          <w:rtl/>
        </w:rPr>
        <w:t>, כפי שקיים גם בענייננו, ניתן לסיים את החוזה מבלי להפר אותו</w:t>
      </w:r>
      <w:r w:rsidRPr="000B11C2">
        <w:rPr>
          <w:rFonts w:cs="David"/>
          <w:rtl/>
        </w:rPr>
        <w:t>" (</w:t>
      </w:r>
      <w:r w:rsidRPr="000B11C2">
        <w:rPr>
          <w:rFonts w:cs="David"/>
          <w:i/>
          <w:iCs/>
          <w:rtl/>
        </w:rPr>
        <w:t>ההדגשה במקור – הח"מ</w:t>
      </w:r>
      <w:r w:rsidRPr="000B11C2">
        <w:rPr>
          <w:rFonts w:cs="David"/>
          <w:rtl/>
        </w:rPr>
        <w:t>).</w:t>
      </w:r>
    </w:p>
    <w:p w:rsidR="002A6980" w:rsidRPr="000B11C2" w:rsidRDefault="002A6980" w:rsidP="000B11C2">
      <w:pPr>
        <w:pStyle w:val="a8"/>
        <w:numPr>
          <w:ilvl w:val="0"/>
          <w:numId w:val="9"/>
        </w:numPr>
        <w:tabs>
          <w:tab w:val="left" w:pos="674"/>
        </w:tabs>
        <w:spacing w:after="120" w:line="360" w:lineRule="auto"/>
        <w:ind w:left="674" w:hanging="630"/>
        <w:rPr>
          <w:rFonts w:cs="David"/>
        </w:rPr>
      </w:pPr>
      <w:r w:rsidRPr="000B11C2">
        <w:rPr>
          <w:rFonts w:cs="David"/>
          <w:rtl/>
        </w:rPr>
        <w:t xml:space="preserve">בכך נתפס בית הדין קמא לטעות מהותית, שכן </w:t>
      </w:r>
      <w:r w:rsidRPr="000B11C2">
        <w:rPr>
          <w:rFonts w:cs="David"/>
          <w:b/>
          <w:bCs/>
          <w:rtl/>
        </w:rPr>
        <w:t>חוזה הבכירים קובע פרוצדורה ברורה על מנת שניתן יהיה לסיים את החוזה לפני תום תוקפו – כאשר נדרשת פנייה מנומקת של מנכ"ל המשרד לנציב שירות המדינה ואישור הנציב וועדת השירות</w:t>
      </w:r>
      <w:r w:rsidRPr="000B11C2">
        <w:rPr>
          <w:rFonts w:cs="David"/>
          <w:rtl/>
        </w:rPr>
        <w:t>. אין חולק כי לא נעשתה פנייה כאמור ולא התקבלה החלטה של וועדת השירות. בנסיבות אלה, כאשר לא בוצע ההליך המתאים להפסקת תוקפו של החוזה לפני תום התקופה, לא ניתן היה לקבוע כי סיכויי התביעה אינם גבוהים. נהפוך הוא.</w:t>
      </w:r>
    </w:p>
    <w:p w:rsidR="00985B99" w:rsidRPr="000B11C2" w:rsidRDefault="00985B99" w:rsidP="00985B99">
      <w:pPr>
        <w:rPr>
          <w:rtl/>
        </w:rPr>
      </w:pPr>
    </w:p>
    <w:p w:rsidR="002A1C7D" w:rsidRPr="000B11C2" w:rsidRDefault="002A1C7D" w:rsidP="00985B99">
      <w:pPr>
        <w:rPr>
          <w:rtl/>
        </w:rPr>
      </w:pPr>
    </w:p>
    <w:p w:rsidR="00374B8F" w:rsidRPr="000B11C2" w:rsidRDefault="00784838" w:rsidP="000B11C2">
      <w:pPr>
        <w:pStyle w:val="7"/>
        <w:spacing w:after="120" w:line="360" w:lineRule="auto"/>
        <w:rPr>
          <w:rFonts w:cs="David"/>
          <w:sz w:val="28"/>
          <w:szCs w:val="28"/>
        </w:rPr>
      </w:pPr>
      <w:r w:rsidRPr="000B11C2">
        <w:rPr>
          <w:rFonts w:cs="David"/>
          <w:sz w:val="28"/>
          <w:szCs w:val="28"/>
          <w:u w:val="none"/>
          <w:rtl/>
        </w:rPr>
        <w:t>ב.</w:t>
      </w:r>
      <w:r w:rsidR="002A6980" w:rsidRPr="000B11C2">
        <w:rPr>
          <w:rFonts w:cs="David"/>
          <w:sz w:val="28"/>
          <w:szCs w:val="28"/>
          <w:u w:val="none"/>
          <w:rtl/>
        </w:rPr>
        <w:t>4</w:t>
      </w:r>
      <w:r w:rsidRPr="000B11C2">
        <w:rPr>
          <w:rFonts w:cs="David"/>
          <w:sz w:val="28"/>
          <w:szCs w:val="28"/>
          <w:u w:val="none"/>
          <w:rtl/>
        </w:rPr>
        <w:t>.</w:t>
      </w:r>
      <w:r w:rsidRPr="000B11C2">
        <w:rPr>
          <w:rFonts w:cs="David"/>
          <w:sz w:val="28"/>
          <w:szCs w:val="28"/>
          <w:u w:val="none"/>
          <w:rtl/>
        </w:rPr>
        <w:tab/>
      </w:r>
      <w:r w:rsidR="00374B8F" w:rsidRPr="000B11C2">
        <w:rPr>
          <w:rFonts w:cs="David"/>
          <w:sz w:val="28"/>
          <w:szCs w:val="28"/>
          <w:rtl/>
        </w:rPr>
        <w:t xml:space="preserve">טעה בית הדין </w:t>
      </w:r>
      <w:r w:rsidR="00523912" w:rsidRPr="000B11C2">
        <w:rPr>
          <w:rFonts w:cs="David"/>
          <w:sz w:val="28"/>
          <w:szCs w:val="28"/>
          <w:rtl/>
        </w:rPr>
        <w:t xml:space="preserve">הנכבד </w:t>
      </w:r>
      <w:r w:rsidR="00374B8F" w:rsidRPr="000B11C2">
        <w:rPr>
          <w:rFonts w:cs="David"/>
          <w:sz w:val="28"/>
          <w:szCs w:val="28"/>
          <w:rtl/>
        </w:rPr>
        <w:t xml:space="preserve">קמא </w:t>
      </w:r>
      <w:r w:rsidRPr="000B11C2">
        <w:rPr>
          <w:rFonts w:cs="David"/>
          <w:sz w:val="28"/>
          <w:szCs w:val="28"/>
          <w:rtl/>
        </w:rPr>
        <w:t>בעניין</w:t>
      </w:r>
      <w:r w:rsidR="00374B8F" w:rsidRPr="000B11C2">
        <w:rPr>
          <w:rFonts w:cs="David"/>
          <w:sz w:val="28"/>
          <w:szCs w:val="28"/>
          <w:rtl/>
        </w:rPr>
        <w:t xml:space="preserve"> </w:t>
      </w:r>
      <w:r w:rsidRPr="000B11C2">
        <w:rPr>
          <w:rFonts w:cs="David"/>
          <w:sz w:val="28"/>
          <w:szCs w:val="28"/>
          <w:rtl/>
        </w:rPr>
        <w:t>תחולת חוק הגימלאות על מועד הערעור</w:t>
      </w:r>
    </w:p>
    <w:p w:rsidR="00722932" w:rsidRPr="000B11C2" w:rsidRDefault="00722932" w:rsidP="00722932">
      <w:pPr>
        <w:pStyle w:val="a8"/>
        <w:tabs>
          <w:tab w:val="left" w:pos="674"/>
        </w:tabs>
        <w:spacing w:after="240" w:line="360" w:lineRule="auto"/>
        <w:rPr>
          <w:rFonts w:cs="David"/>
          <w:b/>
          <w:bCs/>
          <w:u w:val="single"/>
          <w:rtl/>
        </w:rPr>
      </w:pPr>
      <w:r w:rsidRPr="000B11C2">
        <w:rPr>
          <w:rFonts w:cs="David"/>
          <w:b/>
          <w:bCs/>
          <w:u w:val="single"/>
          <w:rtl/>
        </w:rPr>
        <w:t>הכרעתו השגויה של בית הדין קמא</w:t>
      </w:r>
    </w:p>
    <w:p w:rsidR="009C4A8E" w:rsidRPr="0013771F" w:rsidRDefault="009C4A8E" w:rsidP="0013771F">
      <w:pPr>
        <w:pStyle w:val="a8"/>
        <w:numPr>
          <w:ilvl w:val="0"/>
          <w:numId w:val="9"/>
        </w:numPr>
        <w:tabs>
          <w:tab w:val="left" w:pos="674"/>
        </w:tabs>
        <w:spacing w:after="220" w:line="360" w:lineRule="auto"/>
        <w:ind w:left="674" w:hanging="630"/>
        <w:rPr>
          <w:rFonts w:cs="David"/>
        </w:rPr>
      </w:pPr>
      <w:r w:rsidRPr="00F65A30">
        <w:rPr>
          <w:rFonts w:cs="David"/>
          <w:rtl/>
        </w:rPr>
        <w:t xml:space="preserve">המשיבות טענו כי </w:t>
      </w:r>
      <w:r w:rsidR="00784838" w:rsidRPr="00F65A30">
        <w:rPr>
          <w:rFonts w:cs="David"/>
          <w:rtl/>
        </w:rPr>
        <w:t>בהתאם ל</w:t>
      </w:r>
      <w:r w:rsidRPr="001A50DD">
        <w:rPr>
          <w:rFonts w:cs="David"/>
          <w:rtl/>
        </w:rPr>
        <w:t xml:space="preserve">חוק הגימלאות </w:t>
      </w:r>
      <w:r w:rsidR="0017017A" w:rsidRPr="0013771F">
        <w:rPr>
          <w:rFonts w:cs="David"/>
          <w:rtl/>
        </w:rPr>
        <w:t xml:space="preserve">והתקנות שהותקנו על פיו </w:t>
      </w:r>
      <w:r w:rsidRPr="0013771F">
        <w:rPr>
          <w:rFonts w:cs="David"/>
          <w:rtl/>
        </w:rPr>
        <w:t>היה על המערער להגיש תביעתו תוך 60 ימים מה</w:t>
      </w:r>
      <w:r w:rsidR="00722932" w:rsidRPr="0013771F">
        <w:rPr>
          <w:rFonts w:cs="David"/>
          <w:rtl/>
        </w:rPr>
        <w:t xml:space="preserve">יום שהתקבלה ההחלטה בנוגע לגימלה המגיעה לו. </w:t>
      </w:r>
      <w:r w:rsidR="00FF79F6" w:rsidRPr="0013771F">
        <w:rPr>
          <w:rFonts w:cs="David"/>
          <w:rtl/>
        </w:rPr>
        <w:t xml:space="preserve">המערער טוען כי </w:t>
      </w:r>
      <w:r w:rsidR="002B6127" w:rsidRPr="0013771F">
        <w:rPr>
          <w:rFonts w:cs="David"/>
          <w:rtl/>
        </w:rPr>
        <w:t>חוק הגימלאות אינו חל על מועד הערעור</w:t>
      </w:r>
      <w:r w:rsidR="00AB16A6" w:rsidRPr="0013771F">
        <w:rPr>
          <w:rFonts w:cs="David"/>
          <w:rtl/>
        </w:rPr>
        <w:t xml:space="preserve"> בעניינו,</w:t>
      </w:r>
      <w:r w:rsidR="002B6127" w:rsidRPr="0013771F">
        <w:rPr>
          <w:rFonts w:cs="David"/>
          <w:rtl/>
        </w:rPr>
        <w:t xml:space="preserve"> והוא יכול היה להגיש תביעתו תוך 7 שנים</w:t>
      </w:r>
      <w:r w:rsidR="009D3069" w:rsidRPr="0013771F">
        <w:rPr>
          <w:rFonts w:cs="David"/>
          <w:rtl/>
        </w:rPr>
        <w:t>.</w:t>
      </w:r>
      <w:r w:rsidR="002B6127" w:rsidRPr="0013771F">
        <w:rPr>
          <w:rFonts w:cs="David"/>
          <w:rtl/>
        </w:rPr>
        <w:t xml:space="preserve"> </w:t>
      </w:r>
      <w:r w:rsidR="008C3087" w:rsidRPr="0013771F">
        <w:rPr>
          <w:rFonts w:cs="David"/>
          <w:rtl/>
        </w:rPr>
        <w:t>בית הדין קמא קיבל את עמדת המשיבות.</w:t>
      </w:r>
      <w:r w:rsidR="00AB16A6" w:rsidRPr="0013771F">
        <w:rPr>
          <w:rFonts w:cs="David"/>
          <w:rtl/>
        </w:rPr>
        <w:t xml:space="preserve"> </w:t>
      </w:r>
      <w:r w:rsidRPr="0013771F">
        <w:rPr>
          <w:rFonts w:cs="David"/>
          <w:rtl/>
        </w:rPr>
        <w:t>כפי שנסביר להלן, ובכל הכבוד, קביעה זאת שגויה מיסודה, מתעלמת לחלוטין מלשונו של חוזה הבכירים וממהות החוזה</w:t>
      </w:r>
      <w:r w:rsidR="00722932" w:rsidRPr="0013771F">
        <w:rPr>
          <w:rFonts w:cs="David"/>
          <w:rtl/>
        </w:rPr>
        <w:t>, ונקבעה מבלי לבחון לעומק את טענות המערער</w:t>
      </w:r>
      <w:r w:rsidR="00FF79F6" w:rsidRPr="0013771F">
        <w:rPr>
          <w:rFonts w:cs="David"/>
          <w:rtl/>
        </w:rPr>
        <w:t xml:space="preserve"> והוראות </w:t>
      </w:r>
      <w:r w:rsidR="00AB16A6" w:rsidRPr="0013771F">
        <w:rPr>
          <w:rFonts w:cs="David"/>
          <w:rtl/>
        </w:rPr>
        <w:t>ה</w:t>
      </w:r>
      <w:r w:rsidR="00FF79F6" w:rsidRPr="0013771F">
        <w:rPr>
          <w:rFonts w:cs="David"/>
          <w:rtl/>
        </w:rPr>
        <w:t>חוזה</w:t>
      </w:r>
      <w:r w:rsidRPr="0013771F">
        <w:rPr>
          <w:rFonts w:cs="David"/>
          <w:rtl/>
        </w:rPr>
        <w:t>.</w:t>
      </w:r>
      <w:r w:rsidR="00722932" w:rsidRPr="0013771F">
        <w:rPr>
          <w:rFonts w:cs="David"/>
          <w:rtl/>
        </w:rPr>
        <w:t xml:space="preserve"> </w:t>
      </w:r>
    </w:p>
    <w:p w:rsidR="002518F9" w:rsidRPr="0013771F" w:rsidRDefault="002518F9" w:rsidP="0013771F">
      <w:pPr>
        <w:pStyle w:val="a8"/>
        <w:tabs>
          <w:tab w:val="left" w:pos="674"/>
        </w:tabs>
        <w:spacing w:after="220" w:line="360" w:lineRule="auto"/>
        <w:rPr>
          <w:rFonts w:cs="David"/>
          <w:b/>
          <w:bCs/>
          <w:u w:val="single"/>
          <w:rtl/>
        </w:rPr>
      </w:pPr>
      <w:r w:rsidRPr="0013771F">
        <w:rPr>
          <w:rFonts w:cs="David"/>
          <w:b/>
          <w:bCs/>
          <w:u w:val="single"/>
          <w:rtl/>
        </w:rPr>
        <w:t xml:space="preserve">טעה בית הדין </w:t>
      </w:r>
      <w:r w:rsidR="00523912" w:rsidRPr="0013771F">
        <w:rPr>
          <w:rFonts w:cs="David"/>
          <w:b/>
          <w:bCs/>
          <w:u w:val="single"/>
          <w:rtl/>
        </w:rPr>
        <w:t xml:space="preserve">הנכבד </w:t>
      </w:r>
      <w:r w:rsidRPr="0013771F">
        <w:rPr>
          <w:rFonts w:cs="David"/>
          <w:b/>
          <w:bCs/>
          <w:u w:val="single"/>
          <w:rtl/>
        </w:rPr>
        <w:t>קמא כאשר לא התייחס למשמעות של ניסוח החוזה על ידי המדינה</w:t>
      </w:r>
    </w:p>
    <w:p w:rsidR="002518F9" w:rsidRPr="0013771F" w:rsidRDefault="002518F9" w:rsidP="0013771F">
      <w:pPr>
        <w:pStyle w:val="a8"/>
        <w:numPr>
          <w:ilvl w:val="0"/>
          <w:numId w:val="9"/>
        </w:numPr>
        <w:tabs>
          <w:tab w:val="left" w:pos="674"/>
        </w:tabs>
        <w:spacing w:after="220" w:line="360" w:lineRule="auto"/>
        <w:ind w:left="674" w:hanging="630"/>
        <w:rPr>
          <w:rFonts w:cs="David"/>
        </w:rPr>
      </w:pPr>
      <w:r w:rsidRPr="0013771F">
        <w:rPr>
          <w:rFonts w:cs="David"/>
          <w:rtl/>
        </w:rPr>
        <w:t>המסמך הבסיסי להבנת מערכת היחסים בין הצדדים</w:t>
      </w:r>
      <w:r w:rsidR="002B6127" w:rsidRPr="0013771F">
        <w:rPr>
          <w:rFonts w:cs="David"/>
          <w:rtl/>
        </w:rPr>
        <w:t xml:space="preserve"> </w:t>
      </w:r>
      <w:r w:rsidRPr="0013771F">
        <w:rPr>
          <w:rFonts w:cs="David"/>
          <w:rtl/>
        </w:rPr>
        <w:t xml:space="preserve">הוא חוזה הבכירים עליו חתם </w:t>
      </w:r>
      <w:r w:rsidR="002B3B9D" w:rsidRPr="0013771F">
        <w:rPr>
          <w:rFonts w:cs="David"/>
          <w:rtl/>
        </w:rPr>
        <w:t>המערער</w:t>
      </w:r>
      <w:r w:rsidRPr="0013771F">
        <w:rPr>
          <w:rFonts w:cs="David"/>
          <w:rtl/>
        </w:rPr>
        <w:t xml:space="preserve">. </w:t>
      </w:r>
      <w:r w:rsidRPr="0013771F">
        <w:rPr>
          <w:rFonts w:cs="David"/>
          <w:b/>
          <w:bCs/>
          <w:rtl/>
        </w:rPr>
        <w:t xml:space="preserve">מדובר בחוזה שנוסח ונכתב על ידי המדינה, כאשר </w:t>
      </w:r>
      <w:r w:rsidR="002B3B9D" w:rsidRPr="0013771F">
        <w:rPr>
          <w:rFonts w:cs="David"/>
          <w:b/>
          <w:bCs/>
          <w:rtl/>
        </w:rPr>
        <w:t xml:space="preserve">המערער </w:t>
      </w:r>
      <w:r w:rsidRPr="0013771F">
        <w:rPr>
          <w:rFonts w:cs="David"/>
          <w:b/>
          <w:bCs/>
          <w:rtl/>
        </w:rPr>
        <w:t>לא יכול היה לשנות בו מילה או פסיק.</w:t>
      </w:r>
      <w:r w:rsidRPr="0013771F">
        <w:rPr>
          <w:rFonts w:cs="David"/>
          <w:rtl/>
        </w:rPr>
        <w:t xml:space="preserve"> </w:t>
      </w:r>
      <w:r w:rsidR="008C3087" w:rsidRPr="0013771F">
        <w:rPr>
          <w:rFonts w:cs="David"/>
          <w:rtl/>
        </w:rPr>
        <w:t xml:space="preserve">על כן, מדובר </w:t>
      </w:r>
      <w:r w:rsidR="008C3087" w:rsidRPr="0013771F">
        <w:rPr>
          <w:rFonts w:cs="David"/>
          <w:b/>
          <w:bCs/>
          <w:u w:val="single"/>
          <w:rtl/>
        </w:rPr>
        <w:t>בחוזה אחיד</w:t>
      </w:r>
      <w:r w:rsidR="008C3087" w:rsidRPr="0013771F">
        <w:rPr>
          <w:rFonts w:cs="David"/>
          <w:b/>
          <w:bCs/>
          <w:rtl/>
        </w:rPr>
        <w:t xml:space="preserve">, ובכל מקרה של </w:t>
      </w:r>
      <w:r w:rsidRPr="0013771F">
        <w:rPr>
          <w:rFonts w:cs="David"/>
          <w:b/>
          <w:bCs/>
          <w:rtl/>
        </w:rPr>
        <w:t>ספק פרשני</w:t>
      </w:r>
      <w:r w:rsidR="009D3069" w:rsidRPr="0013771F">
        <w:rPr>
          <w:rFonts w:cs="David"/>
          <w:b/>
          <w:bCs/>
          <w:rtl/>
        </w:rPr>
        <w:t xml:space="preserve"> </w:t>
      </w:r>
      <w:r w:rsidRPr="0013771F">
        <w:rPr>
          <w:rFonts w:cs="David"/>
          <w:b/>
          <w:bCs/>
          <w:rtl/>
        </w:rPr>
        <w:t>יש לפרש את החוזה לרעת המדינה</w:t>
      </w:r>
      <w:r w:rsidRPr="0013771F">
        <w:rPr>
          <w:rFonts w:cs="David"/>
          <w:rtl/>
        </w:rPr>
        <w:t>.</w:t>
      </w:r>
    </w:p>
    <w:p w:rsidR="002B3B9D" w:rsidRPr="0013771F" w:rsidRDefault="008C3087" w:rsidP="0013771F">
      <w:pPr>
        <w:pStyle w:val="a8"/>
        <w:tabs>
          <w:tab w:val="left" w:pos="674"/>
        </w:tabs>
        <w:spacing w:after="220" w:line="360" w:lineRule="auto"/>
        <w:ind w:left="674"/>
        <w:rPr>
          <w:rFonts w:cs="David"/>
        </w:rPr>
      </w:pPr>
      <w:r w:rsidRPr="0013771F">
        <w:rPr>
          <w:rFonts w:cs="David"/>
          <w:rtl/>
        </w:rPr>
        <w:t>במקרה זה,</w:t>
      </w:r>
      <w:r w:rsidR="009D3069" w:rsidRPr="0013771F">
        <w:rPr>
          <w:rFonts w:cs="David"/>
          <w:rtl/>
        </w:rPr>
        <w:t xml:space="preserve"> </w:t>
      </w:r>
      <w:r w:rsidR="009D3069" w:rsidRPr="0013771F">
        <w:rPr>
          <w:rFonts w:cs="David"/>
          <w:b/>
          <w:bCs/>
          <w:rtl/>
        </w:rPr>
        <w:t>חוזה הבכירים אינו מפנה בצורה מפורשת לסעיף 43 לחוק הגימלאות</w:t>
      </w:r>
      <w:r w:rsidR="000B11C2" w:rsidRPr="0013771F">
        <w:rPr>
          <w:rFonts w:cs="David"/>
          <w:b/>
          <w:bCs/>
          <w:rtl/>
        </w:rPr>
        <w:t xml:space="preserve"> – הקובע את מועד הערעור</w:t>
      </w:r>
      <w:r w:rsidR="002B6127" w:rsidRPr="0013771F">
        <w:rPr>
          <w:rFonts w:cs="David"/>
          <w:b/>
          <w:bCs/>
          <w:rtl/>
        </w:rPr>
        <w:t xml:space="preserve"> </w:t>
      </w:r>
      <w:r w:rsidR="009D3069" w:rsidRPr="0013771F">
        <w:rPr>
          <w:rFonts w:cs="David"/>
          <w:b/>
          <w:bCs/>
          <w:rtl/>
        </w:rPr>
        <w:t>בהיעדר הפנייה מפורשת</w:t>
      </w:r>
      <w:r w:rsidR="007F337D" w:rsidRPr="0013771F">
        <w:rPr>
          <w:rFonts w:cs="David"/>
          <w:b/>
          <w:bCs/>
          <w:rtl/>
        </w:rPr>
        <w:t>, ובהתאם לכללי הפרשנות המקובלים</w:t>
      </w:r>
      <w:r w:rsidR="009D3069" w:rsidRPr="0013771F">
        <w:rPr>
          <w:rFonts w:cs="David"/>
          <w:b/>
          <w:bCs/>
          <w:rtl/>
        </w:rPr>
        <w:t xml:space="preserve"> – סעיף 43 לחוק הגימלאות אינו חל על היחסים בין הצדדים</w:t>
      </w:r>
      <w:r w:rsidR="002B3B9D" w:rsidRPr="0013771F">
        <w:rPr>
          <w:rFonts w:cs="David"/>
          <w:rtl/>
        </w:rPr>
        <w:t>.</w:t>
      </w:r>
    </w:p>
    <w:p w:rsidR="000B11C2" w:rsidRPr="0013771F" w:rsidRDefault="002D7E29" w:rsidP="0013771F">
      <w:pPr>
        <w:pStyle w:val="a8"/>
        <w:numPr>
          <w:ilvl w:val="0"/>
          <w:numId w:val="9"/>
        </w:numPr>
        <w:tabs>
          <w:tab w:val="left" w:pos="674"/>
        </w:tabs>
        <w:spacing w:after="220" w:line="360" w:lineRule="auto"/>
        <w:ind w:left="674" w:hanging="630"/>
        <w:rPr>
          <w:rFonts w:cs="David"/>
        </w:rPr>
      </w:pPr>
      <w:r w:rsidRPr="0013771F">
        <w:rPr>
          <w:rFonts w:cs="David"/>
          <w:rtl/>
        </w:rPr>
        <w:lastRenderedPageBreak/>
        <w:t xml:space="preserve">יתרה מכך, טעה בית הדין </w:t>
      </w:r>
      <w:r w:rsidR="00E9558F" w:rsidRPr="0013771F">
        <w:rPr>
          <w:rFonts w:cs="David"/>
          <w:rtl/>
        </w:rPr>
        <w:t xml:space="preserve">הנכבד </w:t>
      </w:r>
      <w:r w:rsidRPr="0013771F">
        <w:rPr>
          <w:rFonts w:cs="David"/>
          <w:rtl/>
        </w:rPr>
        <w:t xml:space="preserve">קמא גם בכך שהתעלם ממהותו של חוזה הבכירים – </w:t>
      </w:r>
      <w:r w:rsidRPr="0013771F">
        <w:rPr>
          <w:rFonts w:cs="David"/>
          <w:b/>
          <w:bCs/>
          <w:rtl/>
        </w:rPr>
        <w:t>אשר נוע</w:t>
      </w:r>
      <w:r w:rsidR="00EE5402" w:rsidRPr="0013771F">
        <w:rPr>
          <w:rFonts w:cs="David"/>
          <w:b/>
          <w:bCs/>
          <w:rtl/>
        </w:rPr>
        <w:t>ד</w:t>
      </w:r>
      <w:r w:rsidRPr="0013771F">
        <w:rPr>
          <w:rFonts w:cs="David"/>
          <w:b/>
          <w:bCs/>
          <w:rtl/>
        </w:rPr>
        <w:t xml:space="preserve"> </w:t>
      </w:r>
      <w:r w:rsidRPr="0013771F">
        <w:rPr>
          <w:rFonts w:cs="David"/>
          <w:b/>
          <w:bCs/>
          <w:u w:val="single"/>
          <w:rtl/>
        </w:rPr>
        <w:t>להטיב</w:t>
      </w:r>
      <w:r w:rsidRPr="0013771F">
        <w:rPr>
          <w:rFonts w:cs="David"/>
          <w:b/>
          <w:bCs/>
          <w:rtl/>
        </w:rPr>
        <w:t xml:space="preserve"> עם עובדים שלא היתה אפשרות להעסיק אותם בתנאים הקבועים לעובדי דירוג-דרגה</w:t>
      </w:r>
      <w:r w:rsidRPr="0013771F">
        <w:rPr>
          <w:rFonts w:cs="David"/>
          <w:rtl/>
        </w:rPr>
        <w:t xml:space="preserve">. </w:t>
      </w:r>
    </w:p>
    <w:p w:rsidR="002D7E29" w:rsidRPr="0013771F" w:rsidRDefault="002D7E29" w:rsidP="0013771F">
      <w:pPr>
        <w:pStyle w:val="a8"/>
        <w:tabs>
          <w:tab w:val="left" w:pos="674"/>
        </w:tabs>
        <w:spacing w:after="220" w:line="360" w:lineRule="auto"/>
        <w:ind w:left="674"/>
        <w:rPr>
          <w:rFonts w:cs="David"/>
        </w:rPr>
      </w:pPr>
      <w:r w:rsidRPr="0013771F">
        <w:rPr>
          <w:rFonts w:cs="David"/>
          <w:rtl/>
        </w:rPr>
        <w:t>המדינה באה להטיב עם עובדים אלה, כנגד הוויתור שלהם על הקביעות, ועל רקע מהות זאת היה מקום לבחון האם סעיף 43 לחוק הגמלאות מיטיב עם המערער או לאו.</w:t>
      </w:r>
    </w:p>
    <w:p w:rsidR="002D7E29" w:rsidRPr="0013771F" w:rsidRDefault="002D7E29" w:rsidP="0013771F">
      <w:pPr>
        <w:pStyle w:val="a8"/>
        <w:tabs>
          <w:tab w:val="left" w:pos="674"/>
        </w:tabs>
        <w:spacing w:after="220" w:line="360" w:lineRule="auto"/>
        <w:ind w:left="674"/>
        <w:rPr>
          <w:rFonts w:cs="David"/>
        </w:rPr>
      </w:pPr>
      <w:r w:rsidRPr="0013771F">
        <w:rPr>
          <w:rFonts w:cs="David"/>
          <w:rtl/>
        </w:rPr>
        <w:t xml:space="preserve">מאחר שסעיף 43 לחוק הגמלאות מגביל את המערער ומקצר את זכות התביעה משבע שנים לזכות ערעור בת 60 ימים, נקודת המוצא היתה צריכה להיות שאם רצתה המדינה להגביל את המערער – </w:t>
      </w:r>
      <w:r w:rsidR="002B6127" w:rsidRPr="0013771F">
        <w:rPr>
          <w:rFonts w:cs="David"/>
          <w:rtl/>
        </w:rPr>
        <w:t>היה עליה לכתוב</w:t>
      </w:r>
      <w:r w:rsidRPr="0013771F">
        <w:rPr>
          <w:rFonts w:cs="David"/>
          <w:rtl/>
        </w:rPr>
        <w:t xml:space="preserve"> זאת במפורש, דבר שלא נעשה בפועל.</w:t>
      </w:r>
    </w:p>
    <w:p w:rsidR="00580511" w:rsidRPr="0013771F" w:rsidRDefault="002518F9" w:rsidP="0013771F">
      <w:pPr>
        <w:pStyle w:val="a8"/>
        <w:tabs>
          <w:tab w:val="left" w:pos="674"/>
        </w:tabs>
        <w:spacing w:after="220" w:line="360" w:lineRule="auto"/>
        <w:rPr>
          <w:rFonts w:cs="David"/>
          <w:b/>
          <w:bCs/>
          <w:u w:val="single"/>
          <w:rtl/>
        </w:rPr>
      </w:pPr>
      <w:r w:rsidRPr="0013771F">
        <w:rPr>
          <w:rFonts w:cs="David"/>
          <w:b/>
          <w:bCs/>
          <w:u w:val="single"/>
          <w:rtl/>
        </w:rPr>
        <w:t xml:space="preserve">טעה בית הדין קמא </w:t>
      </w:r>
      <w:r w:rsidR="008A08B5" w:rsidRPr="0013771F">
        <w:rPr>
          <w:rFonts w:cs="David"/>
          <w:b/>
          <w:bCs/>
          <w:u w:val="single"/>
          <w:rtl/>
        </w:rPr>
        <w:t xml:space="preserve">בעניין תחולת </w:t>
      </w:r>
      <w:r w:rsidRPr="0013771F">
        <w:rPr>
          <w:rFonts w:cs="David"/>
          <w:b/>
          <w:bCs/>
          <w:u w:val="single"/>
          <w:rtl/>
        </w:rPr>
        <w:t>חוק הגימלאות על תקופת עבודתו השנייה של המ</w:t>
      </w:r>
      <w:r w:rsidR="008A08B5" w:rsidRPr="0013771F">
        <w:rPr>
          <w:rFonts w:cs="David"/>
          <w:b/>
          <w:bCs/>
          <w:u w:val="single"/>
          <w:rtl/>
        </w:rPr>
        <w:t>ערער</w:t>
      </w:r>
    </w:p>
    <w:p w:rsidR="002B3B9D" w:rsidRPr="0013771F" w:rsidRDefault="00985B99" w:rsidP="0013771F">
      <w:pPr>
        <w:pStyle w:val="a8"/>
        <w:numPr>
          <w:ilvl w:val="0"/>
          <w:numId w:val="9"/>
        </w:numPr>
        <w:tabs>
          <w:tab w:val="left" w:pos="674"/>
        </w:tabs>
        <w:spacing w:after="220" w:line="360" w:lineRule="auto"/>
        <w:ind w:left="674" w:hanging="630"/>
        <w:rPr>
          <w:rFonts w:cs="David"/>
          <w:rtl/>
        </w:rPr>
      </w:pPr>
      <w:r w:rsidRPr="0013771F">
        <w:rPr>
          <w:rFonts w:cs="David"/>
          <w:rtl/>
        </w:rPr>
        <w:t>סעיף 11 לחוזה הבכירים עליו חתם המשיב קובע כי – "</w:t>
      </w:r>
      <w:r w:rsidRPr="0013771F">
        <w:rPr>
          <w:rFonts w:cs="David"/>
          <w:b/>
          <w:bCs/>
          <w:i/>
          <w:iCs/>
          <w:rtl/>
        </w:rPr>
        <w:t>על תקופת עבודתו של העובד לפי חוזה זה</w:t>
      </w:r>
      <w:r w:rsidRPr="0013771F">
        <w:rPr>
          <w:rFonts w:cs="David"/>
          <w:b/>
          <w:bCs/>
          <w:i/>
          <w:iCs/>
          <w:u w:val="single"/>
          <w:rtl/>
        </w:rPr>
        <w:t xml:space="preserve"> לא</w:t>
      </w:r>
      <w:r w:rsidRPr="0013771F">
        <w:rPr>
          <w:rFonts w:cs="David"/>
          <w:b/>
          <w:bCs/>
          <w:i/>
          <w:iCs/>
          <w:rtl/>
        </w:rPr>
        <w:t xml:space="preserve"> יחול חוק שירות המדינה (גימלאות) (נוסח משולב), התש"ל – 1970 (להלן - חוק הגימלאות)".</w:t>
      </w:r>
      <w:r w:rsidR="007F337D" w:rsidRPr="0013771F">
        <w:rPr>
          <w:rFonts w:cs="David"/>
          <w:b/>
          <w:bCs/>
          <w:i/>
          <w:iCs/>
          <w:rtl/>
        </w:rPr>
        <w:t xml:space="preserve"> </w:t>
      </w:r>
      <w:r w:rsidR="002518F9" w:rsidRPr="0013771F">
        <w:rPr>
          <w:rFonts w:cs="David"/>
          <w:b/>
          <w:bCs/>
          <w:rtl/>
        </w:rPr>
        <w:t xml:space="preserve">סעיף 11 האמור קובע, אם כן, את </w:t>
      </w:r>
      <w:r w:rsidR="002518F9" w:rsidRPr="0013771F">
        <w:rPr>
          <w:rFonts w:cs="David"/>
          <w:b/>
          <w:bCs/>
          <w:u w:val="single"/>
          <w:rtl/>
        </w:rPr>
        <w:t xml:space="preserve">הכלל </w:t>
      </w:r>
      <w:r w:rsidR="002518F9" w:rsidRPr="0013771F">
        <w:rPr>
          <w:rFonts w:cs="David"/>
          <w:b/>
          <w:bCs/>
          <w:rtl/>
        </w:rPr>
        <w:t xml:space="preserve">לפיו על תקופת עבודתו של העובד לפי חוזה הבכירים </w:t>
      </w:r>
      <w:r w:rsidR="002518F9" w:rsidRPr="0013771F">
        <w:rPr>
          <w:rFonts w:cs="David"/>
          <w:b/>
          <w:bCs/>
          <w:u w:val="single"/>
          <w:rtl/>
        </w:rPr>
        <w:t>לא</w:t>
      </w:r>
      <w:r w:rsidR="002518F9" w:rsidRPr="0013771F">
        <w:rPr>
          <w:rFonts w:cs="David"/>
          <w:b/>
          <w:bCs/>
          <w:rtl/>
        </w:rPr>
        <w:t xml:space="preserve"> חל</w:t>
      </w:r>
      <w:r w:rsidR="006B2174" w:rsidRPr="0013771F">
        <w:rPr>
          <w:rFonts w:cs="David"/>
          <w:b/>
          <w:bCs/>
          <w:rtl/>
        </w:rPr>
        <w:t>ות</w:t>
      </w:r>
      <w:r w:rsidR="002518F9" w:rsidRPr="0013771F">
        <w:rPr>
          <w:rFonts w:cs="David"/>
          <w:b/>
          <w:bCs/>
          <w:rtl/>
        </w:rPr>
        <w:t xml:space="preserve"> </w:t>
      </w:r>
      <w:r w:rsidR="006B2174" w:rsidRPr="0013771F">
        <w:rPr>
          <w:rFonts w:cs="David"/>
          <w:b/>
          <w:bCs/>
          <w:rtl/>
        </w:rPr>
        <w:t xml:space="preserve">הוראות </w:t>
      </w:r>
      <w:r w:rsidR="002518F9" w:rsidRPr="0013771F">
        <w:rPr>
          <w:rFonts w:cs="David"/>
          <w:b/>
          <w:bCs/>
          <w:rtl/>
        </w:rPr>
        <w:t>חוק הגימלאות.</w:t>
      </w:r>
      <w:r w:rsidR="002B3B9D" w:rsidRPr="0013771F">
        <w:rPr>
          <w:rFonts w:cs="David"/>
          <w:b/>
          <w:bCs/>
          <w:rtl/>
        </w:rPr>
        <w:t xml:space="preserve"> כל חריג לכלל זה חייב היה להיכתב במפורש ובצורה ברורה</w:t>
      </w:r>
      <w:r w:rsidR="002B3B9D" w:rsidRPr="0013771F">
        <w:rPr>
          <w:rFonts w:cs="David"/>
          <w:rtl/>
        </w:rPr>
        <w:t>. ודוק – אם רצתה המדינה לקבוע כי המועד הקובע לערעור על הגימלה לפי חוזה הבכירים הוא בהתאם לחוק, היה הדבר צריך להיכתב במפורש בחוזה.</w:t>
      </w:r>
    </w:p>
    <w:p w:rsidR="002B3B9D" w:rsidRPr="0013771F" w:rsidRDefault="002B3B9D" w:rsidP="0013771F">
      <w:pPr>
        <w:pStyle w:val="a8"/>
        <w:tabs>
          <w:tab w:val="left" w:pos="674"/>
        </w:tabs>
        <w:spacing w:after="220" w:line="360" w:lineRule="auto"/>
        <w:ind w:left="674"/>
        <w:rPr>
          <w:rFonts w:cs="David"/>
          <w:b/>
          <w:bCs/>
        </w:rPr>
      </w:pPr>
      <w:r w:rsidRPr="0013771F">
        <w:rPr>
          <w:rFonts w:cs="David"/>
          <w:rtl/>
        </w:rPr>
        <w:t xml:space="preserve">כידוע, ופסק הדין אינו מתיימר לקבוע אחרת, </w:t>
      </w:r>
      <w:r w:rsidR="00722932" w:rsidRPr="0013771F">
        <w:rPr>
          <w:rFonts w:cs="David"/>
          <w:b/>
          <w:bCs/>
          <w:rtl/>
        </w:rPr>
        <w:t xml:space="preserve">חוזה הבכירים </w:t>
      </w:r>
      <w:r w:rsidR="00722932" w:rsidRPr="0013771F">
        <w:rPr>
          <w:rFonts w:cs="David"/>
          <w:b/>
          <w:bCs/>
          <w:u w:val="single"/>
          <w:rtl/>
        </w:rPr>
        <w:t>אינו</w:t>
      </w:r>
      <w:r w:rsidR="00722932" w:rsidRPr="0013771F">
        <w:rPr>
          <w:rFonts w:cs="David"/>
          <w:b/>
          <w:bCs/>
          <w:rtl/>
        </w:rPr>
        <w:t xml:space="preserve"> קובע כי חוק הגמלאות חל גם על המועד הקובע להגשת ערעור</w:t>
      </w:r>
      <w:r w:rsidR="006B2174" w:rsidRPr="0013771F">
        <w:rPr>
          <w:rFonts w:cs="David"/>
          <w:b/>
          <w:bCs/>
          <w:rtl/>
        </w:rPr>
        <w:t xml:space="preserve"> </w:t>
      </w:r>
      <w:r w:rsidR="006B2174" w:rsidRPr="0013771F">
        <w:rPr>
          <w:rFonts w:cs="David"/>
          <w:rtl/>
        </w:rPr>
        <w:t>(סעיף 43 לחוק הגימלאות)</w:t>
      </w:r>
      <w:r w:rsidR="00722932" w:rsidRPr="0013771F">
        <w:rPr>
          <w:rFonts w:cs="David"/>
          <w:rtl/>
        </w:rPr>
        <w:t>.</w:t>
      </w:r>
      <w:r w:rsidR="00722932" w:rsidRPr="0013771F">
        <w:rPr>
          <w:rFonts w:cs="David"/>
          <w:b/>
          <w:bCs/>
          <w:rtl/>
        </w:rPr>
        <w:t xml:space="preserve"> </w:t>
      </w:r>
    </w:p>
    <w:p w:rsidR="002518F9" w:rsidRPr="0013771F" w:rsidRDefault="007223B4" w:rsidP="0013771F">
      <w:pPr>
        <w:pStyle w:val="a8"/>
        <w:numPr>
          <w:ilvl w:val="0"/>
          <w:numId w:val="9"/>
        </w:numPr>
        <w:tabs>
          <w:tab w:val="left" w:pos="674"/>
        </w:tabs>
        <w:spacing w:after="220" w:line="360" w:lineRule="auto"/>
        <w:ind w:left="674" w:hanging="630"/>
        <w:rPr>
          <w:rFonts w:cs="David"/>
        </w:rPr>
      </w:pPr>
      <w:r w:rsidRPr="0013771F">
        <w:rPr>
          <w:rFonts w:cs="David"/>
          <w:rtl/>
        </w:rPr>
        <w:t>טעה בית הדין קמא כאשר התעלם</w:t>
      </w:r>
      <w:r w:rsidR="00E332AC" w:rsidRPr="0013771F">
        <w:rPr>
          <w:rFonts w:cs="David"/>
          <w:rtl/>
        </w:rPr>
        <w:t xml:space="preserve"> </w:t>
      </w:r>
      <w:r w:rsidRPr="0013771F">
        <w:rPr>
          <w:rFonts w:cs="David"/>
          <w:rtl/>
        </w:rPr>
        <w:t>מ</w:t>
      </w:r>
      <w:r w:rsidR="00E332AC" w:rsidRPr="0013771F">
        <w:rPr>
          <w:rFonts w:cs="David"/>
          <w:rtl/>
        </w:rPr>
        <w:t xml:space="preserve">הכלל </w:t>
      </w:r>
      <w:r w:rsidRPr="0013771F">
        <w:rPr>
          <w:rFonts w:cs="David"/>
          <w:rtl/>
        </w:rPr>
        <w:t>הבסיסי בפרשנות חוזים</w:t>
      </w:r>
      <w:r w:rsidR="00E332AC" w:rsidRPr="0013771F">
        <w:rPr>
          <w:rFonts w:cs="David"/>
          <w:rtl/>
        </w:rPr>
        <w:t xml:space="preserve">, </w:t>
      </w:r>
      <w:r w:rsidRPr="0013771F">
        <w:rPr>
          <w:rFonts w:cs="David"/>
          <w:rtl/>
        </w:rPr>
        <w:t xml:space="preserve">ולפיו </w:t>
      </w:r>
      <w:r w:rsidR="00E332AC" w:rsidRPr="0013771F">
        <w:rPr>
          <w:rFonts w:cs="David"/>
          <w:rtl/>
        </w:rPr>
        <w:t xml:space="preserve">מקום בו נקבע כלל בחוזה – על ידי המדינה שניסחה את החוזה </w:t>
      </w:r>
      <w:r w:rsidR="00E332AC" w:rsidRPr="0013771F">
        <w:rPr>
          <w:rFonts w:cs="David"/>
          <w:b/>
          <w:bCs/>
          <w:rtl/>
        </w:rPr>
        <w:t xml:space="preserve">– </w:t>
      </w:r>
      <w:r w:rsidR="00E332AC" w:rsidRPr="0013771F">
        <w:rPr>
          <w:rFonts w:cs="David"/>
          <w:b/>
          <w:bCs/>
          <w:u w:val="single"/>
          <w:rtl/>
        </w:rPr>
        <w:t>כל חריג לכלל זה חייב להיכתב במפורש</w:t>
      </w:r>
      <w:r w:rsidR="00E332AC" w:rsidRPr="0013771F">
        <w:rPr>
          <w:rFonts w:cs="David"/>
          <w:rtl/>
        </w:rPr>
        <w:t xml:space="preserve">. מאחר שהמדינה בחרה להתעלם משאלה זאת, בחוזה אותו ניסחה, </w:t>
      </w:r>
      <w:r w:rsidR="00E332AC" w:rsidRPr="0013771F">
        <w:rPr>
          <w:rFonts w:cs="David"/>
          <w:b/>
          <w:bCs/>
          <w:rtl/>
        </w:rPr>
        <w:t>הרי שהמועד הקבוע להגשת ערעור בחוק הגימלאות אינו חל על היחסים בין הצדדים, כפי שנקבעו בחוזה הבכירים.</w:t>
      </w:r>
    </w:p>
    <w:p w:rsidR="00E332AC" w:rsidRPr="0013771F" w:rsidRDefault="00E332AC" w:rsidP="0013771F">
      <w:pPr>
        <w:pStyle w:val="a8"/>
        <w:tabs>
          <w:tab w:val="left" w:pos="674"/>
        </w:tabs>
        <w:spacing w:after="220" w:line="360" w:lineRule="auto"/>
        <w:rPr>
          <w:rFonts w:cs="David"/>
          <w:b/>
          <w:bCs/>
          <w:u w:val="single"/>
          <w:rtl/>
        </w:rPr>
      </w:pPr>
      <w:r w:rsidRPr="0013771F">
        <w:rPr>
          <w:rFonts w:cs="David"/>
          <w:b/>
          <w:bCs/>
          <w:u w:val="single"/>
          <w:rtl/>
        </w:rPr>
        <w:t xml:space="preserve">טעה בית הדין קמא </w:t>
      </w:r>
      <w:r w:rsidR="00491A25" w:rsidRPr="0013771F">
        <w:rPr>
          <w:rFonts w:cs="David"/>
          <w:b/>
          <w:bCs/>
          <w:u w:val="single"/>
          <w:rtl/>
        </w:rPr>
        <w:t xml:space="preserve">בקביעה הכוללנית </w:t>
      </w:r>
      <w:r w:rsidR="00FE1A18" w:rsidRPr="0013771F">
        <w:rPr>
          <w:rFonts w:cs="David"/>
          <w:b/>
          <w:bCs/>
          <w:u w:val="single"/>
          <w:rtl/>
        </w:rPr>
        <w:t>בדבר הזכויות החלות על המערער מכוח</w:t>
      </w:r>
      <w:r w:rsidR="001705DA" w:rsidRPr="0013771F">
        <w:rPr>
          <w:rFonts w:cs="David"/>
          <w:b/>
          <w:bCs/>
          <w:u w:val="single"/>
          <w:rtl/>
        </w:rPr>
        <w:t xml:space="preserve"> חוק </w:t>
      </w:r>
      <w:r w:rsidR="00FE1A18" w:rsidRPr="0013771F">
        <w:rPr>
          <w:rFonts w:cs="David"/>
          <w:b/>
          <w:bCs/>
          <w:u w:val="single"/>
          <w:rtl/>
        </w:rPr>
        <w:t>הגמלאות</w:t>
      </w:r>
    </w:p>
    <w:p w:rsidR="0017017A" w:rsidRPr="0013771F" w:rsidRDefault="006B2174" w:rsidP="0013771F">
      <w:pPr>
        <w:pStyle w:val="a8"/>
        <w:numPr>
          <w:ilvl w:val="0"/>
          <w:numId w:val="9"/>
        </w:numPr>
        <w:tabs>
          <w:tab w:val="left" w:pos="674"/>
        </w:tabs>
        <w:spacing w:after="220" w:line="360" w:lineRule="auto"/>
        <w:ind w:left="674" w:hanging="630"/>
        <w:rPr>
          <w:rFonts w:cs="David"/>
        </w:rPr>
      </w:pPr>
      <w:r w:rsidRPr="0013771F">
        <w:rPr>
          <w:rFonts w:cs="David"/>
          <w:rtl/>
        </w:rPr>
        <w:t>בית הדין קמא קבע, בסעיף 38 לפסק הדין, כי בהתאם לסעיף 12(ה) לחוזה הבכירים</w:t>
      </w:r>
      <w:r w:rsidR="0017017A" w:rsidRPr="0013771F">
        <w:rPr>
          <w:rFonts w:cs="David"/>
          <w:rtl/>
        </w:rPr>
        <w:t xml:space="preserve"> - "</w:t>
      </w:r>
      <w:r w:rsidR="0017017A" w:rsidRPr="0013771F">
        <w:rPr>
          <w:rFonts w:cs="David"/>
          <w:b/>
          <w:bCs/>
          <w:i/>
          <w:iCs/>
          <w:rtl/>
        </w:rPr>
        <w:t xml:space="preserve">על זכותו של התובע לגמלה חלות </w:t>
      </w:r>
      <w:r w:rsidR="0017017A" w:rsidRPr="0013771F">
        <w:rPr>
          <w:rFonts w:cs="David"/>
          <w:b/>
          <w:bCs/>
          <w:i/>
          <w:iCs/>
          <w:u w:val="single"/>
          <w:rtl/>
        </w:rPr>
        <w:t>הזכויות</w:t>
      </w:r>
      <w:r w:rsidR="0017017A" w:rsidRPr="0013771F">
        <w:rPr>
          <w:rFonts w:cs="David"/>
          <w:b/>
          <w:bCs/>
          <w:i/>
          <w:iCs/>
          <w:rtl/>
        </w:rPr>
        <w:t xml:space="preserve"> הקבועות בחוק הגמלאות, ובכלל זה </w:t>
      </w:r>
      <w:r w:rsidR="0017017A" w:rsidRPr="0013771F">
        <w:rPr>
          <w:rFonts w:cs="David"/>
          <w:b/>
          <w:bCs/>
          <w:i/>
          <w:iCs/>
          <w:u w:val="single"/>
          <w:rtl/>
        </w:rPr>
        <w:t>הזכות</w:t>
      </w:r>
      <w:r w:rsidR="0017017A" w:rsidRPr="0013771F">
        <w:rPr>
          <w:rFonts w:cs="David"/>
          <w:b/>
          <w:bCs/>
          <w:i/>
          <w:iCs/>
          <w:rtl/>
        </w:rPr>
        <w:t xml:space="preserve"> להגיש ערעור גמלאות לפי סעיף 43 לחוק הגמלאות במועד שנקבע בתקנות הגמלאות</w:t>
      </w:r>
      <w:r w:rsidR="0017017A" w:rsidRPr="0013771F">
        <w:rPr>
          <w:rFonts w:cs="David"/>
          <w:rtl/>
        </w:rPr>
        <w:t>".</w:t>
      </w:r>
      <w:r w:rsidR="007F337D" w:rsidRPr="0013771F">
        <w:rPr>
          <w:rFonts w:cs="David"/>
          <w:rtl/>
        </w:rPr>
        <w:t xml:space="preserve"> </w:t>
      </w:r>
      <w:r w:rsidR="0017017A" w:rsidRPr="0013771F">
        <w:rPr>
          <w:rFonts w:cs="David"/>
          <w:rtl/>
        </w:rPr>
        <w:t xml:space="preserve">טעה בית הדין קמא </w:t>
      </w:r>
      <w:r w:rsidR="007223B4" w:rsidRPr="0013771F">
        <w:rPr>
          <w:rFonts w:cs="David"/>
          <w:rtl/>
        </w:rPr>
        <w:t xml:space="preserve">כאשר התייחס לזכות לערעור לפי סעיף 43 לחוק הגמלאות כ – "זכות" שניתנה למערער. </w:t>
      </w:r>
    </w:p>
    <w:p w:rsidR="00FE1A18" w:rsidRPr="0013771F" w:rsidRDefault="00FE1A18" w:rsidP="0013771F">
      <w:pPr>
        <w:pStyle w:val="a8"/>
        <w:numPr>
          <w:ilvl w:val="0"/>
          <w:numId w:val="9"/>
        </w:numPr>
        <w:tabs>
          <w:tab w:val="left" w:pos="674"/>
        </w:tabs>
        <w:spacing w:after="220" w:line="360" w:lineRule="auto"/>
        <w:ind w:left="674" w:hanging="630"/>
        <w:rPr>
          <w:rFonts w:cs="David"/>
          <w:b/>
          <w:bCs/>
          <w:rtl/>
        </w:rPr>
      </w:pPr>
      <w:r w:rsidRPr="0013771F">
        <w:rPr>
          <w:rFonts w:cs="David"/>
          <w:rtl/>
        </w:rPr>
        <w:t xml:space="preserve">סעיף 12 לחוזה הבכירים, אליו התייחס בית הדין קמא בסעיף 36 לפסק הדין, קובע את העיקרון לפיו תצורף תקופת השירות בחוזה בכירים לתקופת השירות על פי כתב המינוי. </w:t>
      </w:r>
      <w:r w:rsidR="002B6127" w:rsidRPr="0013771F">
        <w:rPr>
          <w:rFonts w:cs="David"/>
          <w:rtl/>
        </w:rPr>
        <w:t>ס</w:t>
      </w:r>
      <w:r w:rsidRPr="0013771F">
        <w:rPr>
          <w:rFonts w:cs="David"/>
          <w:rtl/>
        </w:rPr>
        <w:t xml:space="preserve">עיף 12 האמור מפרט את </w:t>
      </w:r>
      <w:r w:rsidRPr="0013771F">
        <w:rPr>
          <w:rFonts w:cs="David"/>
          <w:b/>
          <w:bCs/>
          <w:rtl/>
        </w:rPr>
        <w:t xml:space="preserve">התנאים השונים לצירוף התקופה ולגובה הגמלה שתשולם </w:t>
      </w:r>
      <w:r w:rsidRPr="0013771F">
        <w:rPr>
          <w:rFonts w:cs="David"/>
          <w:b/>
          <w:bCs/>
          <w:u w:val="single"/>
          <w:rtl/>
        </w:rPr>
        <w:t>למשיב עבור שתי התקופות</w:t>
      </w:r>
      <w:r w:rsidRPr="0013771F">
        <w:rPr>
          <w:rFonts w:cs="David"/>
          <w:b/>
          <w:bCs/>
          <w:rtl/>
        </w:rPr>
        <w:t xml:space="preserve">.  </w:t>
      </w:r>
      <w:r w:rsidRPr="0013771F">
        <w:rPr>
          <w:rFonts w:cs="David"/>
          <w:rtl/>
        </w:rPr>
        <w:t xml:space="preserve">ודוק - </w:t>
      </w:r>
      <w:r w:rsidRPr="0013771F">
        <w:rPr>
          <w:rFonts w:cs="David"/>
          <w:b/>
          <w:bCs/>
          <w:rtl/>
        </w:rPr>
        <w:t>צירוף התקופות אינו קובע כי "הזכות" לערעור תהיה על פי חוק הגמלאות, אלא אך ורק "</w:t>
      </w:r>
      <w:r w:rsidRPr="0013771F">
        <w:rPr>
          <w:rFonts w:cs="David"/>
          <w:b/>
          <w:bCs/>
          <w:u w:val="single"/>
          <w:rtl/>
        </w:rPr>
        <w:t>הזכות לגימלאות</w:t>
      </w:r>
      <w:r w:rsidRPr="0013771F">
        <w:rPr>
          <w:rFonts w:cs="David"/>
          <w:b/>
          <w:bCs/>
          <w:rtl/>
        </w:rPr>
        <w:t>".</w:t>
      </w:r>
    </w:p>
    <w:p w:rsidR="00F60482" w:rsidRDefault="0017017A" w:rsidP="0013771F">
      <w:pPr>
        <w:pStyle w:val="a8"/>
        <w:numPr>
          <w:ilvl w:val="0"/>
          <w:numId w:val="9"/>
        </w:numPr>
        <w:tabs>
          <w:tab w:val="left" w:pos="674"/>
        </w:tabs>
        <w:spacing w:after="220" w:line="360" w:lineRule="auto"/>
        <w:ind w:left="674" w:hanging="630"/>
        <w:rPr>
          <w:rFonts w:cs="David"/>
        </w:rPr>
      </w:pPr>
      <w:r w:rsidRPr="0013771F">
        <w:rPr>
          <w:rFonts w:cs="David"/>
          <w:rtl/>
        </w:rPr>
        <w:t xml:space="preserve">סעיף 43 לחוק הגימלאות </w:t>
      </w:r>
      <w:r w:rsidRPr="0013771F">
        <w:rPr>
          <w:rFonts w:cs="David"/>
          <w:b/>
          <w:bCs/>
          <w:u w:val="single"/>
          <w:rtl/>
        </w:rPr>
        <w:t xml:space="preserve">מגביל </w:t>
      </w:r>
      <w:r w:rsidRPr="0013771F">
        <w:rPr>
          <w:rFonts w:cs="David"/>
          <w:b/>
          <w:bCs/>
          <w:rtl/>
        </w:rPr>
        <w:t>את זכותו הטבעית של עובד לפנות לערכאות</w:t>
      </w:r>
      <w:r w:rsidRPr="0013771F">
        <w:rPr>
          <w:rFonts w:cs="David"/>
          <w:rtl/>
        </w:rPr>
        <w:t xml:space="preserve">. ההתייחסות של בית הדין קמא להגבלת המועד להגשת הערעור כ"זכות" שניתנה למערער במסגרת חוזה הבכירים שגויה מיסודה. </w:t>
      </w:r>
      <w:r w:rsidRPr="0013771F">
        <w:rPr>
          <w:rFonts w:cs="David"/>
          <w:b/>
          <w:bCs/>
          <w:u w:val="single"/>
          <w:rtl/>
        </w:rPr>
        <w:t>אין מדובר בזכות, אלא בהגבלת זכות קיימת</w:t>
      </w:r>
      <w:r w:rsidRPr="0013771F">
        <w:rPr>
          <w:rFonts w:cs="David"/>
          <w:rtl/>
        </w:rPr>
        <w:t>.</w:t>
      </w:r>
      <w:r w:rsidR="002B6127" w:rsidRPr="0013771F">
        <w:rPr>
          <w:rFonts w:cs="David"/>
          <w:rtl/>
        </w:rPr>
        <w:t xml:space="preserve"> </w:t>
      </w:r>
    </w:p>
    <w:p w:rsidR="00215E81" w:rsidRDefault="007223B4" w:rsidP="00215E81">
      <w:pPr>
        <w:pStyle w:val="a8"/>
        <w:tabs>
          <w:tab w:val="left" w:pos="674"/>
        </w:tabs>
        <w:spacing w:after="220" w:line="360" w:lineRule="auto"/>
        <w:ind w:left="674"/>
        <w:rPr>
          <w:rFonts w:cs="David"/>
          <w:rtl/>
        </w:rPr>
      </w:pPr>
      <w:r w:rsidRPr="001A50DD">
        <w:rPr>
          <w:rFonts w:cs="David"/>
          <w:rtl/>
        </w:rPr>
        <w:lastRenderedPageBreak/>
        <w:t>המערער יטען</w:t>
      </w:r>
      <w:r w:rsidR="0017017A" w:rsidRPr="0013771F">
        <w:rPr>
          <w:rFonts w:cs="David"/>
          <w:b/>
          <w:bCs/>
          <w:rtl/>
        </w:rPr>
        <w:t xml:space="preserve"> </w:t>
      </w:r>
      <w:r w:rsidRPr="0013771F">
        <w:rPr>
          <w:rFonts w:cs="David"/>
          <w:rtl/>
        </w:rPr>
        <w:t>כי</w:t>
      </w:r>
      <w:r w:rsidR="0017017A" w:rsidRPr="0013771F">
        <w:rPr>
          <w:rFonts w:cs="David"/>
          <w:rtl/>
        </w:rPr>
        <w:t xml:space="preserve"> </w:t>
      </w:r>
      <w:r w:rsidRPr="0013771F">
        <w:rPr>
          <w:rFonts w:cs="David"/>
          <w:b/>
          <w:bCs/>
          <w:rtl/>
        </w:rPr>
        <w:t>מדובר בהוראה</w:t>
      </w:r>
      <w:r w:rsidR="0017017A" w:rsidRPr="0013771F">
        <w:rPr>
          <w:rFonts w:cs="David"/>
          <w:b/>
          <w:bCs/>
          <w:rtl/>
        </w:rPr>
        <w:t xml:space="preserve"> </w:t>
      </w:r>
      <w:r w:rsidRPr="0013771F">
        <w:rPr>
          <w:rFonts w:cs="David"/>
          <w:b/>
          <w:bCs/>
          <w:rtl/>
        </w:rPr>
        <w:t>מגבילה</w:t>
      </w:r>
      <w:r w:rsidR="0017017A" w:rsidRPr="0013771F">
        <w:rPr>
          <w:rFonts w:cs="David"/>
          <w:b/>
          <w:bCs/>
          <w:rtl/>
        </w:rPr>
        <w:t xml:space="preserve"> </w:t>
      </w:r>
      <w:r w:rsidRPr="0013771F">
        <w:rPr>
          <w:rFonts w:cs="David"/>
          <w:b/>
          <w:bCs/>
          <w:rtl/>
        </w:rPr>
        <w:t>ש</w:t>
      </w:r>
      <w:r w:rsidR="00DB0310" w:rsidRPr="0013771F">
        <w:rPr>
          <w:rFonts w:cs="David"/>
          <w:b/>
          <w:bCs/>
          <w:rtl/>
        </w:rPr>
        <w:t>גורעת מ</w:t>
      </w:r>
      <w:r w:rsidR="0017017A" w:rsidRPr="0013771F">
        <w:rPr>
          <w:rFonts w:cs="David"/>
          <w:b/>
          <w:bCs/>
          <w:rtl/>
        </w:rPr>
        <w:t>זכויותיו של העובד</w:t>
      </w:r>
      <w:r w:rsidR="00DB0310" w:rsidRPr="0013771F">
        <w:rPr>
          <w:rFonts w:cs="David"/>
          <w:b/>
          <w:bCs/>
          <w:rtl/>
        </w:rPr>
        <w:t xml:space="preserve"> ואינה מוסיפה להן</w:t>
      </w:r>
      <w:r w:rsidRPr="0013771F">
        <w:rPr>
          <w:rFonts w:cs="David"/>
          <w:b/>
          <w:bCs/>
          <w:rtl/>
        </w:rPr>
        <w:t xml:space="preserve">, </w:t>
      </w:r>
      <w:r w:rsidR="00DB0310" w:rsidRPr="0013771F">
        <w:rPr>
          <w:rFonts w:cs="David"/>
          <w:b/>
          <w:bCs/>
          <w:rtl/>
        </w:rPr>
        <w:t xml:space="preserve">בניגוד מוחלט לכוונת הצדדים, כפי שעולה ממטרות הוזה ותנאיו, </w:t>
      </w:r>
      <w:r w:rsidRPr="0013771F">
        <w:rPr>
          <w:rFonts w:cs="David"/>
          <w:b/>
          <w:bCs/>
          <w:rtl/>
        </w:rPr>
        <w:t>ועל כן אין לראות בה זכות</w:t>
      </w:r>
      <w:r w:rsidR="0017017A" w:rsidRPr="0013771F">
        <w:rPr>
          <w:rFonts w:cs="David"/>
          <w:rtl/>
        </w:rPr>
        <w:t xml:space="preserve">. </w:t>
      </w:r>
      <w:r w:rsidRPr="0013771F">
        <w:rPr>
          <w:rFonts w:cs="David"/>
          <w:rtl/>
        </w:rPr>
        <w:t xml:space="preserve">לטעמנו, </w:t>
      </w:r>
      <w:r w:rsidR="0017017A" w:rsidRPr="0013771F">
        <w:rPr>
          <w:rFonts w:cs="David"/>
          <w:rtl/>
        </w:rPr>
        <w:t>הזכות של העובד להגיש תביעה נגד קביעת הממונה עומדת בעינה, מבלי שהחוזה מבקש להגבילה או לבטלה.</w:t>
      </w:r>
    </w:p>
    <w:p w:rsidR="00916E11" w:rsidRDefault="00916E11" w:rsidP="00916E11">
      <w:pPr>
        <w:pStyle w:val="a8"/>
        <w:numPr>
          <w:ilvl w:val="0"/>
          <w:numId w:val="9"/>
        </w:numPr>
        <w:tabs>
          <w:tab w:val="left" w:pos="674"/>
        </w:tabs>
        <w:spacing w:after="220" w:line="360" w:lineRule="auto"/>
        <w:ind w:left="674" w:hanging="630"/>
        <w:rPr>
          <w:rFonts w:cs="David"/>
        </w:rPr>
      </w:pPr>
      <w:r>
        <w:rPr>
          <w:rFonts w:cs="David"/>
          <w:rtl/>
        </w:rPr>
        <w:t>ממילא יש לראות בהנחיות שקיבל המערער לפנות לנציבות שירות המדינה ולא להגיש ערעור, הכרה בכך שגם המדינה סברה שחוק הגימלאות ומועד הערעור הקבוע בו, אינם חלים עליו.</w:t>
      </w:r>
    </w:p>
    <w:p w:rsidR="00FE1A18" w:rsidRPr="0013771F" w:rsidRDefault="00FE1A18" w:rsidP="00916E11">
      <w:pPr>
        <w:pStyle w:val="a8"/>
        <w:tabs>
          <w:tab w:val="left" w:pos="674"/>
        </w:tabs>
        <w:spacing w:after="220" w:line="360" w:lineRule="auto"/>
        <w:rPr>
          <w:rFonts w:cs="David"/>
          <w:b/>
          <w:bCs/>
          <w:u w:val="single"/>
          <w:rtl/>
        </w:rPr>
      </w:pPr>
      <w:r w:rsidRPr="0013771F">
        <w:rPr>
          <w:rFonts w:cs="David"/>
          <w:b/>
          <w:bCs/>
          <w:u w:val="single"/>
          <w:rtl/>
        </w:rPr>
        <w:t xml:space="preserve">טעה בית הדין </w:t>
      </w:r>
      <w:r w:rsidR="00523912" w:rsidRPr="0013771F">
        <w:rPr>
          <w:rFonts w:cs="David"/>
          <w:b/>
          <w:bCs/>
          <w:u w:val="single"/>
          <w:rtl/>
        </w:rPr>
        <w:t xml:space="preserve">הנכבד </w:t>
      </w:r>
      <w:r w:rsidRPr="0013771F">
        <w:rPr>
          <w:rFonts w:cs="David"/>
          <w:b/>
          <w:bCs/>
          <w:u w:val="single"/>
          <w:rtl/>
        </w:rPr>
        <w:t>קמא כאשר התעלם מהוראות סעיף 13 לחוזה הבכירים</w:t>
      </w:r>
    </w:p>
    <w:p w:rsidR="00985B99" w:rsidRPr="0013771F" w:rsidRDefault="00FE1A18" w:rsidP="0013771F">
      <w:pPr>
        <w:pStyle w:val="a8"/>
        <w:numPr>
          <w:ilvl w:val="0"/>
          <w:numId w:val="9"/>
        </w:numPr>
        <w:tabs>
          <w:tab w:val="left" w:pos="674"/>
        </w:tabs>
        <w:spacing w:after="220" w:line="360" w:lineRule="auto"/>
        <w:ind w:left="674" w:hanging="630"/>
        <w:rPr>
          <w:rFonts w:cs="David"/>
        </w:rPr>
      </w:pPr>
      <w:r w:rsidRPr="0013771F">
        <w:rPr>
          <w:rFonts w:cs="David"/>
          <w:rtl/>
        </w:rPr>
        <w:t xml:space="preserve">בית הדין קמא בחר לנתח, בכל הכבוד – בצורה שגויה, את סעיף 12 לחוזה הבכירים, תוך שהוא מתעלם לחלוטין מסעיף 13 לחוזה, אשר מפריך את התחולה של חוק הגמלאות על תקופת העבודה לפי חוזה בכירים. </w:t>
      </w:r>
      <w:r w:rsidR="002B6127" w:rsidRPr="0013771F">
        <w:rPr>
          <w:rFonts w:cs="David"/>
          <w:rtl/>
        </w:rPr>
        <w:t xml:space="preserve"> </w:t>
      </w:r>
      <w:r w:rsidR="00985B99" w:rsidRPr="0013771F">
        <w:rPr>
          <w:rFonts w:cs="David"/>
          <w:rtl/>
        </w:rPr>
        <w:t>סעיף 13 לחוזה הבכירים קובע כי</w:t>
      </w:r>
      <w:r w:rsidR="00985B99" w:rsidRPr="0013771F">
        <w:rPr>
          <w:rFonts w:cs="David"/>
          <w:b/>
          <w:bCs/>
          <w:rtl/>
        </w:rPr>
        <w:t xml:space="preserve"> - "</w:t>
      </w:r>
      <w:r w:rsidR="00985B99" w:rsidRPr="0013771F">
        <w:rPr>
          <w:rFonts w:cs="David"/>
          <w:b/>
          <w:bCs/>
          <w:i/>
          <w:iCs/>
          <w:rtl/>
        </w:rPr>
        <w:t xml:space="preserve">חוזה זה יראוהו </w:t>
      </w:r>
      <w:r w:rsidR="00985B99" w:rsidRPr="0013771F">
        <w:rPr>
          <w:rFonts w:cs="David"/>
          <w:b/>
          <w:bCs/>
          <w:i/>
          <w:iCs/>
          <w:u w:val="single"/>
          <w:rtl/>
        </w:rPr>
        <w:t>כהסכם וכחוזה יחידי</w:t>
      </w:r>
      <w:r w:rsidR="00985B99" w:rsidRPr="0013771F">
        <w:rPr>
          <w:rFonts w:cs="David"/>
          <w:b/>
          <w:bCs/>
          <w:i/>
          <w:iCs/>
          <w:rtl/>
        </w:rPr>
        <w:t xml:space="preserve"> לפי סעיף 92 ו – 107(א)(2) לחוק הגימלאות</w:t>
      </w:r>
      <w:r w:rsidR="00985B99" w:rsidRPr="0013771F">
        <w:rPr>
          <w:rFonts w:cs="David"/>
          <w:b/>
          <w:bCs/>
          <w:rtl/>
        </w:rPr>
        <w:t>".</w:t>
      </w:r>
      <w:r w:rsidR="001705DA" w:rsidRPr="0013771F">
        <w:rPr>
          <w:rFonts w:cs="David"/>
          <w:rtl/>
        </w:rPr>
        <w:t xml:space="preserve"> </w:t>
      </w:r>
    </w:p>
    <w:p w:rsidR="00985B99" w:rsidRPr="0013771F" w:rsidRDefault="00985B99" w:rsidP="0013771F">
      <w:pPr>
        <w:tabs>
          <w:tab w:val="left" w:pos="620"/>
        </w:tabs>
        <w:spacing w:after="220" w:line="360" w:lineRule="auto"/>
        <w:ind w:left="620"/>
        <w:jc w:val="both"/>
        <w:rPr>
          <w:rFonts w:cs="David"/>
          <w:b/>
          <w:bCs/>
          <w:rtl/>
        </w:rPr>
      </w:pPr>
      <w:r w:rsidRPr="0013771F">
        <w:rPr>
          <w:rFonts w:cs="David"/>
          <w:b/>
          <w:bCs/>
          <w:rtl/>
        </w:rPr>
        <w:t xml:space="preserve">סעיף 107(א)(2) לחוק הגימלאות קובע </w:t>
      </w:r>
      <w:r w:rsidR="002B6127" w:rsidRPr="0013771F">
        <w:rPr>
          <w:rFonts w:cs="David"/>
          <w:b/>
          <w:bCs/>
          <w:rtl/>
        </w:rPr>
        <w:t xml:space="preserve">כי הוראות חוק הגימלאות </w:t>
      </w:r>
      <w:r w:rsidR="002B6127" w:rsidRPr="0013771F">
        <w:rPr>
          <w:rFonts w:cs="David"/>
          <w:b/>
          <w:bCs/>
          <w:u w:val="single"/>
          <w:rtl/>
        </w:rPr>
        <w:t>לא</w:t>
      </w:r>
      <w:r w:rsidR="002B6127" w:rsidRPr="0013771F">
        <w:rPr>
          <w:rFonts w:cs="David"/>
          <w:b/>
          <w:bCs/>
          <w:rtl/>
        </w:rPr>
        <w:t xml:space="preserve"> יחולו - </w:t>
      </w:r>
      <w:r w:rsidR="002B6127" w:rsidRPr="0013771F">
        <w:rPr>
          <w:rStyle w:val="wsubclausecontent1"/>
          <w:rtl/>
        </w:rPr>
        <w:t>"</w:t>
      </w:r>
      <w:r w:rsidR="002B6127" w:rsidRPr="0013771F">
        <w:rPr>
          <w:rStyle w:val="wsubclausecontent1"/>
          <w:b/>
          <w:bCs/>
          <w:u w:val="single"/>
          <w:rtl/>
        </w:rPr>
        <w:t>על עובד המדינה המועסק כדין על פי חוזה יחידי</w:t>
      </w:r>
      <w:r w:rsidR="002B6127" w:rsidRPr="0013771F">
        <w:rPr>
          <w:rStyle w:val="wsubclausecontent1"/>
          <w:rtl/>
        </w:rPr>
        <w:t xml:space="preserve">, אם כך נקבע באותו חוזה ובמידה שנקבע;". </w:t>
      </w:r>
    </w:p>
    <w:p w:rsidR="00373974" w:rsidRPr="0013771F" w:rsidRDefault="00373974" w:rsidP="0013771F">
      <w:pPr>
        <w:pStyle w:val="a8"/>
        <w:numPr>
          <w:ilvl w:val="0"/>
          <w:numId w:val="9"/>
        </w:numPr>
        <w:tabs>
          <w:tab w:val="left" w:pos="674"/>
        </w:tabs>
        <w:spacing w:after="220" w:line="360" w:lineRule="auto"/>
        <w:ind w:left="674" w:hanging="630"/>
        <w:rPr>
          <w:rFonts w:cs="David"/>
        </w:rPr>
      </w:pPr>
      <w:r w:rsidRPr="0013771F">
        <w:rPr>
          <w:rFonts w:cs="David"/>
          <w:rtl/>
        </w:rPr>
        <w:t xml:space="preserve">בית הדין קמא כלל לא התייחס לסעיף 13 לחוזה הבכירים ולהפניות הקבועות בו לחוק הגימלאות. סעיף 13 האמור לחוזה הבכירים, והוראות חוק הגימלאות אליו מפנה סעיף 13, </w:t>
      </w:r>
      <w:r w:rsidR="00293273" w:rsidRPr="0013771F">
        <w:rPr>
          <w:rFonts w:cs="David"/>
          <w:rtl/>
        </w:rPr>
        <w:t>חוזרים</w:t>
      </w:r>
      <w:r w:rsidRPr="0013771F">
        <w:rPr>
          <w:rFonts w:cs="David"/>
          <w:rtl/>
        </w:rPr>
        <w:t xml:space="preserve"> בצורה ברורה </w:t>
      </w:r>
      <w:r w:rsidR="00293273" w:rsidRPr="0013771F">
        <w:rPr>
          <w:rFonts w:cs="David"/>
          <w:rtl/>
        </w:rPr>
        <w:t xml:space="preserve">על הכלל לפיו </w:t>
      </w:r>
      <w:r w:rsidRPr="0013771F">
        <w:rPr>
          <w:rFonts w:cs="David"/>
          <w:rtl/>
        </w:rPr>
        <w:t>הוראות חוק הגימלאות אינן חלות על תקופת ההעסקה בחוזה בכירים (למעט ההוראות שנקבעו במפורש, כמובן).</w:t>
      </w:r>
    </w:p>
    <w:p w:rsidR="00E658C9" w:rsidRPr="0013771F" w:rsidRDefault="00373974" w:rsidP="0013771F">
      <w:pPr>
        <w:pStyle w:val="a8"/>
        <w:tabs>
          <w:tab w:val="left" w:pos="674"/>
        </w:tabs>
        <w:spacing w:after="220" w:line="360" w:lineRule="auto"/>
        <w:ind w:left="675"/>
        <w:rPr>
          <w:rFonts w:cs="David"/>
        </w:rPr>
      </w:pPr>
      <w:r w:rsidRPr="0013771F">
        <w:rPr>
          <w:rFonts w:cs="David"/>
          <w:rtl/>
        </w:rPr>
        <w:t>כמו כן – בית הדין קמא טעה טעות מהותית כאשר התעלם מכך שכאשר ביקשה המדינה להפנות להוראות ספציפיות בחוק הגימלאות – היא עשתה זאת במפורש, כ</w:t>
      </w:r>
      <w:r w:rsidR="00E658C9" w:rsidRPr="0013771F">
        <w:rPr>
          <w:rFonts w:cs="David"/>
          <w:rtl/>
        </w:rPr>
        <w:t>פי שנעשה בסעיף 13 לחוזה הבכירים</w:t>
      </w:r>
      <w:r w:rsidR="00166E74" w:rsidRPr="0013771F">
        <w:rPr>
          <w:rFonts w:cs="David"/>
          <w:rtl/>
        </w:rPr>
        <w:t xml:space="preserve">, כמו גם </w:t>
      </w:r>
      <w:r w:rsidR="000F14D4" w:rsidRPr="0013771F">
        <w:rPr>
          <w:rFonts w:cs="David"/>
          <w:rtl/>
        </w:rPr>
        <w:t xml:space="preserve">בסעיפים </w:t>
      </w:r>
      <w:r w:rsidR="00166E74" w:rsidRPr="0013771F">
        <w:rPr>
          <w:rFonts w:cs="David"/>
          <w:rtl/>
        </w:rPr>
        <w:t xml:space="preserve">12.ד. </w:t>
      </w:r>
      <w:r w:rsidR="00EE5402" w:rsidRPr="0013771F">
        <w:rPr>
          <w:rFonts w:cs="David"/>
          <w:rtl/>
        </w:rPr>
        <w:t>ו-12</w:t>
      </w:r>
      <w:r w:rsidR="000F14D4" w:rsidRPr="0013771F">
        <w:rPr>
          <w:rFonts w:cs="David"/>
          <w:rtl/>
        </w:rPr>
        <w:t>.</w:t>
      </w:r>
      <w:r w:rsidR="00EE5402" w:rsidRPr="0013771F">
        <w:rPr>
          <w:rFonts w:cs="David"/>
          <w:rtl/>
        </w:rPr>
        <w:t>ח</w:t>
      </w:r>
      <w:r w:rsidR="000F14D4" w:rsidRPr="0013771F">
        <w:rPr>
          <w:rFonts w:cs="David"/>
          <w:rtl/>
        </w:rPr>
        <w:t>.</w:t>
      </w:r>
      <w:r w:rsidR="00EE5402" w:rsidRPr="0013771F">
        <w:rPr>
          <w:rFonts w:cs="David"/>
          <w:rtl/>
        </w:rPr>
        <w:t xml:space="preserve"> </w:t>
      </w:r>
      <w:r w:rsidR="00166E74" w:rsidRPr="0013771F">
        <w:rPr>
          <w:rFonts w:cs="David"/>
          <w:rtl/>
        </w:rPr>
        <w:t>לחוזה הבכירים, המפרט במפורש איזה סעיפים בחוק הגימלאות יחולו על העסקתו של המערער</w:t>
      </w:r>
      <w:r w:rsidR="006A1691" w:rsidRPr="0013771F">
        <w:rPr>
          <w:rFonts w:cs="David"/>
          <w:rtl/>
        </w:rPr>
        <w:t>.</w:t>
      </w:r>
    </w:p>
    <w:p w:rsidR="00373974" w:rsidRPr="0013771F" w:rsidRDefault="002B6127" w:rsidP="0013771F">
      <w:pPr>
        <w:pStyle w:val="a8"/>
        <w:numPr>
          <w:ilvl w:val="0"/>
          <w:numId w:val="9"/>
        </w:numPr>
        <w:tabs>
          <w:tab w:val="left" w:pos="674"/>
        </w:tabs>
        <w:spacing w:after="220" w:line="360" w:lineRule="auto"/>
        <w:ind w:left="674" w:hanging="630"/>
        <w:rPr>
          <w:rFonts w:cs="David"/>
          <w:b/>
          <w:bCs/>
        </w:rPr>
      </w:pPr>
      <w:r w:rsidRPr="0013771F">
        <w:rPr>
          <w:rFonts w:cs="David"/>
          <w:rtl/>
        </w:rPr>
        <w:t xml:space="preserve">על כן, </w:t>
      </w:r>
      <w:r w:rsidR="009A350B" w:rsidRPr="0013771F">
        <w:rPr>
          <w:rFonts w:cs="David"/>
          <w:b/>
          <w:bCs/>
          <w:rtl/>
        </w:rPr>
        <w:t>בהיעדר הפנייה מפורשת למועד הערעור הקבוע ב</w:t>
      </w:r>
      <w:r w:rsidR="00DB0310" w:rsidRPr="0013771F">
        <w:rPr>
          <w:rFonts w:cs="David"/>
          <w:b/>
          <w:bCs/>
          <w:rtl/>
        </w:rPr>
        <w:t xml:space="preserve">תקנות שהותקנו מכוח </w:t>
      </w:r>
      <w:r w:rsidR="009A350B" w:rsidRPr="0013771F">
        <w:rPr>
          <w:rFonts w:cs="David"/>
          <w:b/>
          <w:bCs/>
          <w:rtl/>
        </w:rPr>
        <w:t xml:space="preserve">חוק הגימלאות – מועד זה אינו יכול לחול על </w:t>
      </w:r>
      <w:r w:rsidR="00E640D9" w:rsidRPr="0013771F">
        <w:rPr>
          <w:rFonts w:cs="David"/>
          <w:b/>
          <w:bCs/>
          <w:rtl/>
        </w:rPr>
        <w:t>מועד הערעור על קביעת גמלתו של</w:t>
      </w:r>
      <w:r w:rsidR="009A350B" w:rsidRPr="0013771F">
        <w:rPr>
          <w:rFonts w:cs="David"/>
          <w:b/>
          <w:bCs/>
          <w:rtl/>
        </w:rPr>
        <w:t xml:space="preserve"> המערער.</w:t>
      </w:r>
    </w:p>
    <w:p w:rsidR="00293273" w:rsidRPr="0013771F" w:rsidRDefault="00293273" w:rsidP="0013771F">
      <w:pPr>
        <w:pStyle w:val="a8"/>
        <w:tabs>
          <w:tab w:val="left" w:pos="674"/>
        </w:tabs>
        <w:spacing w:after="220" w:line="360" w:lineRule="auto"/>
        <w:rPr>
          <w:rFonts w:cs="David"/>
          <w:b/>
          <w:bCs/>
          <w:u w:val="single"/>
          <w:rtl/>
        </w:rPr>
      </w:pPr>
      <w:r w:rsidRPr="0013771F">
        <w:rPr>
          <w:rFonts w:cs="David"/>
          <w:b/>
          <w:bCs/>
          <w:u w:val="single"/>
          <w:rtl/>
        </w:rPr>
        <w:t>טעה בית הדין קמא כאשר התעלם מפסיקתו של בית הדין האזורי בעניין גרימברג</w:t>
      </w:r>
    </w:p>
    <w:p w:rsidR="007A5900" w:rsidRPr="0013771F" w:rsidRDefault="00293273" w:rsidP="0013771F">
      <w:pPr>
        <w:pStyle w:val="a8"/>
        <w:numPr>
          <w:ilvl w:val="0"/>
          <w:numId w:val="9"/>
        </w:numPr>
        <w:tabs>
          <w:tab w:val="left" w:pos="674"/>
        </w:tabs>
        <w:spacing w:after="220" w:line="360" w:lineRule="auto"/>
        <w:ind w:left="674" w:hanging="630"/>
        <w:rPr>
          <w:rFonts w:cs="David"/>
          <w:rtl/>
        </w:rPr>
      </w:pPr>
      <w:r w:rsidRPr="0013771F">
        <w:rPr>
          <w:rFonts w:cs="David"/>
          <w:rtl/>
        </w:rPr>
        <w:t xml:space="preserve">המערער הפנה את בית הדין קמא לפסק דין שניתן בפרשה דומה (תעא (חיפה) 319/07 </w:t>
      </w:r>
      <w:r w:rsidRPr="0013771F">
        <w:rPr>
          <w:rFonts w:cs="David"/>
          <w:b/>
          <w:bCs/>
          <w:rtl/>
        </w:rPr>
        <w:t>גרימברג סימון נ' עיריית קרית ביאליק, מדינת ישראל ואח'</w:t>
      </w:r>
      <w:r w:rsidRPr="0013771F">
        <w:rPr>
          <w:rFonts w:cs="David"/>
          <w:rtl/>
        </w:rPr>
        <w:t>) (להלן: "</w:t>
      </w:r>
      <w:r w:rsidRPr="0013771F">
        <w:rPr>
          <w:rFonts w:cs="David"/>
          <w:b/>
          <w:bCs/>
          <w:rtl/>
        </w:rPr>
        <w:t>פסק דין גרימברג</w:t>
      </w:r>
      <w:r w:rsidRPr="0013771F">
        <w:rPr>
          <w:rFonts w:cs="David"/>
          <w:rtl/>
        </w:rPr>
        <w:t>")</w:t>
      </w:r>
      <w:r w:rsidR="007A5900" w:rsidRPr="0013771F">
        <w:rPr>
          <w:rFonts w:cs="David"/>
          <w:rtl/>
        </w:rPr>
        <w:t>. בית הדין קמא קבע, בסעיף 41 לפסק הדין, כי פסק הדין גרימברג אינו מחייב אותו.</w:t>
      </w:r>
      <w:r w:rsidR="007F337D" w:rsidRPr="0013771F">
        <w:rPr>
          <w:rFonts w:cs="David"/>
          <w:rtl/>
        </w:rPr>
        <w:t xml:space="preserve"> </w:t>
      </w:r>
      <w:r w:rsidR="007A5900" w:rsidRPr="0013771F">
        <w:rPr>
          <w:rFonts w:cs="David"/>
          <w:rtl/>
        </w:rPr>
        <w:t>צדק בית הדין קמא כאשר קבע שפסק דין של בית הדין האזורי אינו מחייב אותו. טעה בית הדין קמא כאשר לא התייחס לניתוח בפסק הדין גרימברג</w:t>
      </w:r>
      <w:r w:rsidR="00F61C52" w:rsidRPr="0013771F">
        <w:rPr>
          <w:rFonts w:cs="David"/>
          <w:rtl/>
        </w:rPr>
        <w:t>, ומכך שזוהי הפסיקה הרלבנטית כיום בעניין תחולת המועדים בחוק הגימלאות על עובדים בחוזה בכירים, והיא שמנחה בעניין פרשנות החוזים והחוק</w:t>
      </w:r>
      <w:r w:rsidR="007A5900" w:rsidRPr="0013771F">
        <w:rPr>
          <w:rFonts w:cs="David"/>
          <w:rtl/>
        </w:rPr>
        <w:t>.</w:t>
      </w:r>
    </w:p>
    <w:p w:rsidR="0064695F" w:rsidRPr="00F65A30" w:rsidRDefault="007A5900" w:rsidP="0013771F">
      <w:pPr>
        <w:pStyle w:val="a8"/>
        <w:numPr>
          <w:ilvl w:val="0"/>
          <w:numId w:val="9"/>
        </w:numPr>
        <w:tabs>
          <w:tab w:val="left" w:pos="674"/>
        </w:tabs>
        <w:spacing w:after="220" w:line="360" w:lineRule="auto"/>
        <w:ind w:left="674" w:hanging="630"/>
        <w:rPr>
          <w:rFonts w:cs="David"/>
          <w:rtl/>
        </w:rPr>
      </w:pPr>
      <w:r w:rsidRPr="0013771F">
        <w:rPr>
          <w:rFonts w:cs="David"/>
          <w:rtl/>
        </w:rPr>
        <w:t xml:space="preserve">כאמור לעיל, פסק דין גרימברג הגיע למסקנה שונה בתכלית מהמסקנה אליה הגיע בית הדין קמא. באותו מקרה, </w:t>
      </w:r>
      <w:r w:rsidR="00985B99" w:rsidRPr="0013771F">
        <w:rPr>
          <w:rFonts w:cs="David"/>
          <w:rtl/>
        </w:rPr>
        <w:t xml:space="preserve">בית הדין האיזורי לעבודה בחיפה סקר את הרקע ליצירתו של חוזה הבכירים (באותו מקרה – ברשויות המקומיות), והגיע למסקנה </w:t>
      </w:r>
      <w:r w:rsidR="007F337D" w:rsidRPr="0013771F">
        <w:rPr>
          <w:rFonts w:cs="David"/>
          <w:rtl/>
        </w:rPr>
        <w:t xml:space="preserve">לפיה התובע (שם) הוחרג מפורשות מחוק הגימלאות, כפי שנקבע - </w:t>
      </w:r>
      <w:r w:rsidR="008A08B5" w:rsidRPr="0013771F">
        <w:rPr>
          <w:rtl/>
        </w:rPr>
        <w:t xml:space="preserve">"15. מהאמור עולה, כי </w:t>
      </w:r>
      <w:r w:rsidR="008A08B5" w:rsidRPr="0013771F">
        <w:rPr>
          <w:b/>
          <w:bCs/>
          <w:u w:val="single"/>
          <w:rtl/>
        </w:rPr>
        <w:t xml:space="preserve">התובע הוחרג מפורשות מתחולת חוק הגמלאות אף כי זכויותיו לגמלה </w:t>
      </w:r>
      <w:r w:rsidR="008A08B5" w:rsidRPr="0013771F">
        <w:rPr>
          <w:b/>
          <w:bCs/>
          <w:u w:val="single"/>
          <w:rtl/>
        </w:rPr>
        <w:lastRenderedPageBreak/>
        <w:t>תקבענה על פי אותו חוק, בכפוף לתנאי החוזה</w:t>
      </w:r>
      <w:r w:rsidR="008A08B5" w:rsidRPr="0013771F">
        <w:rPr>
          <w:rtl/>
        </w:rPr>
        <w:t>. באופן דומה, נקבעו לתובע בחוזה זכויות מסוימות על פי חוקת העבודה, מבלי שזו חלה על התובע".</w:t>
      </w:r>
      <w:r w:rsidR="0064695F" w:rsidRPr="0013771F">
        <w:rPr>
          <w:rFonts w:cs="David"/>
          <w:rtl/>
        </w:rPr>
        <w:t xml:space="preserve"> </w:t>
      </w:r>
    </w:p>
    <w:p w:rsidR="00985B99" w:rsidRPr="0013771F" w:rsidRDefault="00E658C9" w:rsidP="0013771F">
      <w:pPr>
        <w:pStyle w:val="a8"/>
        <w:tabs>
          <w:tab w:val="left" w:pos="674"/>
        </w:tabs>
        <w:spacing w:after="220" w:line="360" w:lineRule="auto"/>
        <w:rPr>
          <w:rFonts w:cs="David"/>
          <w:b/>
          <w:bCs/>
          <w:u w:val="single"/>
        </w:rPr>
      </w:pPr>
      <w:r w:rsidRPr="001A50DD">
        <w:rPr>
          <w:rFonts w:cs="David"/>
          <w:b/>
          <w:bCs/>
          <w:u w:val="single"/>
          <w:rtl/>
        </w:rPr>
        <w:t>טעה בית הדין קמא כאשר בחר להתעלם מ</w:t>
      </w:r>
      <w:r w:rsidR="00985B99" w:rsidRPr="0013771F">
        <w:rPr>
          <w:rFonts w:cs="David"/>
          <w:b/>
          <w:bCs/>
          <w:u w:val="single"/>
          <w:rtl/>
        </w:rPr>
        <w:t>כוונות המדינה ביצירת "חוזה בכירים"</w:t>
      </w:r>
    </w:p>
    <w:p w:rsidR="00985B99" w:rsidRPr="0013771F" w:rsidRDefault="00E658C9" w:rsidP="0013771F">
      <w:pPr>
        <w:spacing w:after="220" w:line="360" w:lineRule="auto"/>
        <w:jc w:val="both"/>
        <w:rPr>
          <w:rFonts w:cs="David"/>
          <w:rtl/>
        </w:rPr>
      </w:pPr>
      <w:r w:rsidRPr="0013771F">
        <w:rPr>
          <w:rFonts w:cs="David"/>
          <w:rtl/>
        </w:rPr>
        <w:t>טעה בית הדין קמא כאשר התעלם מכך ש</w:t>
      </w:r>
      <w:r w:rsidR="00985B99" w:rsidRPr="0013771F">
        <w:rPr>
          <w:rFonts w:cs="David"/>
          <w:b/>
          <w:bCs/>
          <w:rtl/>
        </w:rPr>
        <w:t>המדינה עצמה ביקש</w:t>
      </w:r>
      <w:r w:rsidR="00960E02" w:rsidRPr="0013771F">
        <w:rPr>
          <w:rFonts w:cs="David"/>
          <w:b/>
          <w:bCs/>
          <w:rtl/>
        </w:rPr>
        <w:t>ה</w:t>
      </w:r>
      <w:r w:rsidR="00985B99" w:rsidRPr="0013771F">
        <w:rPr>
          <w:rFonts w:cs="David"/>
          <w:b/>
          <w:bCs/>
          <w:rtl/>
        </w:rPr>
        <w:t xml:space="preserve"> ליצור הפרדה ברורה בין העסקה לפי כתב מינוי לבין העסקה בחוזה הבכירים</w:t>
      </w:r>
      <w:r w:rsidR="00985B99" w:rsidRPr="0013771F">
        <w:rPr>
          <w:rFonts w:cs="David"/>
          <w:rtl/>
        </w:rPr>
        <w:t>, כך שהעסקת המ</w:t>
      </w:r>
      <w:r w:rsidRPr="0013771F">
        <w:rPr>
          <w:rFonts w:cs="David"/>
          <w:rtl/>
        </w:rPr>
        <w:t>ערער – ובכירים אחרים</w:t>
      </w:r>
      <w:r w:rsidR="00985B99" w:rsidRPr="0013771F">
        <w:rPr>
          <w:rFonts w:cs="David"/>
          <w:rtl/>
        </w:rPr>
        <w:t>, לרבות לעניין הגמלה, תבוצע לפי כללים שונים מאלה שחלים על עובדי דירוג-דרגה.</w:t>
      </w:r>
    </w:p>
    <w:p w:rsidR="00985B99" w:rsidRPr="0013771F" w:rsidRDefault="00985B99" w:rsidP="0013771F">
      <w:pPr>
        <w:pStyle w:val="a8"/>
        <w:numPr>
          <w:ilvl w:val="0"/>
          <w:numId w:val="9"/>
        </w:numPr>
        <w:tabs>
          <w:tab w:val="left" w:pos="674"/>
        </w:tabs>
        <w:spacing w:after="220" w:line="360" w:lineRule="auto"/>
        <w:ind w:left="674" w:hanging="630"/>
        <w:rPr>
          <w:rFonts w:cs="David"/>
        </w:rPr>
      </w:pPr>
      <w:r w:rsidRPr="0013771F">
        <w:rPr>
          <w:rFonts w:cs="David"/>
          <w:rtl/>
        </w:rPr>
        <w:t>חוק שירות המדינה (מינויים), תשי"ט -1959, וכן התקנות שהותקנו מכוחו, קובעים כי ניתן להעסיק עובד בשירות המדינה באמצעות חוזה מיוחד, במקרים מסוימים, שעיקרם הוא חיוניות המשרה והצורך בתשלום שכר גבוה מהמקובל בשירות המדינה.</w:t>
      </w:r>
    </w:p>
    <w:p w:rsidR="00985B99" w:rsidRPr="0013771F" w:rsidRDefault="00985B99" w:rsidP="0013771F">
      <w:pPr>
        <w:pStyle w:val="a8"/>
        <w:numPr>
          <w:ilvl w:val="0"/>
          <w:numId w:val="9"/>
        </w:numPr>
        <w:tabs>
          <w:tab w:val="left" w:pos="674"/>
        </w:tabs>
        <w:spacing w:after="220" w:line="360" w:lineRule="auto"/>
        <w:ind w:left="674" w:hanging="630"/>
        <w:rPr>
          <w:rFonts w:cs="David"/>
          <w:rtl/>
        </w:rPr>
      </w:pPr>
      <w:r w:rsidRPr="0013771F">
        <w:rPr>
          <w:rFonts w:cs="David"/>
          <w:rtl/>
        </w:rPr>
        <w:t>עובד, המועסק בחוזה בכירים, מתנתק למעשה מהדירוג בו הוא הועסק עד למעבר לחוזה בכירים</w:t>
      </w:r>
      <w:r w:rsidR="007F337D" w:rsidRPr="0013771F">
        <w:rPr>
          <w:rFonts w:cs="David"/>
          <w:rtl/>
        </w:rPr>
        <w:t>, כפי שנקבע גם</w:t>
      </w:r>
      <w:r w:rsidRPr="0013771F">
        <w:rPr>
          <w:rFonts w:cs="David"/>
          <w:rtl/>
        </w:rPr>
        <w:t xml:space="preserve"> בעניין שיפמן (עע 1243/02  </w:t>
      </w:r>
      <w:r w:rsidRPr="0013771F">
        <w:rPr>
          <w:rFonts w:cs="David"/>
          <w:b/>
          <w:bCs/>
          <w:rtl/>
        </w:rPr>
        <w:t>משה שיפמן ואח'  נ' מדינת ישראל</w:t>
      </w:r>
      <w:r w:rsidRPr="0013771F">
        <w:rPr>
          <w:rFonts w:cs="David"/>
          <w:rtl/>
        </w:rPr>
        <w:t>)</w:t>
      </w:r>
      <w:r w:rsidR="007F337D" w:rsidRPr="0013771F">
        <w:rPr>
          <w:rFonts w:cs="David"/>
          <w:rtl/>
        </w:rPr>
        <w:t>.</w:t>
      </w:r>
    </w:p>
    <w:p w:rsidR="007F337D" w:rsidRPr="0013771F" w:rsidRDefault="00985B99" w:rsidP="0013771F">
      <w:pPr>
        <w:pStyle w:val="a8"/>
        <w:numPr>
          <w:ilvl w:val="0"/>
          <w:numId w:val="9"/>
        </w:numPr>
        <w:tabs>
          <w:tab w:val="left" w:pos="674"/>
        </w:tabs>
        <w:spacing w:after="220" w:line="360" w:lineRule="auto"/>
        <w:ind w:left="674" w:hanging="630"/>
        <w:rPr>
          <w:rFonts w:cs="David"/>
        </w:rPr>
      </w:pPr>
      <w:r w:rsidRPr="0013771F">
        <w:rPr>
          <w:rFonts w:cs="David"/>
          <w:rtl/>
        </w:rPr>
        <w:t xml:space="preserve">זאת ועוד, חוזה הבכירים אמנם הביא לשיפור שכר של עובדים שהועסקו מכוחו, אך במקביל הוא ביטל את הקביעות שהיתה לאותם עובדים, כאשר מדובר בסוג של "עסקת חבילה" לטוב או לרע, שעל מהותה עמדנו – ניתוק מהעסקה לפי כתב מינוי. ראו גם פסק הדין בתיק </w:t>
      </w:r>
      <w:hyperlink r:id="rId8" w:tgtFrame="Psak_198072" w:history="1">
        <w:r w:rsidRPr="00F65A30">
          <w:rPr>
            <w:rFonts w:cs="David"/>
            <w:rtl/>
          </w:rPr>
          <w:t>עע 1029/04,</w:t>
        </w:r>
      </w:hyperlink>
      <w:r w:rsidRPr="00F65A30">
        <w:rPr>
          <w:rFonts w:cs="David"/>
          <w:rtl/>
        </w:rPr>
        <w:t xml:space="preserve"> </w:t>
      </w:r>
      <w:r w:rsidRPr="00F65A30">
        <w:rPr>
          <w:rFonts w:cs="David"/>
          <w:b/>
          <w:bCs/>
          <w:rtl/>
        </w:rPr>
        <w:t>עמנואל דורנשטיין ואח' נ' מדינת ישראל</w:t>
      </w:r>
      <w:r w:rsidR="007F337D" w:rsidRPr="001A50DD">
        <w:rPr>
          <w:rFonts w:cs="David"/>
          <w:rtl/>
        </w:rPr>
        <w:t>, הקובע כי חוזה הבכירים יוצר שינוי מהותי, המנתק את הע</w:t>
      </w:r>
      <w:r w:rsidR="007F337D" w:rsidRPr="0013771F">
        <w:rPr>
          <w:rFonts w:cs="David"/>
          <w:rtl/>
        </w:rPr>
        <w:t>ובד ממתכונת ההעסקה של סולם השכר הרגיל.</w:t>
      </w:r>
    </w:p>
    <w:p w:rsidR="006A1691" w:rsidRPr="0013771F" w:rsidRDefault="006A1691" w:rsidP="0013771F">
      <w:pPr>
        <w:pStyle w:val="a8"/>
        <w:numPr>
          <w:ilvl w:val="0"/>
          <w:numId w:val="9"/>
        </w:numPr>
        <w:tabs>
          <w:tab w:val="left" w:pos="674"/>
        </w:tabs>
        <w:spacing w:after="220" w:line="360" w:lineRule="auto"/>
        <w:ind w:left="674" w:hanging="630"/>
        <w:rPr>
          <w:rFonts w:cs="David"/>
        </w:rPr>
      </w:pPr>
      <w:r w:rsidRPr="0013771F">
        <w:rPr>
          <w:rFonts w:cs="David"/>
          <w:rtl/>
        </w:rPr>
        <w:t xml:space="preserve">ואכן, חוזה הבכירים עליו חתם המשיב, כולל הוראות רבות המעידות על כוונת המדינה להחיל מערכת כללים שונה על היחסים החוזיים עם המשיב, ולנתק אותו ממערכת הכללים הקבועה בהעסקה לפי כתבי מינוי, למעט ההוראות שהוחלו במפורש – </w:t>
      </w:r>
    </w:p>
    <w:p w:rsidR="006A1691" w:rsidRPr="0013771F" w:rsidRDefault="006A1691" w:rsidP="0013771F">
      <w:pPr>
        <w:pStyle w:val="a8"/>
        <w:numPr>
          <w:ilvl w:val="1"/>
          <w:numId w:val="9"/>
        </w:numPr>
        <w:tabs>
          <w:tab w:val="left" w:pos="1394"/>
        </w:tabs>
        <w:spacing w:after="220" w:line="360" w:lineRule="auto"/>
        <w:ind w:left="1394" w:hanging="720"/>
        <w:rPr>
          <w:rFonts w:cs="David"/>
        </w:rPr>
      </w:pPr>
      <w:r w:rsidRPr="0013771F">
        <w:rPr>
          <w:rFonts w:cs="David"/>
          <w:rtl/>
        </w:rPr>
        <w:t>כך, בחלק המבוא נכתב במפורש – "</w:t>
      </w:r>
      <w:r w:rsidRPr="0013771F">
        <w:rPr>
          <w:rFonts w:cs="David"/>
          <w:b/>
          <w:bCs/>
          <w:i/>
          <w:iCs/>
          <w:rtl/>
        </w:rPr>
        <w:t>והעובד מסכים לביטול כתב המינוי שלו ולהיות מועסק בשירות המדינה על פי תנאי חוזה מיוחד זה;</w:t>
      </w:r>
      <w:r w:rsidRPr="0013771F">
        <w:rPr>
          <w:rFonts w:cs="David"/>
          <w:rtl/>
        </w:rPr>
        <w:t>".</w:t>
      </w:r>
    </w:p>
    <w:p w:rsidR="006A1691" w:rsidRPr="0013771F" w:rsidRDefault="006A1691" w:rsidP="0013771F">
      <w:pPr>
        <w:pStyle w:val="a8"/>
        <w:numPr>
          <w:ilvl w:val="1"/>
          <w:numId w:val="9"/>
        </w:numPr>
        <w:tabs>
          <w:tab w:val="left" w:pos="1394"/>
        </w:tabs>
        <w:spacing w:after="220" w:line="360" w:lineRule="auto"/>
        <w:ind w:left="1394" w:hanging="720"/>
        <w:rPr>
          <w:rStyle w:val="wsubclausecontent1"/>
          <w:rFonts w:cs="David"/>
        </w:rPr>
      </w:pPr>
      <w:r w:rsidRPr="0013771F">
        <w:rPr>
          <w:rFonts w:cs="David"/>
          <w:rtl/>
        </w:rPr>
        <w:t xml:space="preserve">עוד נקבע במבוא כי החוזה נעשה לפי סעיף 40 לחוק שירות המדינה (מינויים), תשי"ט – 1959. סעיף 40 האמור, שכותרתו </w:t>
      </w:r>
      <w:r w:rsidRPr="0013771F">
        <w:rPr>
          <w:rFonts w:ascii="David" w:hAnsi="David" w:cs="David"/>
          <w:rtl/>
        </w:rPr>
        <w:t>"חוזה מיוחד" קובע כי –</w:t>
      </w:r>
      <w:r w:rsidRPr="0013771F">
        <w:rPr>
          <w:rtl/>
        </w:rPr>
        <w:t xml:space="preserve"> "</w:t>
      </w:r>
      <w:r w:rsidR="002B6127" w:rsidRPr="0013771F">
        <w:rPr>
          <w:rStyle w:val="wsubclausecontent1"/>
          <w:rtl/>
        </w:rPr>
        <w:t>...</w:t>
      </w:r>
      <w:r w:rsidRPr="0013771F">
        <w:rPr>
          <w:rStyle w:val="wsubclausecontent1"/>
          <w:rtl/>
        </w:rPr>
        <w:t xml:space="preserve"> </w:t>
      </w:r>
      <w:r w:rsidRPr="0013771F">
        <w:rPr>
          <w:rStyle w:val="wsubclausecontent1"/>
          <w:b/>
          <w:bCs/>
          <w:u w:val="single"/>
          <w:rtl/>
        </w:rPr>
        <w:t>הוראות חוק זה לא יחולו על אדם המועסק לפי חוזה מיוחד אלא במידה שנקבע בחוזה</w:t>
      </w:r>
      <w:r w:rsidRPr="0013771F">
        <w:rPr>
          <w:rStyle w:val="wsubclausecontent1"/>
          <w:rFonts w:cs="David"/>
          <w:rtl/>
        </w:rPr>
        <w:t>".</w:t>
      </w:r>
      <w:r w:rsidR="00D70B7D" w:rsidRPr="0013771F">
        <w:rPr>
          <w:rStyle w:val="wsubclausecontent1"/>
          <w:rFonts w:cs="David"/>
          <w:rtl/>
        </w:rPr>
        <w:t xml:space="preserve"> </w:t>
      </w:r>
    </w:p>
    <w:p w:rsidR="006A1691" w:rsidRPr="0013771F" w:rsidRDefault="006A1691" w:rsidP="0013771F">
      <w:pPr>
        <w:pStyle w:val="a8"/>
        <w:numPr>
          <w:ilvl w:val="1"/>
          <w:numId w:val="9"/>
        </w:numPr>
        <w:tabs>
          <w:tab w:val="left" w:pos="1394"/>
        </w:tabs>
        <w:spacing w:after="220" w:line="360" w:lineRule="auto"/>
        <w:ind w:left="1394" w:hanging="720"/>
        <w:rPr>
          <w:rFonts w:cs="David"/>
        </w:rPr>
      </w:pPr>
      <w:r w:rsidRPr="00F65A30">
        <w:rPr>
          <w:rFonts w:cs="David"/>
          <w:rtl/>
        </w:rPr>
        <w:t xml:space="preserve">סעיף 5 לחוזה הבכירים </w:t>
      </w:r>
      <w:r w:rsidR="003D7ED7" w:rsidRPr="00F65A30">
        <w:rPr>
          <w:rFonts w:cs="David"/>
          <w:rtl/>
        </w:rPr>
        <w:t xml:space="preserve">קובע </w:t>
      </w:r>
      <w:r w:rsidRPr="001A50DD">
        <w:rPr>
          <w:rFonts w:cs="David"/>
          <w:rtl/>
        </w:rPr>
        <w:t xml:space="preserve">כי החל ממועד חתימתו </w:t>
      </w:r>
      <w:r w:rsidRPr="0013771F">
        <w:rPr>
          <w:rFonts w:cs="David"/>
          <w:rtl/>
        </w:rPr>
        <w:t>– "</w:t>
      </w:r>
      <w:r w:rsidRPr="0013771F">
        <w:rPr>
          <w:rFonts w:cs="David"/>
          <w:b/>
          <w:bCs/>
          <w:i/>
          <w:iCs/>
          <w:rtl/>
        </w:rPr>
        <w:t>יועסק העובד על פי חוזה זה ולא על פי כתב המינוי המבוטל בזה</w:t>
      </w:r>
      <w:r w:rsidRPr="0013771F">
        <w:rPr>
          <w:rFonts w:cs="David"/>
          <w:rtl/>
        </w:rPr>
        <w:t>". והסיפא של הסעיף מחמירה וקובעת – "</w:t>
      </w:r>
      <w:r w:rsidRPr="0013771F">
        <w:rPr>
          <w:rFonts w:cs="David"/>
          <w:b/>
          <w:bCs/>
          <w:i/>
          <w:iCs/>
          <w:rtl/>
        </w:rPr>
        <w:t>לעובד לא תהיה הזכות לחזור ולקבל כתב מינוי</w:t>
      </w:r>
      <w:r w:rsidRPr="0013771F">
        <w:rPr>
          <w:rFonts w:cs="David"/>
          <w:rtl/>
        </w:rPr>
        <w:t>".</w:t>
      </w:r>
    </w:p>
    <w:p w:rsidR="006A1691" w:rsidRPr="0013771F" w:rsidRDefault="006A1691" w:rsidP="0013771F">
      <w:pPr>
        <w:pStyle w:val="a8"/>
        <w:numPr>
          <w:ilvl w:val="1"/>
          <w:numId w:val="9"/>
        </w:numPr>
        <w:tabs>
          <w:tab w:val="left" w:pos="1394"/>
        </w:tabs>
        <w:spacing w:after="220" w:line="360" w:lineRule="auto"/>
        <w:ind w:left="1394" w:hanging="720"/>
        <w:rPr>
          <w:rFonts w:cs="David"/>
        </w:rPr>
      </w:pPr>
      <w:r w:rsidRPr="0013771F">
        <w:rPr>
          <w:rFonts w:cs="David"/>
          <w:rtl/>
        </w:rPr>
        <w:t>סעיף 7 לחוזה הבכירים קובע שורה של תנאים להם לא זכאי המערער, מאחר שהוא מועסק בחוזה בכירים כאמור.</w:t>
      </w:r>
    </w:p>
    <w:p w:rsidR="006A1691" w:rsidRPr="000B11C2" w:rsidRDefault="006A1691" w:rsidP="0013771F">
      <w:pPr>
        <w:pStyle w:val="a8"/>
        <w:numPr>
          <w:ilvl w:val="0"/>
          <w:numId w:val="9"/>
        </w:numPr>
        <w:tabs>
          <w:tab w:val="left" w:pos="674"/>
        </w:tabs>
        <w:spacing w:after="220" w:line="360" w:lineRule="auto"/>
        <w:ind w:left="674" w:hanging="630"/>
        <w:rPr>
          <w:rFonts w:cs="David"/>
        </w:rPr>
      </w:pPr>
      <w:r w:rsidRPr="0013771F">
        <w:rPr>
          <w:rFonts w:cs="David"/>
          <w:rtl/>
        </w:rPr>
        <w:t xml:space="preserve">על רקע דברים אלה, מתחדדת ומתחזקת הפרשנות לסעיפים 11, 12 ו – 13 לחוזה הבכירים של המערער, ולפיהם – </w:t>
      </w:r>
      <w:r w:rsidRPr="0013771F">
        <w:rPr>
          <w:rFonts w:cs="David"/>
          <w:b/>
          <w:bCs/>
          <w:rtl/>
        </w:rPr>
        <w:t>המדינה ניתקה את המשיב מהוראות חוק הגימלאות וסולמות השכר</w:t>
      </w:r>
      <w:r w:rsidRPr="0013771F">
        <w:rPr>
          <w:rFonts w:cs="David"/>
          <w:rtl/>
        </w:rPr>
        <w:t xml:space="preserve">, וקבעה את </w:t>
      </w:r>
      <w:r w:rsidRPr="000B11C2">
        <w:rPr>
          <w:rFonts w:cs="David"/>
          <w:rtl/>
        </w:rPr>
        <w:t xml:space="preserve">תנאי </w:t>
      </w:r>
      <w:r w:rsidRPr="00C24648">
        <w:rPr>
          <w:rFonts w:cs="David"/>
          <w:rtl/>
        </w:rPr>
        <w:t>העסקתו</w:t>
      </w:r>
      <w:r w:rsidR="00C24648">
        <w:rPr>
          <w:rFonts w:cs="David"/>
          <w:rtl/>
        </w:rPr>
        <w:t>,</w:t>
      </w:r>
      <w:r w:rsidRPr="00C24648">
        <w:rPr>
          <w:rFonts w:cs="David"/>
          <w:rtl/>
        </w:rPr>
        <w:t xml:space="preserve"> </w:t>
      </w:r>
      <w:r w:rsidR="00031D1C" w:rsidRPr="0013771F">
        <w:rPr>
          <w:rFonts w:cs="David"/>
          <w:rtl/>
        </w:rPr>
        <w:t>לרבות תנאי הגימלה</w:t>
      </w:r>
      <w:r w:rsidR="00031D1C" w:rsidRPr="00C24648">
        <w:rPr>
          <w:rFonts w:cs="David"/>
          <w:rtl/>
        </w:rPr>
        <w:t xml:space="preserve"> </w:t>
      </w:r>
      <w:r w:rsidRPr="00C24648">
        <w:rPr>
          <w:rFonts w:cs="David"/>
          <w:rtl/>
        </w:rPr>
        <w:t>בהתאם</w:t>
      </w:r>
      <w:r w:rsidRPr="00655EE8">
        <w:rPr>
          <w:rFonts w:cs="David"/>
          <w:rtl/>
        </w:rPr>
        <w:t xml:space="preserve"> להוראות</w:t>
      </w:r>
      <w:r w:rsidRPr="000B11C2">
        <w:rPr>
          <w:rFonts w:cs="David"/>
          <w:rtl/>
        </w:rPr>
        <w:t xml:space="preserve"> חוזה הבכירים, </w:t>
      </w:r>
      <w:r w:rsidRPr="000B11C2">
        <w:rPr>
          <w:rFonts w:cs="David"/>
          <w:b/>
          <w:bCs/>
          <w:rtl/>
        </w:rPr>
        <w:t>אלא אם נקבע במפורש אחרת</w:t>
      </w:r>
      <w:r w:rsidRPr="000B11C2">
        <w:rPr>
          <w:rFonts w:cs="David"/>
          <w:rtl/>
        </w:rPr>
        <w:t xml:space="preserve">. </w:t>
      </w:r>
    </w:p>
    <w:p w:rsidR="00985B99" w:rsidRDefault="000650C9" w:rsidP="000C017A">
      <w:pPr>
        <w:pStyle w:val="a8"/>
        <w:tabs>
          <w:tab w:val="left" w:pos="674"/>
        </w:tabs>
        <w:spacing w:after="240" w:line="360" w:lineRule="auto"/>
        <w:ind w:left="44"/>
        <w:rPr>
          <w:rFonts w:cs="David"/>
          <w:rtl/>
        </w:rPr>
      </w:pPr>
      <w:r w:rsidRPr="000B11C2">
        <w:rPr>
          <w:rFonts w:cs="David"/>
          <w:b/>
          <w:bCs/>
          <w:u w:val="single"/>
          <w:rtl/>
        </w:rPr>
        <w:lastRenderedPageBreak/>
        <w:t>ולסיכום חלק זה</w:t>
      </w:r>
      <w:r w:rsidRPr="000B11C2">
        <w:rPr>
          <w:rFonts w:cs="David"/>
          <w:b/>
          <w:bCs/>
          <w:rtl/>
        </w:rPr>
        <w:t xml:space="preserve"> - </w:t>
      </w:r>
      <w:r w:rsidR="00985B99" w:rsidRPr="000B11C2">
        <w:rPr>
          <w:rFonts w:cs="David"/>
          <w:b/>
          <w:bCs/>
          <w:rtl/>
        </w:rPr>
        <w:t xml:space="preserve">חוזה הבכירים אינו קובע כי </w:t>
      </w:r>
      <w:r w:rsidR="00E658C9" w:rsidRPr="000B11C2">
        <w:rPr>
          <w:rFonts w:cs="David"/>
          <w:b/>
          <w:bCs/>
          <w:rtl/>
        </w:rPr>
        <w:t>המערער</w:t>
      </w:r>
      <w:r w:rsidR="00985B99" w:rsidRPr="000B11C2">
        <w:rPr>
          <w:rFonts w:cs="David"/>
          <w:b/>
          <w:bCs/>
          <w:rtl/>
        </w:rPr>
        <w:t xml:space="preserve"> נדרש להגיש ערעור בהתאם להוראות חוק הגימלאות, </w:t>
      </w:r>
      <w:r w:rsidR="000C017A">
        <w:rPr>
          <w:rFonts w:cs="David"/>
          <w:b/>
          <w:bCs/>
          <w:rtl/>
        </w:rPr>
        <w:t xml:space="preserve">ולמעשה – חלק זה בחוק הגימלאות אינו חל על המערער. </w:t>
      </w:r>
      <w:r w:rsidR="00985B99" w:rsidRPr="000B11C2">
        <w:rPr>
          <w:rFonts w:cs="David"/>
          <w:b/>
          <w:bCs/>
          <w:rtl/>
        </w:rPr>
        <w:t>בהתאם – המ</w:t>
      </w:r>
      <w:r w:rsidR="00523912" w:rsidRPr="000B11C2">
        <w:rPr>
          <w:rFonts w:cs="David"/>
          <w:b/>
          <w:bCs/>
          <w:rtl/>
        </w:rPr>
        <w:t>ערער</w:t>
      </w:r>
      <w:r w:rsidR="00985B99" w:rsidRPr="000B11C2">
        <w:rPr>
          <w:rFonts w:cs="David"/>
          <w:b/>
          <w:bCs/>
          <w:rtl/>
        </w:rPr>
        <w:t xml:space="preserve"> לא איחר בהגשת תביעתו</w:t>
      </w:r>
      <w:r w:rsidR="00985B99" w:rsidRPr="000B11C2">
        <w:rPr>
          <w:rFonts w:cs="David"/>
          <w:rtl/>
        </w:rPr>
        <w:t>.</w:t>
      </w:r>
    </w:p>
    <w:p w:rsidR="00916E11" w:rsidRPr="000B11C2" w:rsidRDefault="00916E11" w:rsidP="00916E11">
      <w:pPr>
        <w:pStyle w:val="a8"/>
        <w:tabs>
          <w:tab w:val="left" w:pos="674"/>
        </w:tabs>
        <w:spacing w:after="0" w:line="360" w:lineRule="auto"/>
        <w:ind w:left="44"/>
        <w:rPr>
          <w:rFonts w:cs="David"/>
          <w:rtl/>
        </w:rPr>
      </w:pPr>
    </w:p>
    <w:p w:rsidR="00374B8F" w:rsidRPr="000B11C2" w:rsidRDefault="002B6127" w:rsidP="0013771F">
      <w:pPr>
        <w:pStyle w:val="7"/>
        <w:spacing w:after="120" w:line="360" w:lineRule="auto"/>
        <w:rPr>
          <w:rFonts w:ascii="David" w:hAnsi="David" w:cs="David"/>
          <w:sz w:val="28"/>
          <w:szCs w:val="28"/>
          <w:u w:val="none"/>
        </w:rPr>
      </w:pPr>
      <w:r w:rsidRPr="000B11C2">
        <w:rPr>
          <w:rFonts w:ascii="David" w:hAnsi="David" w:cs="David"/>
          <w:sz w:val="28"/>
          <w:szCs w:val="28"/>
          <w:u w:val="none"/>
          <w:rtl/>
        </w:rPr>
        <w:t>ב.4.</w:t>
      </w:r>
      <w:r w:rsidRPr="000B11C2">
        <w:rPr>
          <w:rFonts w:ascii="David" w:hAnsi="David" w:cs="David"/>
          <w:sz w:val="28"/>
          <w:szCs w:val="28"/>
          <w:u w:val="none"/>
          <w:rtl/>
        </w:rPr>
        <w:tab/>
      </w:r>
      <w:r w:rsidR="00374B8F" w:rsidRPr="000B11C2">
        <w:rPr>
          <w:rFonts w:ascii="David" w:hAnsi="David" w:cs="David"/>
          <w:sz w:val="28"/>
          <w:szCs w:val="28"/>
          <w:rtl/>
        </w:rPr>
        <w:t xml:space="preserve">טעה בית הדין </w:t>
      </w:r>
      <w:r w:rsidR="00523912" w:rsidRPr="000B11C2">
        <w:rPr>
          <w:rFonts w:ascii="David" w:hAnsi="David" w:cs="David"/>
          <w:sz w:val="28"/>
          <w:szCs w:val="28"/>
          <w:rtl/>
        </w:rPr>
        <w:t xml:space="preserve">הנכבד </w:t>
      </w:r>
      <w:r w:rsidR="00374B8F" w:rsidRPr="000B11C2">
        <w:rPr>
          <w:rFonts w:ascii="David" w:hAnsi="David" w:cs="David"/>
          <w:sz w:val="28"/>
          <w:szCs w:val="28"/>
          <w:rtl/>
        </w:rPr>
        <w:t>קמא כאשר מחק את התביעה בגין עגמת נפש ונזק לא ממוני</w:t>
      </w:r>
    </w:p>
    <w:p w:rsidR="00FE5105" w:rsidRPr="000B11C2" w:rsidRDefault="00B14749" w:rsidP="000E3B23">
      <w:pPr>
        <w:pStyle w:val="a8"/>
        <w:numPr>
          <w:ilvl w:val="0"/>
          <w:numId w:val="9"/>
        </w:numPr>
        <w:tabs>
          <w:tab w:val="left" w:pos="674"/>
        </w:tabs>
        <w:spacing w:after="240" w:line="360" w:lineRule="auto"/>
        <w:ind w:left="674" w:hanging="630"/>
        <w:rPr>
          <w:rFonts w:cs="David"/>
        </w:rPr>
      </w:pPr>
      <w:r w:rsidRPr="000B11C2">
        <w:rPr>
          <w:rFonts w:cs="David"/>
          <w:rtl/>
        </w:rPr>
        <w:t xml:space="preserve">בסעיף 50 לפסק הדין קובע בית הדין קמא כי </w:t>
      </w:r>
      <w:r w:rsidR="00FE5105" w:rsidRPr="000B11C2">
        <w:rPr>
          <w:rFonts w:cs="David"/>
          <w:rtl/>
        </w:rPr>
        <w:t>בקשת המשיבות לא כללה התייחסות לתביעת המערער לפיצוי כספי בגין התנהלות המשיבות</w:t>
      </w:r>
      <w:r w:rsidR="002B6A12" w:rsidRPr="000B11C2">
        <w:rPr>
          <w:rFonts w:cs="David"/>
          <w:rtl/>
        </w:rPr>
        <w:t xml:space="preserve"> (</w:t>
      </w:r>
      <w:r w:rsidR="002B6A12" w:rsidRPr="000B11C2">
        <w:rPr>
          <w:rFonts w:cs="David"/>
          <w:i/>
          <w:iCs/>
          <w:rtl/>
        </w:rPr>
        <w:t>שם</w:t>
      </w:r>
      <w:r w:rsidR="002B6A12" w:rsidRPr="000B11C2">
        <w:rPr>
          <w:rFonts w:cs="David"/>
          <w:rtl/>
        </w:rPr>
        <w:t>)</w:t>
      </w:r>
      <w:r w:rsidR="00FE5105" w:rsidRPr="000B11C2">
        <w:rPr>
          <w:rFonts w:cs="David"/>
          <w:rtl/>
        </w:rPr>
        <w:t>. עוד מוסיף וקובע בית הדין קמא כי "</w:t>
      </w:r>
      <w:r w:rsidR="00FE5105" w:rsidRPr="000B11C2">
        <w:rPr>
          <w:rFonts w:cs="David"/>
          <w:b/>
          <w:bCs/>
          <w:i/>
          <w:iCs/>
          <w:sz w:val="26"/>
          <w:szCs w:val="26"/>
          <w:rtl/>
        </w:rPr>
        <w:t>רכיב תביעה זה בעינו עומד</w:t>
      </w:r>
      <w:r w:rsidR="00FE5105" w:rsidRPr="000B11C2">
        <w:rPr>
          <w:rFonts w:cs="David"/>
          <w:rtl/>
        </w:rPr>
        <w:t>".</w:t>
      </w:r>
      <w:r w:rsidR="000650C9" w:rsidRPr="000B11C2">
        <w:rPr>
          <w:rFonts w:cs="David"/>
          <w:rtl/>
        </w:rPr>
        <w:t xml:space="preserve"> </w:t>
      </w:r>
      <w:r w:rsidR="00FE5105" w:rsidRPr="000B11C2">
        <w:rPr>
          <w:rFonts w:cs="David"/>
          <w:rtl/>
        </w:rPr>
        <w:t>למרות האמור לעיל, ואף ש</w:t>
      </w:r>
      <w:r w:rsidR="002B6A12" w:rsidRPr="000B11C2">
        <w:rPr>
          <w:rFonts w:cs="David"/>
          <w:rtl/>
        </w:rPr>
        <w:t xml:space="preserve">בית הדין קמא קובע כי </w:t>
      </w:r>
      <w:r w:rsidR="00FE5105" w:rsidRPr="000B11C2">
        <w:rPr>
          <w:rFonts w:cs="David"/>
          <w:rtl/>
        </w:rPr>
        <w:t>לא היתה בקשה בעניין זה, הוא מחק את תב</w:t>
      </w:r>
      <w:r w:rsidR="002B2ADF" w:rsidRPr="000B11C2">
        <w:rPr>
          <w:rFonts w:cs="David"/>
          <w:rtl/>
        </w:rPr>
        <w:t>יעת</w:t>
      </w:r>
      <w:r w:rsidR="003D7ED7" w:rsidRPr="000B11C2">
        <w:rPr>
          <w:rFonts w:cs="David"/>
          <w:rtl/>
        </w:rPr>
        <w:t xml:space="preserve"> המערער</w:t>
      </w:r>
      <w:r w:rsidR="002B2ADF" w:rsidRPr="000B11C2">
        <w:rPr>
          <w:rFonts w:cs="David"/>
          <w:rtl/>
        </w:rPr>
        <w:t xml:space="preserve"> בנימוקים שגויים, המתעלמים לחלוטין מכתב התביעה, כפי שנפרט להלן:</w:t>
      </w:r>
    </w:p>
    <w:p w:rsidR="00BA4930" w:rsidRPr="000B11C2" w:rsidRDefault="009848B0" w:rsidP="00EC2742">
      <w:pPr>
        <w:pStyle w:val="a8"/>
        <w:numPr>
          <w:ilvl w:val="0"/>
          <w:numId w:val="9"/>
        </w:numPr>
        <w:tabs>
          <w:tab w:val="left" w:pos="674"/>
        </w:tabs>
        <w:spacing w:after="240" w:line="360" w:lineRule="auto"/>
        <w:ind w:left="674" w:hanging="630"/>
        <w:rPr>
          <w:rFonts w:cs="David"/>
        </w:rPr>
      </w:pPr>
      <w:r w:rsidRPr="000B11C2">
        <w:rPr>
          <w:rFonts w:cs="David"/>
          <w:b/>
          <w:bCs/>
          <w:rtl/>
        </w:rPr>
        <w:t>"לא פירט בתביעתו את</w:t>
      </w:r>
      <w:r w:rsidR="00FE5105" w:rsidRPr="000B11C2">
        <w:rPr>
          <w:rFonts w:cs="David"/>
          <w:b/>
          <w:bCs/>
          <w:rtl/>
        </w:rPr>
        <w:t xml:space="preserve"> הרקע </w:t>
      </w:r>
      <w:r w:rsidRPr="000B11C2">
        <w:rPr>
          <w:rFonts w:cs="David"/>
          <w:b/>
          <w:bCs/>
          <w:rtl/>
        </w:rPr>
        <w:t xml:space="preserve">העובדתי </w:t>
      </w:r>
      <w:r w:rsidR="00FE5105" w:rsidRPr="000B11C2">
        <w:rPr>
          <w:rFonts w:cs="David"/>
          <w:b/>
          <w:bCs/>
          <w:rtl/>
        </w:rPr>
        <w:t>הרל</w:t>
      </w:r>
      <w:r w:rsidRPr="000B11C2">
        <w:rPr>
          <w:rFonts w:cs="David"/>
          <w:b/>
          <w:bCs/>
          <w:rtl/>
        </w:rPr>
        <w:t>וו</w:t>
      </w:r>
      <w:r w:rsidR="00FE5105" w:rsidRPr="000B11C2">
        <w:rPr>
          <w:rFonts w:cs="David"/>
          <w:b/>
          <w:bCs/>
          <w:rtl/>
        </w:rPr>
        <w:t xml:space="preserve">נטי לפיצוי </w:t>
      </w:r>
      <w:r w:rsidRPr="000B11C2">
        <w:rPr>
          <w:rFonts w:cs="David"/>
          <w:b/>
          <w:bCs/>
          <w:rtl/>
        </w:rPr>
        <w:t xml:space="preserve">הכספי </w:t>
      </w:r>
      <w:r w:rsidR="00FE5105" w:rsidRPr="000B11C2">
        <w:rPr>
          <w:rFonts w:cs="David"/>
          <w:b/>
          <w:bCs/>
          <w:rtl/>
        </w:rPr>
        <w:t>המבוקש</w:t>
      </w:r>
      <w:r w:rsidRPr="000B11C2">
        <w:rPr>
          <w:rFonts w:cs="David"/>
          <w:b/>
          <w:bCs/>
          <w:rtl/>
        </w:rPr>
        <w:t>"</w:t>
      </w:r>
      <w:r w:rsidR="00FE5105" w:rsidRPr="000B11C2">
        <w:rPr>
          <w:rFonts w:cs="David"/>
          <w:b/>
          <w:bCs/>
          <w:rtl/>
        </w:rPr>
        <w:t xml:space="preserve"> – </w:t>
      </w:r>
    </w:p>
    <w:p w:rsidR="008068EB" w:rsidRPr="0013771F" w:rsidRDefault="00FE5105" w:rsidP="001A50DD">
      <w:pPr>
        <w:pStyle w:val="a8"/>
        <w:tabs>
          <w:tab w:val="left" w:pos="674"/>
        </w:tabs>
        <w:spacing w:after="240" w:line="360" w:lineRule="auto"/>
        <w:ind w:left="674"/>
        <w:rPr>
          <w:rFonts w:cs="David"/>
        </w:rPr>
      </w:pPr>
      <w:r w:rsidRPr="00F65A30">
        <w:rPr>
          <w:rFonts w:cs="David"/>
          <w:rtl/>
        </w:rPr>
        <w:t>בכל הכבוד, בית הדין קמא התעלם לחלוטין מהדברים המפורשים שנכתבו בכתב התביעה בעניין זה:</w:t>
      </w:r>
      <w:r w:rsidR="002B2ADF" w:rsidRPr="001A50DD">
        <w:rPr>
          <w:rFonts w:cs="David"/>
          <w:rtl/>
        </w:rPr>
        <w:t xml:space="preserve"> הן בפרק ב.8. לכתב התביעה והן בפרק ה' לכתב התביעה.</w:t>
      </w:r>
      <w:r w:rsidR="008068EB" w:rsidRPr="0013771F">
        <w:rPr>
          <w:rFonts w:cs="David"/>
          <w:rtl/>
        </w:rPr>
        <w:t xml:space="preserve"> </w:t>
      </w:r>
      <w:r w:rsidR="000650C9" w:rsidRPr="0013771F">
        <w:rPr>
          <w:rFonts w:cs="David"/>
          <w:rtl/>
        </w:rPr>
        <w:t xml:space="preserve">כמו כן </w:t>
      </w:r>
      <w:r w:rsidR="002B2ADF" w:rsidRPr="0013771F">
        <w:rPr>
          <w:rFonts w:cs="David"/>
          <w:rtl/>
        </w:rPr>
        <w:t>פרק ה' לכתב התביעה (</w:t>
      </w:r>
      <w:r w:rsidR="002B2ADF" w:rsidRPr="0013771F">
        <w:rPr>
          <w:rFonts w:cs="David"/>
          <w:i/>
          <w:iCs/>
          <w:rtl/>
        </w:rPr>
        <w:t>סעיפים 79 –</w:t>
      </w:r>
      <w:r w:rsidR="00BC41A8" w:rsidRPr="0013771F">
        <w:rPr>
          <w:rFonts w:cs="David"/>
          <w:i/>
          <w:iCs/>
          <w:rtl/>
        </w:rPr>
        <w:t xml:space="preserve"> 82 בעמודים 24 – 26 לכתב התביעה</w:t>
      </w:r>
      <w:r w:rsidR="00BC41A8" w:rsidRPr="0013771F">
        <w:rPr>
          <w:rFonts w:cs="David"/>
          <w:rtl/>
        </w:rPr>
        <w:t>) עוסק כולו בתביעה לפיצויים בגין עגמת נפש ובגין התנהלות שלא כדין. פרק ה' האמור מפרט באופן מלא, ואולי אף מעבר לנדרש</w:t>
      </w:r>
      <w:r w:rsidR="00C02D74" w:rsidRPr="0013771F">
        <w:rPr>
          <w:rFonts w:cs="David"/>
          <w:rtl/>
        </w:rPr>
        <w:t xml:space="preserve"> במסגרת של כתב תביעה</w:t>
      </w:r>
      <w:r w:rsidR="00BC41A8" w:rsidRPr="0013771F">
        <w:rPr>
          <w:rFonts w:cs="David"/>
          <w:rtl/>
        </w:rPr>
        <w:t xml:space="preserve">, את הסיבות לתביעה כאמור – החל מפיטוריו בניגוד לדין, ההתנהלות הקלוקלת בעניינו ועגמת הנפש שגרמו לו המשיבות. </w:t>
      </w:r>
      <w:r w:rsidR="008068EB" w:rsidRPr="0013771F">
        <w:rPr>
          <w:rFonts w:cs="David"/>
          <w:b/>
          <w:bCs/>
          <w:rtl/>
        </w:rPr>
        <w:t>קביעת בית הדין קמא כי המערער לא פירט את הרקע העובדתי הרלבנטי שגויה, אם כן, מיסודה, ובכל הכבוד – מתעלמת מהדברים המפורשים שנכתבו בכתב התביעה.</w:t>
      </w:r>
    </w:p>
    <w:p w:rsidR="000650C9" w:rsidRPr="000B11C2" w:rsidRDefault="009848B0" w:rsidP="00EC2742">
      <w:pPr>
        <w:pStyle w:val="a8"/>
        <w:numPr>
          <w:ilvl w:val="0"/>
          <w:numId w:val="9"/>
        </w:numPr>
        <w:tabs>
          <w:tab w:val="left" w:pos="674"/>
        </w:tabs>
        <w:spacing w:after="240" w:line="360" w:lineRule="auto"/>
        <w:ind w:left="674" w:hanging="630"/>
        <w:rPr>
          <w:rFonts w:cs="David"/>
          <w:b/>
          <w:bCs/>
        </w:rPr>
      </w:pPr>
      <w:r w:rsidRPr="000B11C2">
        <w:rPr>
          <w:rFonts w:cs="David"/>
          <w:b/>
          <w:bCs/>
          <w:rtl/>
        </w:rPr>
        <w:t>"</w:t>
      </w:r>
      <w:r w:rsidR="00FE5105" w:rsidRPr="000B11C2">
        <w:rPr>
          <w:rFonts w:cs="David"/>
          <w:b/>
          <w:bCs/>
          <w:rtl/>
        </w:rPr>
        <w:t>לא הציג את כלל האסמכתאות</w:t>
      </w:r>
      <w:r w:rsidRPr="000B11C2">
        <w:rPr>
          <w:rFonts w:cs="David"/>
          <w:b/>
          <w:bCs/>
          <w:rtl/>
        </w:rPr>
        <w:t xml:space="preserve"> הנוגעות לעניין"</w:t>
      </w:r>
      <w:r w:rsidR="00FE5105" w:rsidRPr="000B11C2">
        <w:rPr>
          <w:rFonts w:cs="David"/>
          <w:b/>
          <w:bCs/>
          <w:rtl/>
        </w:rPr>
        <w:t xml:space="preserve"> – </w:t>
      </w:r>
      <w:r w:rsidR="00BA4930">
        <w:rPr>
          <w:rFonts w:cs="David"/>
          <w:b/>
          <w:bCs/>
        </w:rPr>
        <w:t xml:space="preserve"> </w:t>
      </w:r>
    </w:p>
    <w:p w:rsidR="00FE5105" w:rsidRPr="000B11C2" w:rsidRDefault="00FE5105" w:rsidP="000E3B23">
      <w:pPr>
        <w:pStyle w:val="a8"/>
        <w:tabs>
          <w:tab w:val="left" w:pos="674"/>
        </w:tabs>
        <w:spacing w:after="240" w:line="360" w:lineRule="auto"/>
        <w:ind w:left="674"/>
        <w:rPr>
          <w:rFonts w:cs="David"/>
        </w:rPr>
      </w:pPr>
      <w:r w:rsidRPr="000B11C2">
        <w:rPr>
          <w:rFonts w:cs="David"/>
          <w:rtl/>
        </w:rPr>
        <w:t>נזכיר כי בית הדין קמא מחק את התביעה בטרם הוגש כתב ההגנה, ובוודאי שלא היה מקום להצגת כלל האסמכתאות ב</w:t>
      </w:r>
      <w:r w:rsidR="00C02D74" w:rsidRPr="000B11C2">
        <w:rPr>
          <w:rFonts w:cs="David"/>
          <w:rtl/>
        </w:rPr>
        <w:t xml:space="preserve">אותו </w:t>
      </w:r>
      <w:r w:rsidRPr="000B11C2">
        <w:rPr>
          <w:rFonts w:cs="David"/>
          <w:rtl/>
        </w:rPr>
        <w:t>שלב.</w:t>
      </w:r>
      <w:r w:rsidR="000650C9" w:rsidRPr="000B11C2">
        <w:rPr>
          <w:rFonts w:cs="David"/>
          <w:rtl/>
        </w:rPr>
        <w:t xml:space="preserve"> </w:t>
      </w:r>
      <w:r w:rsidRPr="000B11C2">
        <w:rPr>
          <w:rFonts w:cs="David"/>
          <w:rtl/>
        </w:rPr>
        <w:t xml:space="preserve">כפי שכתבנו לעיל, וכפי שנכתב במפורש בכתב התביעה, </w:t>
      </w:r>
      <w:r w:rsidRPr="000B11C2">
        <w:rPr>
          <w:rFonts w:cs="David"/>
          <w:b/>
          <w:bCs/>
          <w:rtl/>
        </w:rPr>
        <w:t>בידי המערער מאות מסמכים והתכתבויות בנושא, וצירופם בשלב של הגשת התביעה מיותר, מנוגד לתקנות והיה יוצר סרבול ובלבול בלתי נסבלים</w:t>
      </w:r>
      <w:r w:rsidRPr="000B11C2">
        <w:rPr>
          <w:rFonts w:cs="David"/>
          <w:rtl/>
        </w:rPr>
        <w:t>.</w:t>
      </w:r>
      <w:r w:rsidR="000650C9" w:rsidRPr="000B11C2">
        <w:rPr>
          <w:rFonts w:cs="David"/>
          <w:rtl/>
        </w:rPr>
        <w:t xml:space="preserve"> </w:t>
      </w:r>
      <w:r w:rsidR="00BC41A8" w:rsidRPr="000B11C2">
        <w:rPr>
          <w:rFonts w:cs="David"/>
          <w:rtl/>
        </w:rPr>
        <w:t xml:space="preserve">לפיכך, מחיקת תביעה בשל אי הצגת מלוא האסמכתאות אינה במקומה. המערער יטען כי לכל היותר היה מקום להורות למערער לצרף אסמכתאות אלה. </w:t>
      </w:r>
    </w:p>
    <w:p w:rsidR="008068EB" w:rsidRPr="000B11C2" w:rsidRDefault="009848B0" w:rsidP="00EC2742">
      <w:pPr>
        <w:pStyle w:val="a8"/>
        <w:numPr>
          <w:ilvl w:val="0"/>
          <w:numId w:val="9"/>
        </w:numPr>
        <w:tabs>
          <w:tab w:val="left" w:pos="674"/>
        </w:tabs>
        <w:spacing w:after="240" w:line="360" w:lineRule="auto"/>
        <w:ind w:left="674" w:hanging="630"/>
        <w:rPr>
          <w:rFonts w:cs="David"/>
          <w:b/>
          <w:bCs/>
        </w:rPr>
      </w:pPr>
      <w:r w:rsidRPr="000B11C2">
        <w:rPr>
          <w:rFonts w:cs="David"/>
          <w:b/>
          <w:bCs/>
          <w:rtl/>
        </w:rPr>
        <w:t xml:space="preserve">"לא כימת את תביעתו ביחס לרכיב תביעה זה לבדו" – </w:t>
      </w:r>
    </w:p>
    <w:p w:rsidR="009848B0" w:rsidRPr="000B11C2" w:rsidRDefault="009848B0" w:rsidP="000E3B23">
      <w:pPr>
        <w:pStyle w:val="a8"/>
        <w:tabs>
          <w:tab w:val="left" w:pos="674"/>
        </w:tabs>
        <w:spacing w:after="240" w:line="360" w:lineRule="auto"/>
        <w:ind w:left="674"/>
        <w:rPr>
          <w:rFonts w:cs="David"/>
        </w:rPr>
      </w:pPr>
      <w:r w:rsidRPr="000B11C2">
        <w:rPr>
          <w:rFonts w:cs="David"/>
          <w:rtl/>
        </w:rPr>
        <w:t>בכל הכבוד, גם בעניין זה התעלם בית הדין קמא ממה שנכתב בכתב התביעה. ראו סעיף 82 לכתב התביעה המכמת במפורש ובנפרד רכיב זה בסך 300,000 ₪, בסוף פרק ה' העוסק בפיצוי הכספי האמור</w:t>
      </w:r>
      <w:r w:rsidR="000650C9" w:rsidRPr="000B11C2">
        <w:rPr>
          <w:rFonts w:cs="David"/>
          <w:rtl/>
        </w:rPr>
        <w:t xml:space="preserve">; </w:t>
      </w:r>
      <w:r w:rsidRPr="000B11C2">
        <w:rPr>
          <w:rFonts w:cs="David"/>
          <w:rtl/>
        </w:rPr>
        <w:t>ראו גם סעיף 83 לכתב התביעה, המסכם את הסעדים הכספיים, ולסעיף 83.3 לכתב התביעה שם מכומת הפיצוי המבוקש בנפרד.</w:t>
      </w:r>
    </w:p>
    <w:p w:rsidR="009848B0" w:rsidRPr="000B11C2" w:rsidRDefault="009848B0" w:rsidP="000C017A">
      <w:pPr>
        <w:pStyle w:val="a8"/>
        <w:tabs>
          <w:tab w:val="left" w:pos="674"/>
        </w:tabs>
        <w:spacing w:after="240" w:line="360" w:lineRule="auto"/>
        <w:rPr>
          <w:rFonts w:cs="David"/>
          <w:b/>
          <w:bCs/>
        </w:rPr>
      </w:pPr>
      <w:r w:rsidRPr="000B11C2">
        <w:rPr>
          <w:rFonts w:cs="David"/>
          <w:b/>
          <w:bCs/>
          <w:rtl/>
        </w:rPr>
        <w:t>לפיכך, כל הנימוקים של בית הדין קמא למחיקת תביעתו של המערער ברכיב זה שגוים, מתעלמים מהעובדות, ובכל הכבוד – אינם יכולים לעמוד.</w:t>
      </w:r>
    </w:p>
    <w:p w:rsidR="009848B0" w:rsidRPr="000B11C2" w:rsidRDefault="000C017A" w:rsidP="00EC2742">
      <w:pPr>
        <w:pStyle w:val="a8"/>
        <w:numPr>
          <w:ilvl w:val="0"/>
          <w:numId w:val="9"/>
        </w:numPr>
        <w:tabs>
          <w:tab w:val="left" w:pos="674"/>
        </w:tabs>
        <w:spacing w:after="240" w:line="360" w:lineRule="auto"/>
        <w:ind w:left="674" w:hanging="630"/>
        <w:rPr>
          <w:rFonts w:cs="David"/>
        </w:rPr>
      </w:pPr>
      <w:r w:rsidRPr="000B11C2">
        <w:rPr>
          <w:rFonts w:cs="David"/>
          <w:b/>
          <w:bCs/>
          <w:rtl/>
        </w:rPr>
        <w:t xml:space="preserve">מבלי לגרוע מכך, יוסיף המערער ויבהיר כדלקמן – </w:t>
      </w:r>
      <w:r w:rsidR="002B6A12" w:rsidRPr="000B11C2">
        <w:rPr>
          <w:rFonts w:cs="David"/>
          <w:rtl/>
        </w:rPr>
        <w:t>מחיקת רכיב תביעה זה נעשתה ביום 31.5.2020, כשבעה חודשים לאחר הגשת התביעה. אם יגיש המערער תביעה חדשה עלול להיגרם לו נזק של ממש, בשל טענות התיישנות שעלולות המשיבות להעלות בעניין חלוף המועד ביחס לחלק מרכיבי התביעה</w:t>
      </w:r>
      <w:r w:rsidR="00C02D74" w:rsidRPr="000B11C2">
        <w:rPr>
          <w:rFonts w:cs="David"/>
          <w:rtl/>
        </w:rPr>
        <w:t xml:space="preserve"> (מבלי שישתמע כי המערער מסכים לנכונות טענות כאמור, ככל שיועלו)</w:t>
      </w:r>
      <w:r w:rsidR="002B6A12" w:rsidRPr="000B11C2">
        <w:rPr>
          <w:rFonts w:cs="David"/>
          <w:rtl/>
        </w:rPr>
        <w:t>.</w:t>
      </w:r>
    </w:p>
    <w:p w:rsidR="00C324AB" w:rsidRPr="000B11C2" w:rsidRDefault="008068EB" w:rsidP="000B11C2">
      <w:pPr>
        <w:pStyle w:val="7"/>
        <w:spacing w:after="120" w:line="360" w:lineRule="auto"/>
        <w:rPr>
          <w:rFonts w:cs="David"/>
          <w:sz w:val="28"/>
          <w:szCs w:val="28"/>
        </w:rPr>
      </w:pPr>
      <w:r w:rsidRPr="000B11C2">
        <w:rPr>
          <w:rFonts w:cs="David"/>
          <w:sz w:val="28"/>
          <w:szCs w:val="28"/>
          <w:u w:val="none"/>
          <w:rtl/>
        </w:rPr>
        <w:lastRenderedPageBreak/>
        <w:t>ב.5.</w:t>
      </w:r>
      <w:r w:rsidRPr="000B11C2">
        <w:rPr>
          <w:rFonts w:cs="David"/>
          <w:sz w:val="28"/>
          <w:szCs w:val="28"/>
          <w:u w:val="none"/>
          <w:rtl/>
        </w:rPr>
        <w:tab/>
      </w:r>
      <w:r w:rsidR="00C324AB" w:rsidRPr="000B11C2">
        <w:rPr>
          <w:rFonts w:cs="David"/>
          <w:sz w:val="28"/>
          <w:szCs w:val="28"/>
          <w:rtl/>
        </w:rPr>
        <w:t>הערה בעניין (חוסר) תום לב וחובת ההגינות הציבורית</w:t>
      </w:r>
    </w:p>
    <w:p w:rsidR="002D3FDF" w:rsidRPr="000B11C2" w:rsidRDefault="000650C9" w:rsidP="000E3B23">
      <w:pPr>
        <w:pStyle w:val="a8"/>
        <w:numPr>
          <w:ilvl w:val="0"/>
          <w:numId w:val="9"/>
        </w:numPr>
        <w:tabs>
          <w:tab w:val="left" w:pos="674"/>
        </w:tabs>
        <w:spacing w:after="240" w:line="360" w:lineRule="auto"/>
        <w:ind w:left="674" w:hanging="630"/>
        <w:rPr>
          <w:rFonts w:cs="David"/>
        </w:rPr>
      </w:pPr>
      <w:r w:rsidRPr="000B11C2">
        <w:rPr>
          <w:rFonts w:cs="David"/>
          <w:rtl/>
        </w:rPr>
        <w:t xml:space="preserve">המערער יטען כי </w:t>
      </w:r>
      <w:r w:rsidR="002D3FDF" w:rsidRPr="000B11C2">
        <w:rPr>
          <w:rFonts w:cs="David"/>
          <w:rtl/>
        </w:rPr>
        <w:t>ה</w:t>
      </w:r>
      <w:r w:rsidR="00E8764E" w:rsidRPr="000B11C2">
        <w:rPr>
          <w:rFonts w:cs="David"/>
          <w:rtl/>
        </w:rPr>
        <w:t>משיבות</w:t>
      </w:r>
      <w:r w:rsidR="002D3FDF" w:rsidRPr="000B11C2">
        <w:rPr>
          <w:rFonts w:cs="David"/>
          <w:rtl/>
        </w:rPr>
        <w:t xml:space="preserve"> לא נהגו בסבירו</w:t>
      </w:r>
      <w:r w:rsidR="003D7ED7" w:rsidRPr="000B11C2">
        <w:rPr>
          <w:rFonts w:cs="David"/>
          <w:rtl/>
        </w:rPr>
        <w:t>ת</w:t>
      </w:r>
      <w:r w:rsidR="002D3FDF" w:rsidRPr="000B11C2">
        <w:rPr>
          <w:rFonts w:cs="David"/>
          <w:rtl/>
        </w:rPr>
        <w:t>, תום לב והגינות כאשר בחרו להגיש בקשה לסילוק התביעה על הסף מחמת התיישנות</w:t>
      </w:r>
      <w:r w:rsidRPr="000B11C2">
        <w:rPr>
          <w:rFonts w:cs="David"/>
          <w:rtl/>
        </w:rPr>
        <w:t>, כפי שנפרט להלן:</w:t>
      </w:r>
    </w:p>
    <w:p w:rsidR="00C324AB" w:rsidRPr="0013771F" w:rsidRDefault="00C324AB" w:rsidP="00C24648">
      <w:pPr>
        <w:pStyle w:val="a8"/>
        <w:numPr>
          <w:ilvl w:val="1"/>
          <w:numId w:val="9"/>
        </w:numPr>
        <w:tabs>
          <w:tab w:val="left" w:pos="1394"/>
        </w:tabs>
        <w:spacing w:after="240" w:line="360" w:lineRule="auto"/>
        <w:ind w:left="1394" w:hanging="720"/>
        <w:rPr>
          <w:rFonts w:cs="David"/>
        </w:rPr>
      </w:pPr>
      <w:r w:rsidRPr="00C24648">
        <w:rPr>
          <w:rFonts w:cs="David"/>
          <w:rtl/>
        </w:rPr>
        <w:t>ההודעה</w:t>
      </w:r>
      <w:r w:rsidR="00031D1C" w:rsidRPr="00C24648">
        <w:rPr>
          <w:rFonts w:cs="David"/>
          <w:rtl/>
        </w:rPr>
        <w:t xml:space="preserve"> על</w:t>
      </w:r>
      <w:r w:rsidRPr="00C24648">
        <w:rPr>
          <w:rFonts w:cs="David"/>
          <w:rtl/>
        </w:rPr>
        <w:t xml:space="preserve"> </w:t>
      </w:r>
      <w:r w:rsidR="00031D1C" w:rsidRPr="00C24648">
        <w:rPr>
          <w:rFonts w:cs="David"/>
          <w:rtl/>
        </w:rPr>
        <w:t>הכוונה - ל</w:t>
      </w:r>
      <w:r w:rsidRPr="00C24648">
        <w:rPr>
          <w:rFonts w:cs="David"/>
          <w:rtl/>
        </w:rPr>
        <w:t>סיום העסקתו של ה</w:t>
      </w:r>
      <w:r w:rsidR="002D3FDF" w:rsidRPr="00C24648">
        <w:rPr>
          <w:rFonts w:cs="David"/>
          <w:rtl/>
        </w:rPr>
        <w:t>מערער</w:t>
      </w:r>
      <w:r w:rsidR="00031D1C" w:rsidRPr="00655EE8">
        <w:rPr>
          <w:rFonts w:cs="David"/>
          <w:rtl/>
        </w:rPr>
        <w:t xml:space="preserve"> ב-</w:t>
      </w:r>
      <w:r w:rsidR="00031D1C" w:rsidRPr="0013771F">
        <w:rPr>
          <w:rFonts w:cs="David"/>
          <w:u w:val="single"/>
          <w:rtl/>
        </w:rPr>
        <w:t>31.7.2012</w:t>
      </w:r>
      <w:r w:rsidRPr="00C24648">
        <w:rPr>
          <w:rFonts w:cs="David"/>
          <w:rtl/>
        </w:rPr>
        <w:t xml:space="preserve"> ניתנה </w:t>
      </w:r>
      <w:r w:rsidR="00031D1C" w:rsidRPr="00C24648">
        <w:rPr>
          <w:rFonts w:cs="David"/>
          <w:u w:val="single"/>
          <w:rtl/>
        </w:rPr>
        <w:t>לראשונה</w:t>
      </w:r>
      <w:r w:rsidR="00031D1C" w:rsidRPr="00C24648">
        <w:rPr>
          <w:rFonts w:cs="David"/>
          <w:rtl/>
        </w:rPr>
        <w:t xml:space="preserve"> ב-4.7.2012, </w:t>
      </w:r>
      <w:r w:rsidR="00337000" w:rsidRPr="0013771F">
        <w:rPr>
          <w:rFonts w:cs="David"/>
          <w:rtl/>
        </w:rPr>
        <w:t>ע"י פקידה חסרת סמכות ע"פ החוזה</w:t>
      </w:r>
      <w:r w:rsidR="00337000" w:rsidRPr="00C24648">
        <w:rPr>
          <w:rFonts w:cs="David"/>
          <w:rtl/>
        </w:rPr>
        <w:t xml:space="preserve"> </w:t>
      </w:r>
      <w:r w:rsidR="00337000" w:rsidRPr="0013771F">
        <w:rPr>
          <w:rFonts w:cs="David"/>
          <w:rtl/>
        </w:rPr>
        <w:t>או התקשי"ר</w:t>
      </w:r>
      <w:r w:rsidR="00337000" w:rsidRPr="00C24648">
        <w:rPr>
          <w:rFonts w:cs="David"/>
          <w:rtl/>
        </w:rPr>
        <w:t xml:space="preserve">- </w:t>
      </w:r>
      <w:r w:rsidR="00337000" w:rsidRPr="0013771F">
        <w:rPr>
          <w:rFonts w:cs="David"/>
          <w:b/>
          <w:bCs/>
          <w:rtl/>
        </w:rPr>
        <w:t>דהיינו</w:t>
      </w:r>
      <w:r w:rsidR="00337000" w:rsidRPr="00C24648">
        <w:rPr>
          <w:rFonts w:cs="David"/>
          <w:b/>
          <w:bCs/>
          <w:rtl/>
        </w:rPr>
        <w:t xml:space="preserve"> </w:t>
      </w:r>
      <w:r w:rsidRPr="00C24648">
        <w:rPr>
          <w:rFonts w:cs="David"/>
          <w:b/>
          <w:bCs/>
          <w:rtl/>
        </w:rPr>
        <w:t>פחות מחודש מהמועד שהיה קבוע בהודעה</w:t>
      </w:r>
      <w:r w:rsidRPr="00655EE8">
        <w:rPr>
          <w:rFonts w:cs="David"/>
          <w:rtl/>
        </w:rPr>
        <w:t xml:space="preserve"> (סעיף 7 לכתב התביעה). כלומר, </w:t>
      </w:r>
      <w:r w:rsidRPr="00F65A30">
        <w:rPr>
          <w:rFonts w:cs="David"/>
          <w:b/>
          <w:bCs/>
          <w:rtl/>
        </w:rPr>
        <w:t>פחות מפרק הזמן המינימלי להודעה מוקדמת על פי חוק</w:t>
      </w:r>
      <w:r w:rsidRPr="001A50DD">
        <w:rPr>
          <w:rFonts w:cs="David"/>
          <w:rtl/>
        </w:rPr>
        <w:t>;</w:t>
      </w:r>
    </w:p>
    <w:p w:rsidR="00C324AB" w:rsidRPr="00C24648" w:rsidRDefault="00C324AB" w:rsidP="00EC2742">
      <w:pPr>
        <w:pStyle w:val="a8"/>
        <w:numPr>
          <w:ilvl w:val="1"/>
          <w:numId w:val="9"/>
        </w:numPr>
        <w:tabs>
          <w:tab w:val="left" w:pos="1394"/>
        </w:tabs>
        <w:spacing w:after="240" w:line="360" w:lineRule="auto"/>
        <w:ind w:left="1394" w:hanging="720"/>
        <w:rPr>
          <w:rFonts w:cs="David"/>
        </w:rPr>
      </w:pPr>
      <w:r w:rsidRPr="0013771F">
        <w:rPr>
          <w:rFonts w:cs="David"/>
          <w:rtl/>
        </w:rPr>
        <w:t xml:space="preserve">בהתאם להוראות חוק הגמלאות, נציב שרות המדינה חייב לידע את העובד בדואר רשום על החלטתו להפריש אותו לקיצבאות לפחות 90 יום לפני יום הפרישה. </w:t>
      </w:r>
      <w:r w:rsidRPr="0013771F">
        <w:rPr>
          <w:rFonts w:cs="David"/>
          <w:b/>
          <w:bCs/>
          <w:rtl/>
        </w:rPr>
        <w:t xml:space="preserve">כידוע, ההודעה ניתנה רק בחודש דצמבר 2012, רטרואקטיבית </w:t>
      </w:r>
      <w:r w:rsidR="00031D1C" w:rsidRPr="0013771F">
        <w:rPr>
          <w:rFonts w:cs="David"/>
          <w:b/>
          <w:bCs/>
          <w:rtl/>
        </w:rPr>
        <w:t xml:space="preserve">(!) </w:t>
      </w:r>
      <w:r w:rsidRPr="00C24648">
        <w:rPr>
          <w:rFonts w:cs="David"/>
          <w:b/>
          <w:bCs/>
          <w:rtl/>
        </w:rPr>
        <w:t>לחודש יולי</w:t>
      </w:r>
      <w:r w:rsidRPr="00C24648">
        <w:rPr>
          <w:rFonts w:cs="David"/>
          <w:rtl/>
        </w:rPr>
        <w:t xml:space="preserve">; </w:t>
      </w:r>
    </w:p>
    <w:p w:rsidR="00C324AB" w:rsidRPr="000B11C2" w:rsidRDefault="00C324AB" w:rsidP="00EC2742">
      <w:pPr>
        <w:pStyle w:val="a8"/>
        <w:numPr>
          <w:ilvl w:val="1"/>
          <w:numId w:val="9"/>
        </w:numPr>
        <w:tabs>
          <w:tab w:val="left" w:pos="1394"/>
        </w:tabs>
        <w:spacing w:after="240" w:line="360" w:lineRule="auto"/>
        <w:ind w:left="1394" w:hanging="720"/>
        <w:rPr>
          <w:rFonts w:cs="David"/>
        </w:rPr>
      </w:pPr>
      <w:r w:rsidRPr="000B11C2">
        <w:rPr>
          <w:rFonts w:cs="David"/>
          <w:rtl/>
        </w:rPr>
        <w:t xml:space="preserve">בהתאם להוראות התקשי"ר, סמנכ"ל המשרד (ולא פקיד זוטר כלשהו) חייב לתת הודעה על צאתו הצפוי של העובד לגמלאות שנה שלימה לפני מועד הפרישה. </w:t>
      </w:r>
      <w:r w:rsidRPr="000B11C2">
        <w:rPr>
          <w:rFonts w:cs="David"/>
          <w:b/>
          <w:bCs/>
          <w:rtl/>
        </w:rPr>
        <w:t>הודעה כאמור לא נמסרה לתובע במועד הקבוע בחוק ולא במועד הנדרש בתקשי"ר, אלא רק בחודש דצמבר 2012</w:t>
      </w:r>
      <w:r w:rsidRPr="000B11C2">
        <w:rPr>
          <w:rFonts w:cs="David"/>
          <w:rtl/>
        </w:rPr>
        <w:t>.</w:t>
      </w:r>
    </w:p>
    <w:p w:rsidR="00C324AB" w:rsidRPr="00C24648" w:rsidRDefault="00C324AB" w:rsidP="002D44CA">
      <w:pPr>
        <w:pStyle w:val="a8"/>
        <w:numPr>
          <w:ilvl w:val="1"/>
          <w:numId w:val="9"/>
        </w:numPr>
        <w:tabs>
          <w:tab w:val="left" w:pos="1394"/>
        </w:tabs>
        <w:spacing w:after="240" w:line="360" w:lineRule="auto"/>
        <w:ind w:left="1394" w:hanging="720"/>
        <w:rPr>
          <w:rFonts w:cs="David"/>
        </w:rPr>
      </w:pPr>
      <w:r w:rsidRPr="00C24648">
        <w:rPr>
          <w:rFonts w:cs="David"/>
          <w:rtl/>
        </w:rPr>
        <w:t xml:space="preserve">בהתאם להוראות התקשי"ר, היה על האחראי על </w:t>
      </w:r>
      <w:r w:rsidR="002D3FDF" w:rsidRPr="00C24648">
        <w:rPr>
          <w:rFonts w:cs="David"/>
          <w:rtl/>
        </w:rPr>
        <w:t>מערער</w:t>
      </w:r>
      <w:r w:rsidRPr="00655EE8">
        <w:rPr>
          <w:rFonts w:cs="David"/>
          <w:rtl/>
        </w:rPr>
        <w:t xml:space="preserve"> לשלוח עותק של </w:t>
      </w:r>
      <w:r w:rsidRPr="00F65A30">
        <w:rPr>
          <w:rFonts w:cs="David"/>
          <w:b/>
          <w:bCs/>
          <w:rtl/>
        </w:rPr>
        <w:t>טופס הודעה על הפסקת העבודה גם לממונה על הגמלאות במשרד האוצר לפחות 90 ימים לפני מועד הפרישה. הדבר לא נעשה, ו</w:t>
      </w:r>
      <w:r w:rsidR="008068EB" w:rsidRPr="00F65A30">
        <w:rPr>
          <w:rFonts w:cs="David"/>
          <w:b/>
          <w:bCs/>
          <w:rtl/>
        </w:rPr>
        <w:t xml:space="preserve">למעשה </w:t>
      </w:r>
      <w:r w:rsidRPr="001A50DD">
        <w:rPr>
          <w:rFonts w:cs="David"/>
          <w:b/>
          <w:bCs/>
          <w:rtl/>
        </w:rPr>
        <w:t>רק ב</w:t>
      </w:r>
      <w:r w:rsidR="008068EB" w:rsidRPr="0013771F">
        <w:rPr>
          <w:rFonts w:cs="David"/>
          <w:b/>
          <w:bCs/>
          <w:rtl/>
        </w:rPr>
        <w:t xml:space="preserve">סוף </w:t>
      </w:r>
      <w:r w:rsidRPr="0013771F">
        <w:rPr>
          <w:rFonts w:cs="David"/>
          <w:b/>
          <w:bCs/>
          <w:rtl/>
        </w:rPr>
        <w:t xml:space="preserve">חודש דצמבר 2012 בוצע </w:t>
      </w:r>
      <w:r w:rsidR="002D44CA" w:rsidRPr="0013771F">
        <w:rPr>
          <w:rFonts w:cs="David"/>
          <w:b/>
          <w:bCs/>
          <w:rtl/>
        </w:rPr>
        <w:t xml:space="preserve">תשלום </w:t>
      </w:r>
      <w:r w:rsidR="008068EB" w:rsidRPr="0013771F">
        <w:rPr>
          <w:rFonts w:cs="David"/>
          <w:b/>
          <w:bCs/>
          <w:rtl/>
        </w:rPr>
        <w:t>ראשון</w:t>
      </w:r>
      <w:r w:rsidR="002D44CA" w:rsidRPr="0013771F">
        <w:rPr>
          <w:rFonts w:cs="David"/>
          <w:b/>
          <w:bCs/>
          <w:rtl/>
        </w:rPr>
        <w:t xml:space="preserve"> (מקדמה)</w:t>
      </w:r>
      <w:r w:rsidRPr="0013771F">
        <w:rPr>
          <w:rFonts w:cs="David"/>
          <w:rtl/>
        </w:rPr>
        <w:t>.</w:t>
      </w:r>
    </w:p>
    <w:p w:rsidR="00C324AB" w:rsidRPr="000B11C2" w:rsidRDefault="00C324AB" w:rsidP="000E3B23">
      <w:pPr>
        <w:pStyle w:val="a8"/>
        <w:tabs>
          <w:tab w:val="left" w:pos="674"/>
        </w:tabs>
        <w:spacing w:after="240" w:line="360" w:lineRule="auto"/>
        <w:ind w:left="674"/>
        <w:rPr>
          <w:rFonts w:cs="David"/>
        </w:rPr>
      </w:pPr>
      <w:r w:rsidRPr="00655EE8">
        <w:rPr>
          <w:rFonts w:cs="David"/>
          <w:rtl/>
        </w:rPr>
        <w:t>יתרה מכך, לאורך כל התקופה עד</w:t>
      </w:r>
      <w:r w:rsidRPr="000B11C2">
        <w:rPr>
          <w:rFonts w:cs="David"/>
          <w:rtl/>
        </w:rPr>
        <w:t xml:space="preserve"> להגשת כתב התביעה </w:t>
      </w:r>
      <w:r w:rsidR="008068EB" w:rsidRPr="000B11C2">
        <w:rPr>
          <w:rFonts w:cs="David"/>
          <w:rtl/>
        </w:rPr>
        <w:t>(ו</w:t>
      </w:r>
      <w:r w:rsidRPr="000B11C2">
        <w:rPr>
          <w:rFonts w:cs="David"/>
          <w:rtl/>
        </w:rPr>
        <w:t>גם לאחריו</w:t>
      </w:r>
      <w:r w:rsidR="008068EB" w:rsidRPr="000B11C2">
        <w:rPr>
          <w:rFonts w:cs="David"/>
          <w:rtl/>
        </w:rPr>
        <w:t>)</w:t>
      </w:r>
      <w:r w:rsidRPr="000B11C2">
        <w:rPr>
          <w:rFonts w:cs="David"/>
          <w:rtl/>
        </w:rPr>
        <w:t xml:space="preserve">, </w:t>
      </w:r>
      <w:r w:rsidRPr="000B11C2">
        <w:rPr>
          <w:rFonts w:cs="David"/>
          <w:b/>
          <w:bCs/>
          <w:rtl/>
        </w:rPr>
        <w:t>השתהתה המדינה בטיפול בפניותיו של ה</w:t>
      </w:r>
      <w:r w:rsidR="002D3FDF" w:rsidRPr="000B11C2">
        <w:rPr>
          <w:rFonts w:cs="David"/>
          <w:b/>
          <w:bCs/>
          <w:rtl/>
        </w:rPr>
        <w:t>מערער</w:t>
      </w:r>
      <w:r w:rsidRPr="000B11C2">
        <w:rPr>
          <w:rFonts w:cs="David"/>
          <w:rtl/>
        </w:rPr>
        <w:t xml:space="preserve">. </w:t>
      </w:r>
    </w:p>
    <w:p w:rsidR="00C324AB" w:rsidRPr="000B11C2" w:rsidRDefault="00C324AB" w:rsidP="00EC2742">
      <w:pPr>
        <w:pStyle w:val="a8"/>
        <w:numPr>
          <w:ilvl w:val="0"/>
          <w:numId w:val="9"/>
        </w:numPr>
        <w:spacing w:after="240" w:line="360" w:lineRule="auto"/>
        <w:ind w:left="674" w:hanging="630"/>
        <w:rPr>
          <w:rFonts w:cs="David"/>
        </w:rPr>
      </w:pPr>
      <w:r w:rsidRPr="000B11C2">
        <w:rPr>
          <w:rFonts w:cs="David"/>
          <w:rtl/>
        </w:rPr>
        <w:t>על רקע זה, כאשר המדינה לא עמדה במועדים הקבועים בדין, לא פעם אחת ולא פעמיים, תוך שהיא גורמת ל</w:t>
      </w:r>
      <w:r w:rsidR="002D3FDF" w:rsidRPr="000B11C2">
        <w:rPr>
          <w:rFonts w:cs="David"/>
          <w:rtl/>
        </w:rPr>
        <w:t>מערער</w:t>
      </w:r>
      <w:r w:rsidRPr="000B11C2">
        <w:rPr>
          <w:rFonts w:cs="David"/>
          <w:rtl/>
        </w:rPr>
        <w:t xml:space="preserve"> נזקים ממשיים, ולאחר שהשתהתה </w:t>
      </w:r>
      <w:r w:rsidR="00F45B16" w:rsidRPr="000B11C2">
        <w:rPr>
          <w:rFonts w:cs="David"/>
          <w:rtl/>
        </w:rPr>
        <w:t xml:space="preserve">זמן רב </w:t>
      </w:r>
      <w:r w:rsidRPr="000B11C2">
        <w:rPr>
          <w:rFonts w:cs="David"/>
          <w:rtl/>
        </w:rPr>
        <w:t>בטיפול בפניותיו, ואף התנצלה על כך, אין זה ראוי כי אותה מדינה ממש</w:t>
      </w:r>
      <w:r w:rsidR="00F45B16" w:rsidRPr="000B11C2">
        <w:rPr>
          <w:rFonts w:cs="David"/>
          <w:rtl/>
        </w:rPr>
        <w:t xml:space="preserve"> </w:t>
      </w:r>
      <w:r w:rsidRPr="000B11C2">
        <w:rPr>
          <w:rFonts w:cs="David"/>
          <w:rtl/>
        </w:rPr>
        <w:t xml:space="preserve">תעלה טענות של שיהוי והתיישנות. </w:t>
      </w:r>
    </w:p>
    <w:p w:rsidR="00C324AB" w:rsidRPr="000B11C2" w:rsidRDefault="00F45B16" w:rsidP="00EC2742">
      <w:pPr>
        <w:pStyle w:val="a8"/>
        <w:numPr>
          <w:ilvl w:val="0"/>
          <w:numId w:val="9"/>
        </w:numPr>
        <w:tabs>
          <w:tab w:val="left" w:pos="674"/>
        </w:tabs>
        <w:spacing w:after="240" w:line="360" w:lineRule="auto"/>
        <w:ind w:left="674" w:hanging="630"/>
        <w:rPr>
          <w:rFonts w:cs="David"/>
          <w:b/>
          <w:bCs/>
        </w:rPr>
      </w:pPr>
      <w:r w:rsidRPr="000B11C2">
        <w:rPr>
          <w:rFonts w:cs="David"/>
          <w:rtl/>
        </w:rPr>
        <w:t xml:space="preserve">בית הדין קמא התעלם מטענותיו אלה של המערער, ובכך נפל פגם יסודי בפסק דינו, שכן </w:t>
      </w:r>
      <w:r w:rsidR="00C324AB" w:rsidRPr="000B11C2">
        <w:rPr>
          <w:rFonts w:cs="David"/>
          <w:b/>
          <w:bCs/>
          <w:rtl/>
        </w:rPr>
        <w:t xml:space="preserve">אין בהתנהלות זאת </w:t>
      </w:r>
      <w:r w:rsidRPr="000B11C2">
        <w:rPr>
          <w:rFonts w:cs="David"/>
          <w:b/>
          <w:bCs/>
          <w:rtl/>
        </w:rPr>
        <w:t xml:space="preserve">של המשיבות </w:t>
      </w:r>
      <w:r w:rsidR="00C324AB" w:rsidRPr="000B11C2">
        <w:rPr>
          <w:rFonts w:cs="David"/>
          <w:b/>
          <w:bCs/>
          <w:rtl/>
        </w:rPr>
        <w:t>דבר וחצי דבר עם חובת ההגינות המנהלית החלה על המדינה</w:t>
      </w:r>
      <w:r w:rsidRPr="000B11C2">
        <w:rPr>
          <w:rFonts w:cs="David"/>
          <w:b/>
          <w:bCs/>
          <w:rtl/>
        </w:rPr>
        <w:t>, ועם מושגים של סבירות ותום לב</w:t>
      </w:r>
      <w:r w:rsidR="00C324AB" w:rsidRPr="000B11C2">
        <w:rPr>
          <w:rFonts w:cs="David"/>
          <w:b/>
          <w:bCs/>
          <w:rtl/>
        </w:rPr>
        <w:t xml:space="preserve">. </w:t>
      </w:r>
    </w:p>
    <w:p w:rsidR="00F7574C" w:rsidRDefault="00ED242B" w:rsidP="0013771F">
      <w:pPr>
        <w:pStyle w:val="a8"/>
        <w:tabs>
          <w:tab w:val="left" w:pos="674"/>
        </w:tabs>
        <w:spacing w:after="240" w:line="360" w:lineRule="auto"/>
        <w:ind w:left="44" w:firstLine="630"/>
        <w:rPr>
          <w:rFonts w:cs="David"/>
        </w:rPr>
      </w:pPr>
      <w:r w:rsidRPr="00C24648">
        <w:rPr>
          <w:rFonts w:cs="David"/>
          <w:b/>
          <w:bCs/>
          <w:rtl/>
        </w:rPr>
        <w:t>לאור האמור לעיל יתבקש בית הדין הנכבד לק</w:t>
      </w:r>
      <w:r w:rsidRPr="00655EE8">
        <w:rPr>
          <w:rFonts w:cs="David"/>
          <w:b/>
          <w:bCs/>
          <w:rtl/>
        </w:rPr>
        <w:t xml:space="preserve">בל את הערעור </w:t>
      </w:r>
      <w:r w:rsidR="000650C9" w:rsidRPr="00F65A30">
        <w:rPr>
          <w:rFonts w:cs="David"/>
          <w:b/>
          <w:bCs/>
          <w:rtl/>
        </w:rPr>
        <w:t xml:space="preserve">(המתוקן) </w:t>
      </w:r>
      <w:r w:rsidRPr="00F65A30">
        <w:rPr>
          <w:rFonts w:cs="David"/>
          <w:b/>
          <w:bCs/>
          <w:rtl/>
        </w:rPr>
        <w:t>במלואו, ולהורות להשיב את הדיון לבית הדין קמא על מנת שידון בתיק לגופו</w:t>
      </w:r>
      <w:r w:rsidR="000749DF" w:rsidRPr="0013771F">
        <w:rPr>
          <w:rFonts w:cs="David"/>
          <w:rtl/>
        </w:rPr>
        <w:t>.</w:t>
      </w:r>
      <w:r w:rsidR="000749DF" w:rsidRPr="00C24648">
        <w:rPr>
          <w:rFonts w:cs="David"/>
          <w:rtl/>
        </w:rPr>
        <w:t xml:space="preserve"> </w:t>
      </w:r>
      <w:r w:rsidRPr="00655EE8">
        <w:rPr>
          <w:rFonts w:cs="David"/>
          <w:b/>
          <w:bCs/>
          <w:rtl/>
        </w:rPr>
        <w:t>וכן לפסוק הוצאות לזכות המערער, וכן שכר טרחת עורכי דינו.</w:t>
      </w:r>
      <w:r w:rsidR="000749DF">
        <w:rPr>
          <w:rFonts w:cs="David"/>
          <w:b/>
          <w:bCs/>
          <w:rtl/>
        </w:rPr>
        <w:t xml:space="preserve">  </w:t>
      </w:r>
    </w:p>
    <w:sectPr w:rsidR="00F7574C" w:rsidSect="0013771F">
      <w:headerReference w:type="default" r:id="rId9"/>
      <w:footerReference w:type="first" r:id="rId10"/>
      <w:pgSz w:w="11906" w:h="16838" w:code="9"/>
      <w:pgMar w:top="1152" w:right="1152" w:bottom="1296" w:left="1296" w:header="576" w:footer="432"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5C1" w:rsidRDefault="006565C1">
      <w:r>
        <w:separator/>
      </w:r>
    </w:p>
  </w:endnote>
  <w:endnote w:type="continuationSeparator" w:id="0">
    <w:p w:rsidR="006565C1" w:rsidRDefault="0065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altName w:val="Times New Roman"/>
    <w:panose1 w:val="020E0502060401010101"/>
    <w:charset w:val="00"/>
    <w:family w:val="swiss"/>
    <w:pitch w:val="variable"/>
    <w:sig w:usb0="00000803" w:usb1="00000000" w:usb2="00000000" w:usb3="00000000" w:csb0="00000021" w:csb1="00000000"/>
  </w:font>
  <w:font w:name="Times New Roman">
    <w:altName w:val="Arial Narrow"/>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B23" w:rsidRDefault="000E3B2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5C1" w:rsidRDefault="006565C1">
      <w:r>
        <w:separator/>
      </w:r>
    </w:p>
  </w:footnote>
  <w:footnote w:type="continuationSeparator" w:id="0">
    <w:p w:rsidR="006565C1" w:rsidRDefault="00656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930" w:rsidRPr="0013771F" w:rsidRDefault="00BA4930">
    <w:pPr>
      <w:pStyle w:val="a3"/>
      <w:jc w:val="center"/>
      <w:rPr>
        <w:sz w:val="16"/>
        <w:szCs w:val="16"/>
      </w:rPr>
    </w:pPr>
    <w:r w:rsidRPr="0013771F">
      <w:rPr>
        <w:sz w:val="16"/>
        <w:szCs w:val="16"/>
      </w:rPr>
      <w:fldChar w:fldCharType="begin"/>
    </w:r>
    <w:r w:rsidRPr="0013771F">
      <w:rPr>
        <w:sz w:val="16"/>
        <w:szCs w:val="16"/>
      </w:rPr>
      <w:instrText xml:space="preserve"> PAGE   \* MERGEFORMAT </w:instrText>
    </w:r>
    <w:r w:rsidRPr="0013771F">
      <w:rPr>
        <w:sz w:val="16"/>
        <w:szCs w:val="16"/>
      </w:rPr>
      <w:fldChar w:fldCharType="separate"/>
    </w:r>
    <w:r w:rsidR="00A42DAF">
      <w:rPr>
        <w:noProof/>
        <w:sz w:val="16"/>
        <w:szCs w:val="16"/>
        <w:rtl/>
      </w:rPr>
      <w:t>2</w:t>
    </w:r>
    <w:r w:rsidRPr="0013771F">
      <w:rPr>
        <w:sz w:val="16"/>
        <w:szCs w:val="16"/>
      </w:rPr>
      <w:fldChar w:fldCharType="end"/>
    </w:r>
  </w:p>
  <w:p w:rsidR="00BA4930" w:rsidRDefault="00BA493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177FB"/>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4813207"/>
    <w:multiLevelType w:val="hybridMultilevel"/>
    <w:tmpl w:val="9712F734"/>
    <w:lvl w:ilvl="0" w:tplc="166227A0">
      <w:start w:val="1"/>
      <w:numFmt w:val="hebrew1"/>
      <w:lvlText w:val="%1."/>
      <w:lvlJc w:val="left"/>
      <w:pPr>
        <w:ind w:left="720"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4E92DF3"/>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9F52ECF"/>
    <w:multiLevelType w:val="multilevel"/>
    <w:tmpl w:val="090ECB46"/>
    <w:lvl w:ilvl="0">
      <w:start w:val="1"/>
      <w:numFmt w:val="decimal"/>
      <w:lvlText w:val="%1."/>
      <w:lvlJc w:val="left"/>
      <w:pPr>
        <w:tabs>
          <w:tab w:val="num" w:pos="1800"/>
        </w:tabs>
        <w:ind w:left="180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hanging="432"/>
      </w:pPr>
      <w:rPr>
        <w:rFonts w:cs="Times New Roman"/>
        <w:b w:val="0"/>
        <w:bCs w:val="0"/>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numFmt w:val="none"/>
      <w:lvlText w:val=""/>
      <w:lvlJc w:val="left"/>
      <w:pPr>
        <w:tabs>
          <w:tab w:val="num" w:pos="720"/>
        </w:tabs>
      </w:pPr>
      <w:rPr>
        <w:rFonts w:cs="Times New Roman"/>
      </w:rPr>
    </w:lvl>
  </w:abstractNum>
  <w:abstractNum w:abstractNumId="5" w15:restartNumberingAfterBreak="0">
    <w:nsid w:val="48FA6DB1"/>
    <w:multiLevelType w:val="multilevel"/>
    <w:tmpl w:val="4F864406"/>
    <w:lvl w:ilvl="0">
      <w:start w:val="1"/>
      <w:numFmt w:val="decimal"/>
      <w:lvlText w:val="%1."/>
      <w:lvlJc w:val="left"/>
      <w:pPr>
        <w:ind w:left="586" w:hanging="360"/>
      </w:pPr>
      <w:rPr>
        <w:rFonts w:cs="Times New Roman" w:hint="default"/>
      </w:rPr>
    </w:lvl>
    <w:lvl w:ilvl="1">
      <w:start w:val="11"/>
      <w:numFmt w:val="decimal"/>
      <w:isLgl/>
      <w:lvlText w:val="%1.%2"/>
      <w:lvlJc w:val="left"/>
      <w:pPr>
        <w:ind w:left="697" w:hanging="360"/>
      </w:pPr>
      <w:rPr>
        <w:rFonts w:cs="Times New Roman" w:hint="default"/>
      </w:rPr>
    </w:lvl>
    <w:lvl w:ilvl="2">
      <w:start w:val="16"/>
      <w:numFmt w:val="decimal"/>
      <w:isLgl/>
      <w:lvlText w:val="%1.%2.%3"/>
      <w:lvlJc w:val="left"/>
      <w:pPr>
        <w:ind w:left="1168" w:hanging="720"/>
      </w:pPr>
      <w:rPr>
        <w:rFonts w:cs="Times New Roman" w:hint="default"/>
      </w:rPr>
    </w:lvl>
    <w:lvl w:ilvl="3">
      <w:start w:val="1"/>
      <w:numFmt w:val="decimal"/>
      <w:isLgl/>
      <w:lvlText w:val="%1.%2.%3.%4"/>
      <w:lvlJc w:val="left"/>
      <w:pPr>
        <w:ind w:left="1279" w:hanging="720"/>
      </w:pPr>
      <w:rPr>
        <w:rFonts w:cs="Times New Roman" w:hint="default"/>
      </w:rPr>
    </w:lvl>
    <w:lvl w:ilvl="4">
      <w:start w:val="1"/>
      <w:numFmt w:val="decimal"/>
      <w:isLgl/>
      <w:lvlText w:val="%1.%2.%3.%4.%5"/>
      <w:lvlJc w:val="left"/>
      <w:pPr>
        <w:ind w:left="1750" w:hanging="1080"/>
      </w:pPr>
      <w:rPr>
        <w:rFonts w:cs="Times New Roman" w:hint="default"/>
      </w:rPr>
    </w:lvl>
    <w:lvl w:ilvl="5">
      <w:start w:val="1"/>
      <w:numFmt w:val="decimal"/>
      <w:isLgl/>
      <w:lvlText w:val="%1.%2.%3.%4.%5.%6"/>
      <w:lvlJc w:val="left"/>
      <w:pPr>
        <w:ind w:left="1861" w:hanging="1080"/>
      </w:pPr>
      <w:rPr>
        <w:rFonts w:cs="Times New Roman" w:hint="default"/>
      </w:rPr>
    </w:lvl>
    <w:lvl w:ilvl="6">
      <w:start w:val="1"/>
      <w:numFmt w:val="decimal"/>
      <w:isLgl/>
      <w:lvlText w:val="%1.%2.%3.%4.%5.%6.%7"/>
      <w:lvlJc w:val="left"/>
      <w:pPr>
        <w:ind w:left="1972" w:hanging="1080"/>
      </w:pPr>
      <w:rPr>
        <w:rFonts w:cs="Times New Roman" w:hint="default"/>
      </w:rPr>
    </w:lvl>
    <w:lvl w:ilvl="7">
      <w:start w:val="1"/>
      <w:numFmt w:val="decimal"/>
      <w:isLgl/>
      <w:lvlText w:val="%1.%2.%3.%4.%5.%6.%7.%8"/>
      <w:lvlJc w:val="left"/>
      <w:pPr>
        <w:ind w:left="2443" w:hanging="1440"/>
      </w:pPr>
      <w:rPr>
        <w:rFonts w:cs="Times New Roman" w:hint="default"/>
      </w:rPr>
    </w:lvl>
    <w:lvl w:ilvl="8">
      <w:start w:val="1"/>
      <w:numFmt w:val="decimal"/>
      <w:isLgl/>
      <w:lvlText w:val="%1.%2.%3.%4.%5.%6.%7.%8.%9"/>
      <w:lvlJc w:val="left"/>
      <w:pPr>
        <w:ind w:left="2554" w:hanging="1440"/>
      </w:pPr>
      <w:rPr>
        <w:rFonts w:cs="Times New Roman" w:hint="default"/>
      </w:rPr>
    </w:lvl>
  </w:abstractNum>
  <w:abstractNum w:abstractNumId="6"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hint="default"/>
        <w:b/>
      </w:rPr>
    </w:lvl>
    <w:lvl w:ilvl="1" w:tplc="04090003">
      <w:start w:val="1"/>
      <w:numFmt w:val="bullet"/>
      <w:lvlText w:val="o"/>
      <w:lvlJc w:val="left"/>
      <w:pPr>
        <w:ind w:left="2054" w:hanging="360"/>
      </w:pPr>
      <w:rPr>
        <w:rFonts w:ascii="Courier New" w:hAnsi="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7" w15:restartNumberingAfterBreak="0">
    <w:nsid w:val="6BDF094A"/>
    <w:multiLevelType w:val="hybridMultilevel"/>
    <w:tmpl w:val="D9982F94"/>
    <w:lvl w:ilvl="0" w:tplc="AC8AA914">
      <w:start w:val="1"/>
      <w:numFmt w:val="decimal"/>
      <w:lvlText w:val="%1."/>
      <w:lvlJc w:val="left"/>
      <w:pPr>
        <w:ind w:left="2610" w:hanging="360"/>
      </w:pPr>
      <w:rPr>
        <w:rFonts w:ascii="David" w:hAnsi="David" w:cs="David" w:hint="default"/>
        <w:b w:val="0"/>
        <w:bCs w:val="0"/>
      </w:rPr>
    </w:lvl>
    <w:lvl w:ilvl="1" w:tplc="04090019" w:tentative="1">
      <w:start w:val="1"/>
      <w:numFmt w:val="lowerLetter"/>
      <w:lvlText w:val="%2."/>
      <w:lvlJc w:val="left"/>
      <w:pPr>
        <w:ind w:left="3330" w:hanging="360"/>
      </w:pPr>
      <w:rPr>
        <w:rFonts w:cs="Times New Roman"/>
      </w:rPr>
    </w:lvl>
    <w:lvl w:ilvl="2" w:tplc="0409001B" w:tentative="1">
      <w:start w:val="1"/>
      <w:numFmt w:val="lowerRoman"/>
      <w:lvlText w:val="%3."/>
      <w:lvlJc w:val="right"/>
      <w:pPr>
        <w:ind w:left="4050" w:hanging="180"/>
      </w:pPr>
      <w:rPr>
        <w:rFonts w:cs="Times New Roman"/>
      </w:rPr>
    </w:lvl>
    <w:lvl w:ilvl="3" w:tplc="0409000F" w:tentative="1">
      <w:start w:val="1"/>
      <w:numFmt w:val="decimal"/>
      <w:lvlText w:val="%4."/>
      <w:lvlJc w:val="left"/>
      <w:pPr>
        <w:ind w:left="4770" w:hanging="360"/>
      </w:pPr>
      <w:rPr>
        <w:rFonts w:cs="Times New Roman"/>
      </w:rPr>
    </w:lvl>
    <w:lvl w:ilvl="4" w:tplc="04090019" w:tentative="1">
      <w:start w:val="1"/>
      <w:numFmt w:val="lowerLetter"/>
      <w:lvlText w:val="%5."/>
      <w:lvlJc w:val="left"/>
      <w:pPr>
        <w:ind w:left="5490" w:hanging="360"/>
      </w:pPr>
      <w:rPr>
        <w:rFonts w:cs="Times New Roman"/>
      </w:rPr>
    </w:lvl>
    <w:lvl w:ilvl="5" w:tplc="0409001B" w:tentative="1">
      <w:start w:val="1"/>
      <w:numFmt w:val="lowerRoman"/>
      <w:lvlText w:val="%6."/>
      <w:lvlJc w:val="right"/>
      <w:pPr>
        <w:ind w:left="6210" w:hanging="180"/>
      </w:pPr>
      <w:rPr>
        <w:rFonts w:cs="Times New Roman"/>
      </w:rPr>
    </w:lvl>
    <w:lvl w:ilvl="6" w:tplc="0409000F" w:tentative="1">
      <w:start w:val="1"/>
      <w:numFmt w:val="decimal"/>
      <w:lvlText w:val="%7."/>
      <w:lvlJc w:val="left"/>
      <w:pPr>
        <w:ind w:left="6930" w:hanging="360"/>
      </w:pPr>
      <w:rPr>
        <w:rFonts w:cs="Times New Roman"/>
      </w:rPr>
    </w:lvl>
    <w:lvl w:ilvl="7" w:tplc="04090019" w:tentative="1">
      <w:start w:val="1"/>
      <w:numFmt w:val="lowerLetter"/>
      <w:lvlText w:val="%8."/>
      <w:lvlJc w:val="left"/>
      <w:pPr>
        <w:ind w:left="7650" w:hanging="360"/>
      </w:pPr>
      <w:rPr>
        <w:rFonts w:cs="Times New Roman"/>
      </w:rPr>
    </w:lvl>
    <w:lvl w:ilvl="8" w:tplc="0409001B" w:tentative="1">
      <w:start w:val="1"/>
      <w:numFmt w:val="lowerRoman"/>
      <w:lvlText w:val="%9."/>
      <w:lvlJc w:val="right"/>
      <w:pPr>
        <w:ind w:left="8370" w:hanging="180"/>
      </w:pPr>
      <w:rPr>
        <w:rFonts w:cs="Times New Roman"/>
      </w:rPr>
    </w:lvl>
  </w:abstractNum>
  <w:abstractNum w:abstractNumId="8" w15:restartNumberingAfterBreak="0">
    <w:nsid w:val="726C62CF"/>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7BD9094D"/>
    <w:multiLevelType w:val="hybridMultilevel"/>
    <w:tmpl w:val="1D1ADF94"/>
    <w:lvl w:ilvl="0" w:tplc="88686FD8">
      <w:start w:val="1"/>
      <w:numFmt w:val="hebrew1"/>
      <w:lvlText w:val="%1."/>
      <w:lvlJc w:val="left"/>
      <w:pPr>
        <w:tabs>
          <w:tab w:val="num" w:pos="3580"/>
        </w:tabs>
        <w:ind w:left="3580" w:hanging="720"/>
      </w:pPr>
      <w:rPr>
        <w:rFonts w:cs="Times New Roman" w:hint="cs"/>
      </w:rPr>
    </w:lvl>
    <w:lvl w:ilvl="1" w:tplc="040D0019">
      <w:start w:val="1"/>
      <w:numFmt w:val="lowerLetter"/>
      <w:lvlText w:val="%2."/>
      <w:lvlJc w:val="left"/>
      <w:pPr>
        <w:tabs>
          <w:tab w:val="num" w:pos="3940"/>
        </w:tabs>
        <w:ind w:left="3940" w:hanging="360"/>
      </w:pPr>
      <w:rPr>
        <w:rFonts w:cs="Times New Roman"/>
      </w:rPr>
    </w:lvl>
    <w:lvl w:ilvl="2" w:tplc="040D001B" w:tentative="1">
      <w:start w:val="1"/>
      <w:numFmt w:val="lowerRoman"/>
      <w:lvlText w:val="%3."/>
      <w:lvlJc w:val="right"/>
      <w:pPr>
        <w:tabs>
          <w:tab w:val="num" w:pos="4660"/>
        </w:tabs>
        <w:ind w:left="4660" w:hanging="180"/>
      </w:pPr>
      <w:rPr>
        <w:rFonts w:cs="Times New Roman"/>
      </w:rPr>
    </w:lvl>
    <w:lvl w:ilvl="3" w:tplc="040D000F" w:tentative="1">
      <w:start w:val="1"/>
      <w:numFmt w:val="decimal"/>
      <w:lvlText w:val="%4."/>
      <w:lvlJc w:val="left"/>
      <w:pPr>
        <w:tabs>
          <w:tab w:val="num" w:pos="5380"/>
        </w:tabs>
        <w:ind w:left="5380" w:hanging="360"/>
      </w:pPr>
      <w:rPr>
        <w:rFonts w:cs="Times New Roman"/>
      </w:rPr>
    </w:lvl>
    <w:lvl w:ilvl="4" w:tplc="040D0019" w:tentative="1">
      <w:start w:val="1"/>
      <w:numFmt w:val="lowerLetter"/>
      <w:lvlText w:val="%5."/>
      <w:lvlJc w:val="left"/>
      <w:pPr>
        <w:tabs>
          <w:tab w:val="num" w:pos="6100"/>
        </w:tabs>
        <w:ind w:left="6100" w:hanging="360"/>
      </w:pPr>
      <w:rPr>
        <w:rFonts w:cs="Times New Roman"/>
      </w:rPr>
    </w:lvl>
    <w:lvl w:ilvl="5" w:tplc="040D001B" w:tentative="1">
      <w:start w:val="1"/>
      <w:numFmt w:val="lowerRoman"/>
      <w:lvlText w:val="%6."/>
      <w:lvlJc w:val="right"/>
      <w:pPr>
        <w:tabs>
          <w:tab w:val="num" w:pos="6820"/>
        </w:tabs>
        <w:ind w:left="6820" w:hanging="180"/>
      </w:pPr>
      <w:rPr>
        <w:rFonts w:cs="Times New Roman"/>
      </w:rPr>
    </w:lvl>
    <w:lvl w:ilvl="6" w:tplc="040D000F" w:tentative="1">
      <w:start w:val="1"/>
      <w:numFmt w:val="decimal"/>
      <w:lvlText w:val="%7."/>
      <w:lvlJc w:val="left"/>
      <w:pPr>
        <w:tabs>
          <w:tab w:val="num" w:pos="7540"/>
        </w:tabs>
        <w:ind w:left="7540" w:hanging="360"/>
      </w:pPr>
      <w:rPr>
        <w:rFonts w:cs="Times New Roman"/>
      </w:rPr>
    </w:lvl>
    <w:lvl w:ilvl="7" w:tplc="040D0019" w:tentative="1">
      <w:start w:val="1"/>
      <w:numFmt w:val="lowerLetter"/>
      <w:lvlText w:val="%8."/>
      <w:lvlJc w:val="left"/>
      <w:pPr>
        <w:tabs>
          <w:tab w:val="num" w:pos="8260"/>
        </w:tabs>
        <w:ind w:left="8260" w:hanging="360"/>
      </w:pPr>
      <w:rPr>
        <w:rFonts w:cs="Times New Roman"/>
      </w:rPr>
    </w:lvl>
    <w:lvl w:ilvl="8" w:tplc="040D001B" w:tentative="1">
      <w:start w:val="1"/>
      <w:numFmt w:val="lowerRoman"/>
      <w:lvlText w:val="%9."/>
      <w:lvlJc w:val="right"/>
      <w:pPr>
        <w:tabs>
          <w:tab w:val="num" w:pos="8980"/>
        </w:tabs>
        <w:ind w:left="8980" w:hanging="180"/>
      </w:pPr>
      <w:rPr>
        <w:rFonts w:cs="Times New Roman"/>
      </w:rPr>
    </w:lvl>
  </w:abstractNum>
  <w:num w:numId="1">
    <w:abstractNumId w:val="1"/>
  </w:num>
  <w:num w:numId="2">
    <w:abstractNumId w:val="7"/>
  </w:num>
  <w:num w:numId="3">
    <w:abstractNumId w:val="2"/>
  </w:num>
  <w:num w:numId="4">
    <w:abstractNumId w:val="6"/>
  </w:num>
  <w:num w:numId="5">
    <w:abstractNumId w:val="9"/>
  </w:num>
  <w:num w:numId="6">
    <w:abstractNumId w:val="4"/>
  </w:num>
  <w:num w:numId="7">
    <w:abstractNumId w:val="5"/>
  </w:num>
  <w:num w:numId="8">
    <w:abstractNumId w:val="0"/>
  </w:num>
  <w:num w:numId="9">
    <w:abstractNumId w:val="8"/>
  </w:num>
  <w:num w:numId="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71"/>
    <w:rsid w:val="00004847"/>
    <w:rsid w:val="00012520"/>
    <w:rsid w:val="00013A10"/>
    <w:rsid w:val="0001580D"/>
    <w:rsid w:val="00021499"/>
    <w:rsid w:val="00024D4A"/>
    <w:rsid w:val="00025C7A"/>
    <w:rsid w:val="000319E0"/>
    <w:rsid w:val="00031D1C"/>
    <w:rsid w:val="000351D5"/>
    <w:rsid w:val="00045CF4"/>
    <w:rsid w:val="0005099F"/>
    <w:rsid w:val="00061658"/>
    <w:rsid w:val="000650C9"/>
    <w:rsid w:val="00073D5E"/>
    <w:rsid w:val="000749DF"/>
    <w:rsid w:val="000752C1"/>
    <w:rsid w:val="000765DF"/>
    <w:rsid w:val="00086099"/>
    <w:rsid w:val="000916F7"/>
    <w:rsid w:val="00095530"/>
    <w:rsid w:val="000A5CEB"/>
    <w:rsid w:val="000B11C2"/>
    <w:rsid w:val="000C017A"/>
    <w:rsid w:val="000C1CD1"/>
    <w:rsid w:val="000C57EA"/>
    <w:rsid w:val="000D16E9"/>
    <w:rsid w:val="000D3E20"/>
    <w:rsid w:val="000E2088"/>
    <w:rsid w:val="000E3B23"/>
    <w:rsid w:val="000E789C"/>
    <w:rsid w:val="000E7BF4"/>
    <w:rsid w:val="000F14D4"/>
    <w:rsid w:val="000F5BB5"/>
    <w:rsid w:val="000F6F7C"/>
    <w:rsid w:val="00106C5C"/>
    <w:rsid w:val="00117F2C"/>
    <w:rsid w:val="00121C00"/>
    <w:rsid w:val="00127238"/>
    <w:rsid w:val="00135BFE"/>
    <w:rsid w:val="0013771F"/>
    <w:rsid w:val="00164CDC"/>
    <w:rsid w:val="00166E74"/>
    <w:rsid w:val="0017017A"/>
    <w:rsid w:val="001705DA"/>
    <w:rsid w:val="00171BD6"/>
    <w:rsid w:val="001723F7"/>
    <w:rsid w:val="00173E98"/>
    <w:rsid w:val="00177169"/>
    <w:rsid w:val="00181428"/>
    <w:rsid w:val="00182171"/>
    <w:rsid w:val="001836D7"/>
    <w:rsid w:val="0019517D"/>
    <w:rsid w:val="001A50DD"/>
    <w:rsid w:val="001B7430"/>
    <w:rsid w:val="001D504A"/>
    <w:rsid w:val="001D586F"/>
    <w:rsid w:val="001E1A4F"/>
    <w:rsid w:val="001E4F99"/>
    <w:rsid w:val="00200344"/>
    <w:rsid w:val="00206C3A"/>
    <w:rsid w:val="002104DA"/>
    <w:rsid w:val="00215E81"/>
    <w:rsid w:val="00217E53"/>
    <w:rsid w:val="00220A08"/>
    <w:rsid w:val="0022735D"/>
    <w:rsid w:val="002302DF"/>
    <w:rsid w:val="00234476"/>
    <w:rsid w:val="00236B20"/>
    <w:rsid w:val="002518F9"/>
    <w:rsid w:val="0025300E"/>
    <w:rsid w:val="00260ECB"/>
    <w:rsid w:val="00261691"/>
    <w:rsid w:val="0026186B"/>
    <w:rsid w:val="0026500C"/>
    <w:rsid w:val="002770B8"/>
    <w:rsid w:val="0029294F"/>
    <w:rsid w:val="00293273"/>
    <w:rsid w:val="002953C4"/>
    <w:rsid w:val="00295609"/>
    <w:rsid w:val="002A1C7D"/>
    <w:rsid w:val="002A6980"/>
    <w:rsid w:val="002A7C78"/>
    <w:rsid w:val="002B082A"/>
    <w:rsid w:val="002B16C0"/>
    <w:rsid w:val="002B2ADF"/>
    <w:rsid w:val="002B3B9D"/>
    <w:rsid w:val="002B6127"/>
    <w:rsid w:val="002B6A12"/>
    <w:rsid w:val="002C38CB"/>
    <w:rsid w:val="002C6D28"/>
    <w:rsid w:val="002D080E"/>
    <w:rsid w:val="002D3FDF"/>
    <w:rsid w:val="002D44CA"/>
    <w:rsid w:val="002D7E29"/>
    <w:rsid w:val="002E06F3"/>
    <w:rsid w:val="002E2B87"/>
    <w:rsid w:val="002F4A36"/>
    <w:rsid w:val="002F4C57"/>
    <w:rsid w:val="00303DEB"/>
    <w:rsid w:val="003053F7"/>
    <w:rsid w:val="0031090D"/>
    <w:rsid w:val="00310940"/>
    <w:rsid w:val="0032400B"/>
    <w:rsid w:val="00333746"/>
    <w:rsid w:val="003344EF"/>
    <w:rsid w:val="00337000"/>
    <w:rsid w:val="00345765"/>
    <w:rsid w:val="00354A11"/>
    <w:rsid w:val="00355243"/>
    <w:rsid w:val="00360B10"/>
    <w:rsid w:val="00360D6D"/>
    <w:rsid w:val="00362BE1"/>
    <w:rsid w:val="00370459"/>
    <w:rsid w:val="00373974"/>
    <w:rsid w:val="00374B8F"/>
    <w:rsid w:val="003765C7"/>
    <w:rsid w:val="0038718E"/>
    <w:rsid w:val="00391D1E"/>
    <w:rsid w:val="003B377B"/>
    <w:rsid w:val="003B54C3"/>
    <w:rsid w:val="003B5BCB"/>
    <w:rsid w:val="003C3DA7"/>
    <w:rsid w:val="003C5CA9"/>
    <w:rsid w:val="003D06F8"/>
    <w:rsid w:val="003D4838"/>
    <w:rsid w:val="003D7ED7"/>
    <w:rsid w:val="003E3FD3"/>
    <w:rsid w:val="004002E8"/>
    <w:rsid w:val="00400661"/>
    <w:rsid w:val="00415598"/>
    <w:rsid w:val="00426F7E"/>
    <w:rsid w:val="0043225B"/>
    <w:rsid w:val="0043748A"/>
    <w:rsid w:val="004418D9"/>
    <w:rsid w:val="00445364"/>
    <w:rsid w:val="00446765"/>
    <w:rsid w:val="0045586F"/>
    <w:rsid w:val="00456DF7"/>
    <w:rsid w:val="00462F91"/>
    <w:rsid w:val="00481166"/>
    <w:rsid w:val="00491A25"/>
    <w:rsid w:val="004931AE"/>
    <w:rsid w:val="004A5F15"/>
    <w:rsid w:val="004B1414"/>
    <w:rsid w:val="004C5854"/>
    <w:rsid w:val="004E1648"/>
    <w:rsid w:val="004E27A6"/>
    <w:rsid w:val="004E2B5D"/>
    <w:rsid w:val="004E2EC9"/>
    <w:rsid w:val="004E3AE7"/>
    <w:rsid w:val="004F0DF2"/>
    <w:rsid w:val="004F7E53"/>
    <w:rsid w:val="00500796"/>
    <w:rsid w:val="00501933"/>
    <w:rsid w:val="00503A08"/>
    <w:rsid w:val="00523912"/>
    <w:rsid w:val="00526CEC"/>
    <w:rsid w:val="005324BE"/>
    <w:rsid w:val="005352AE"/>
    <w:rsid w:val="00537A01"/>
    <w:rsid w:val="00566A93"/>
    <w:rsid w:val="0057045E"/>
    <w:rsid w:val="00574032"/>
    <w:rsid w:val="00575D1A"/>
    <w:rsid w:val="005760B6"/>
    <w:rsid w:val="00580511"/>
    <w:rsid w:val="005836F5"/>
    <w:rsid w:val="005850BA"/>
    <w:rsid w:val="00590517"/>
    <w:rsid w:val="00592C88"/>
    <w:rsid w:val="00595107"/>
    <w:rsid w:val="005B151C"/>
    <w:rsid w:val="005B4E71"/>
    <w:rsid w:val="005B7995"/>
    <w:rsid w:val="005C0D90"/>
    <w:rsid w:val="005C5E3B"/>
    <w:rsid w:val="005D2105"/>
    <w:rsid w:val="005D43E3"/>
    <w:rsid w:val="005D4D54"/>
    <w:rsid w:val="005D71AF"/>
    <w:rsid w:val="005E09F9"/>
    <w:rsid w:val="0060732F"/>
    <w:rsid w:val="0060749D"/>
    <w:rsid w:val="00633324"/>
    <w:rsid w:val="00634342"/>
    <w:rsid w:val="0064093F"/>
    <w:rsid w:val="006415CE"/>
    <w:rsid w:val="00644176"/>
    <w:rsid w:val="0064695F"/>
    <w:rsid w:val="00646C27"/>
    <w:rsid w:val="0065281F"/>
    <w:rsid w:val="00652D4D"/>
    <w:rsid w:val="00653B40"/>
    <w:rsid w:val="00653E4E"/>
    <w:rsid w:val="00655EE8"/>
    <w:rsid w:val="006565C1"/>
    <w:rsid w:val="00663FC4"/>
    <w:rsid w:val="006651D8"/>
    <w:rsid w:val="00672E8C"/>
    <w:rsid w:val="00677A82"/>
    <w:rsid w:val="006845C8"/>
    <w:rsid w:val="0068513F"/>
    <w:rsid w:val="00690321"/>
    <w:rsid w:val="0069147B"/>
    <w:rsid w:val="00692CDF"/>
    <w:rsid w:val="00696B92"/>
    <w:rsid w:val="006A1691"/>
    <w:rsid w:val="006B2174"/>
    <w:rsid w:val="006B25CF"/>
    <w:rsid w:val="006B5397"/>
    <w:rsid w:val="006B6F0B"/>
    <w:rsid w:val="006B7A73"/>
    <w:rsid w:val="006C0793"/>
    <w:rsid w:val="006C51A2"/>
    <w:rsid w:val="006D22BC"/>
    <w:rsid w:val="006D469F"/>
    <w:rsid w:val="006E332A"/>
    <w:rsid w:val="006F1517"/>
    <w:rsid w:val="00703A9C"/>
    <w:rsid w:val="00712654"/>
    <w:rsid w:val="007223B4"/>
    <w:rsid w:val="00722932"/>
    <w:rsid w:val="00726EF8"/>
    <w:rsid w:val="00727859"/>
    <w:rsid w:val="007342C7"/>
    <w:rsid w:val="0073441D"/>
    <w:rsid w:val="00745FA4"/>
    <w:rsid w:val="00752891"/>
    <w:rsid w:val="007545C4"/>
    <w:rsid w:val="00760288"/>
    <w:rsid w:val="0076218F"/>
    <w:rsid w:val="00762F8E"/>
    <w:rsid w:val="007633D2"/>
    <w:rsid w:val="00764080"/>
    <w:rsid w:val="00767599"/>
    <w:rsid w:val="00767B48"/>
    <w:rsid w:val="0078034C"/>
    <w:rsid w:val="00783F42"/>
    <w:rsid w:val="00784838"/>
    <w:rsid w:val="0079151F"/>
    <w:rsid w:val="00796120"/>
    <w:rsid w:val="007A1B1C"/>
    <w:rsid w:val="007A5900"/>
    <w:rsid w:val="007A6409"/>
    <w:rsid w:val="007B7D7C"/>
    <w:rsid w:val="007C00B3"/>
    <w:rsid w:val="007C1D67"/>
    <w:rsid w:val="007C3F0D"/>
    <w:rsid w:val="007D426E"/>
    <w:rsid w:val="007E5DA9"/>
    <w:rsid w:val="007F337D"/>
    <w:rsid w:val="008068EB"/>
    <w:rsid w:val="00812015"/>
    <w:rsid w:val="00815972"/>
    <w:rsid w:val="00822B15"/>
    <w:rsid w:val="00825530"/>
    <w:rsid w:val="0082762F"/>
    <w:rsid w:val="008277A4"/>
    <w:rsid w:val="008369C6"/>
    <w:rsid w:val="00847C41"/>
    <w:rsid w:val="0085564A"/>
    <w:rsid w:val="0087039B"/>
    <w:rsid w:val="00893570"/>
    <w:rsid w:val="00893B87"/>
    <w:rsid w:val="008A0504"/>
    <w:rsid w:val="008A08B5"/>
    <w:rsid w:val="008B4055"/>
    <w:rsid w:val="008B508E"/>
    <w:rsid w:val="008B6F41"/>
    <w:rsid w:val="008C3087"/>
    <w:rsid w:val="008C3CC1"/>
    <w:rsid w:val="008C45DA"/>
    <w:rsid w:val="008C7365"/>
    <w:rsid w:val="008D22FA"/>
    <w:rsid w:val="008D28C7"/>
    <w:rsid w:val="008D3073"/>
    <w:rsid w:val="008D3153"/>
    <w:rsid w:val="008D4BFC"/>
    <w:rsid w:val="008E1D54"/>
    <w:rsid w:val="008E3973"/>
    <w:rsid w:val="008F044E"/>
    <w:rsid w:val="008F1AE4"/>
    <w:rsid w:val="008F2B0E"/>
    <w:rsid w:val="008F4BF3"/>
    <w:rsid w:val="00901A33"/>
    <w:rsid w:val="009126B5"/>
    <w:rsid w:val="00912E6B"/>
    <w:rsid w:val="00912F96"/>
    <w:rsid w:val="00916188"/>
    <w:rsid w:val="00916E11"/>
    <w:rsid w:val="0092123D"/>
    <w:rsid w:val="0092761A"/>
    <w:rsid w:val="009308D3"/>
    <w:rsid w:val="00931044"/>
    <w:rsid w:val="00934147"/>
    <w:rsid w:val="00935657"/>
    <w:rsid w:val="0093697B"/>
    <w:rsid w:val="00936DC5"/>
    <w:rsid w:val="00950634"/>
    <w:rsid w:val="00956C59"/>
    <w:rsid w:val="00957243"/>
    <w:rsid w:val="00960E02"/>
    <w:rsid w:val="00962CE3"/>
    <w:rsid w:val="00966EAB"/>
    <w:rsid w:val="009715D7"/>
    <w:rsid w:val="009728BB"/>
    <w:rsid w:val="009848B0"/>
    <w:rsid w:val="00985B99"/>
    <w:rsid w:val="00986742"/>
    <w:rsid w:val="0099614A"/>
    <w:rsid w:val="009A298B"/>
    <w:rsid w:val="009A350B"/>
    <w:rsid w:val="009A6853"/>
    <w:rsid w:val="009B0FCF"/>
    <w:rsid w:val="009B1B4D"/>
    <w:rsid w:val="009B45B7"/>
    <w:rsid w:val="009B7322"/>
    <w:rsid w:val="009C4A8E"/>
    <w:rsid w:val="009D1873"/>
    <w:rsid w:val="009D2385"/>
    <w:rsid w:val="009D29E6"/>
    <w:rsid w:val="009D29F1"/>
    <w:rsid w:val="009D2BE7"/>
    <w:rsid w:val="009D3069"/>
    <w:rsid w:val="009D49E1"/>
    <w:rsid w:val="009D6D94"/>
    <w:rsid w:val="009E1704"/>
    <w:rsid w:val="009E44B1"/>
    <w:rsid w:val="00A01A78"/>
    <w:rsid w:val="00A105BE"/>
    <w:rsid w:val="00A12BDE"/>
    <w:rsid w:val="00A16559"/>
    <w:rsid w:val="00A21527"/>
    <w:rsid w:val="00A23DC7"/>
    <w:rsid w:val="00A27DFD"/>
    <w:rsid w:val="00A3135A"/>
    <w:rsid w:val="00A3151D"/>
    <w:rsid w:val="00A417C3"/>
    <w:rsid w:val="00A42DAF"/>
    <w:rsid w:val="00A44B1E"/>
    <w:rsid w:val="00A460C8"/>
    <w:rsid w:val="00A50F9C"/>
    <w:rsid w:val="00A6000E"/>
    <w:rsid w:val="00A8103F"/>
    <w:rsid w:val="00A925F3"/>
    <w:rsid w:val="00AA5571"/>
    <w:rsid w:val="00AB16A6"/>
    <w:rsid w:val="00AB724E"/>
    <w:rsid w:val="00AC7EBB"/>
    <w:rsid w:val="00AD3290"/>
    <w:rsid w:val="00AD5378"/>
    <w:rsid w:val="00AE0254"/>
    <w:rsid w:val="00AE7C6C"/>
    <w:rsid w:val="00AF1386"/>
    <w:rsid w:val="00AF5F99"/>
    <w:rsid w:val="00B037D3"/>
    <w:rsid w:val="00B0532B"/>
    <w:rsid w:val="00B11273"/>
    <w:rsid w:val="00B126E1"/>
    <w:rsid w:val="00B13CCB"/>
    <w:rsid w:val="00B14749"/>
    <w:rsid w:val="00B15F3D"/>
    <w:rsid w:val="00B17FC0"/>
    <w:rsid w:val="00B252C4"/>
    <w:rsid w:val="00B25F57"/>
    <w:rsid w:val="00B30090"/>
    <w:rsid w:val="00B33BB4"/>
    <w:rsid w:val="00B542F4"/>
    <w:rsid w:val="00B649E3"/>
    <w:rsid w:val="00B66073"/>
    <w:rsid w:val="00B81328"/>
    <w:rsid w:val="00B81FCC"/>
    <w:rsid w:val="00B94FBC"/>
    <w:rsid w:val="00BA4930"/>
    <w:rsid w:val="00BA4FC6"/>
    <w:rsid w:val="00BB4FE9"/>
    <w:rsid w:val="00BB673A"/>
    <w:rsid w:val="00BB78B8"/>
    <w:rsid w:val="00BC0B31"/>
    <w:rsid w:val="00BC41A8"/>
    <w:rsid w:val="00BC6851"/>
    <w:rsid w:val="00BD33F3"/>
    <w:rsid w:val="00BD634F"/>
    <w:rsid w:val="00BE19AD"/>
    <w:rsid w:val="00BE2348"/>
    <w:rsid w:val="00BF56CF"/>
    <w:rsid w:val="00BF63D3"/>
    <w:rsid w:val="00BF6968"/>
    <w:rsid w:val="00C02D74"/>
    <w:rsid w:val="00C045CC"/>
    <w:rsid w:val="00C1449C"/>
    <w:rsid w:val="00C212C2"/>
    <w:rsid w:val="00C21354"/>
    <w:rsid w:val="00C232A9"/>
    <w:rsid w:val="00C24648"/>
    <w:rsid w:val="00C31A68"/>
    <w:rsid w:val="00C324AB"/>
    <w:rsid w:val="00C3303D"/>
    <w:rsid w:val="00C352E1"/>
    <w:rsid w:val="00C41E20"/>
    <w:rsid w:val="00C42782"/>
    <w:rsid w:val="00C5180E"/>
    <w:rsid w:val="00C623D4"/>
    <w:rsid w:val="00C66666"/>
    <w:rsid w:val="00C752EC"/>
    <w:rsid w:val="00C805D0"/>
    <w:rsid w:val="00C830F5"/>
    <w:rsid w:val="00C939EC"/>
    <w:rsid w:val="00CA2B98"/>
    <w:rsid w:val="00CB09DA"/>
    <w:rsid w:val="00CB2B5B"/>
    <w:rsid w:val="00CB451D"/>
    <w:rsid w:val="00CB7585"/>
    <w:rsid w:val="00CB75D9"/>
    <w:rsid w:val="00CB79DF"/>
    <w:rsid w:val="00CB7BBD"/>
    <w:rsid w:val="00CC0702"/>
    <w:rsid w:val="00CC463C"/>
    <w:rsid w:val="00CC7A17"/>
    <w:rsid w:val="00CD6CB6"/>
    <w:rsid w:val="00CE03C8"/>
    <w:rsid w:val="00CE7BE8"/>
    <w:rsid w:val="00CF42E7"/>
    <w:rsid w:val="00CF5D73"/>
    <w:rsid w:val="00CF6BBD"/>
    <w:rsid w:val="00D20D57"/>
    <w:rsid w:val="00D22B2F"/>
    <w:rsid w:val="00D32336"/>
    <w:rsid w:val="00D408AF"/>
    <w:rsid w:val="00D43524"/>
    <w:rsid w:val="00D519AD"/>
    <w:rsid w:val="00D64143"/>
    <w:rsid w:val="00D70B7D"/>
    <w:rsid w:val="00D76C15"/>
    <w:rsid w:val="00DB0310"/>
    <w:rsid w:val="00DE6B38"/>
    <w:rsid w:val="00DF75CE"/>
    <w:rsid w:val="00E113EB"/>
    <w:rsid w:val="00E11C6E"/>
    <w:rsid w:val="00E126B3"/>
    <w:rsid w:val="00E128E1"/>
    <w:rsid w:val="00E14476"/>
    <w:rsid w:val="00E176F1"/>
    <w:rsid w:val="00E332AC"/>
    <w:rsid w:val="00E37E36"/>
    <w:rsid w:val="00E4071C"/>
    <w:rsid w:val="00E440B8"/>
    <w:rsid w:val="00E519EC"/>
    <w:rsid w:val="00E5283C"/>
    <w:rsid w:val="00E615DD"/>
    <w:rsid w:val="00E61CB9"/>
    <w:rsid w:val="00E640D9"/>
    <w:rsid w:val="00E658C9"/>
    <w:rsid w:val="00E73534"/>
    <w:rsid w:val="00E75908"/>
    <w:rsid w:val="00E8764E"/>
    <w:rsid w:val="00E87B77"/>
    <w:rsid w:val="00E948FB"/>
    <w:rsid w:val="00E9558F"/>
    <w:rsid w:val="00EB6DB8"/>
    <w:rsid w:val="00EB7D53"/>
    <w:rsid w:val="00EC0AC2"/>
    <w:rsid w:val="00EC2742"/>
    <w:rsid w:val="00ED242B"/>
    <w:rsid w:val="00ED3C19"/>
    <w:rsid w:val="00EE1215"/>
    <w:rsid w:val="00EE3441"/>
    <w:rsid w:val="00EE5402"/>
    <w:rsid w:val="00EF34E3"/>
    <w:rsid w:val="00EF4AD4"/>
    <w:rsid w:val="00EF7D08"/>
    <w:rsid w:val="00F00698"/>
    <w:rsid w:val="00F159A8"/>
    <w:rsid w:val="00F20667"/>
    <w:rsid w:val="00F45B16"/>
    <w:rsid w:val="00F50C71"/>
    <w:rsid w:val="00F5341F"/>
    <w:rsid w:val="00F5567F"/>
    <w:rsid w:val="00F56FCD"/>
    <w:rsid w:val="00F60482"/>
    <w:rsid w:val="00F6064D"/>
    <w:rsid w:val="00F60EF7"/>
    <w:rsid w:val="00F61C52"/>
    <w:rsid w:val="00F62960"/>
    <w:rsid w:val="00F638E1"/>
    <w:rsid w:val="00F65A30"/>
    <w:rsid w:val="00F66FAD"/>
    <w:rsid w:val="00F719AB"/>
    <w:rsid w:val="00F7381A"/>
    <w:rsid w:val="00F756EA"/>
    <w:rsid w:val="00F7574C"/>
    <w:rsid w:val="00F76678"/>
    <w:rsid w:val="00F80BC7"/>
    <w:rsid w:val="00F823F3"/>
    <w:rsid w:val="00F84A96"/>
    <w:rsid w:val="00F93EE6"/>
    <w:rsid w:val="00F95DC1"/>
    <w:rsid w:val="00F97A11"/>
    <w:rsid w:val="00FA28E1"/>
    <w:rsid w:val="00FA6736"/>
    <w:rsid w:val="00FB22C8"/>
    <w:rsid w:val="00FC1D83"/>
    <w:rsid w:val="00FC5512"/>
    <w:rsid w:val="00FD667C"/>
    <w:rsid w:val="00FD7E47"/>
    <w:rsid w:val="00FE1A18"/>
    <w:rsid w:val="00FE3DFE"/>
    <w:rsid w:val="00FE4943"/>
    <w:rsid w:val="00FE5105"/>
    <w:rsid w:val="00FE68F2"/>
    <w:rsid w:val="00FF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F21B90-0429-4756-8DB6-04FFF007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iPriority="0" w:unhideWhenUsed="1"/>
    <w:lsdException w:name="Body Text Indent 3" w:semiHidden="1" w:uiPriority="0"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ascii="Times New Roman" w:hAnsi="Times New Roman" w:cs="Times New Roman"/>
      <w:sz w:val="24"/>
      <w:szCs w:val="24"/>
      <w:lang w:eastAsia="he-IL"/>
    </w:rPr>
  </w:style>
  <w:style w:type="paragraph" w:styleId="1">
    <w:name w:val="heading 1"/>
    <w:basedOn w:val="a"/>
    <w:next w:val="a"/>
    <w:link w:val="10"/>
    <w:uiPriority w:val="9"/>
    <w:qFormat/>
    <w:pPr>
      <w:keepNext/>
      <w:outlineLvl w:val="0"/>
    </w:pPr>
    <w:rPr>
      <w:u w:val="single"/>
    </w:rPr>
  </w:style>
  <w:style w:type="paragraph" w:styleId="2">
    <w:name w:val="heading 2"/>
    <w:basedOn w:val="a"/>
    <w:next w:val="a"/>
    <w:link w:val="20"/>
    <w:uiPriority w:val="9"/>
    <w:qFormat/>
    <w:pPr>
      <w:keepNext/>
      <w:outlineLvl w:val="1"/>
    </w:pPr>
    <w:rPr>
      <w:b/>
      <w:bCs/>
    </w:rPr>
  </w:style>
  <w:style w:type="paragraph" w:styleId="3">
    <w:name w:val="heading 3"/>
    <w:basedOn w:val="a"/>
    <w:next w:val="a"/>
    <w:link w:val="30"/>
    <w:uiPriority w:val="9"/>
    <w:qFormat/>
    <w:pPr>
      <w:keepNext/>
      <w:spacing w:after="60"/>
      <w:ind w:left="1440" w:firstLine="720"/>
      <w:jc w:val="center"/>
      <w:outlineLvl w:val="2"/>
    </w:pPr>
    <w:rPr>
      <w:b/>
      <w:bCs/>
    </w:rPr>
  </w:style>
  <w:style w:type="paragraph" w:styleId="4">
    <w:name w:val="heading 4"/>
    <w:basedOn w:val="a"/>
    <w:next w:val="a"/>
    <w:link w:val="40"/>
    <w:uiPriority w:val="9"/>
    <w:qFormat/>
    <w:pPr>
      <w:keepNext/>
      <w:spacing w:after="60"/>
      <w:jc w:val="center"/>
      <w:outlineLvl w:val="3"/>
    </w:pPr>
    <w:rPr>
      <w:b/>
      <w:bCs/>
    </w:rPr>
  </w:style>
  <w:style w:type="paragraph" w:styleId="5">
    <w:name w:val="heading 5"/>
    <w:basedOn w:val="a"/>
    <w:next w:val="a"/>
    <w:link w:val="50"/>
    <w:uiPriority w:val="9"/>
    <w:qFormat/>
    <w:pPr>
      <w:keepNext/>
      <w:spacing w:after="60"/>
      <w:jc w:val="center"/>
      <w:outlineLvl w:val="4"/>
    </w:pPr>
    <w:rPr>
      <w:b/>
      <w:bCs/>
      <w:sz w:val="28"/>
      <w:szCs w:val="28"/>
      <w:u w:val="single"/>
    </w:rPr>
  </w:style>
  <w:style w:type="paragraph" w:styleId="6">
    <w:name w:val="heading 6"/>
    <w:basedOn w:val="a"/>
    <w:next w:val="a"/>
    <w:link w:val="60"/>
    <w:uiPriority w:val="9"/>
    <w:qFormat/>
    <w:pPr>
      <w:keepNext/>
      <w:spacing w:after="60"/>
      <w:jc w:val="both"/>
      <w:outlineLvl w:val="5"/>
    </w:pPr>
    <w:rPr>
      <w:b/>
      <w:bCs/>
      <w:sz w:val="28"/>
      <w:szCs w:val="28"/>
      <w:u w:val="single"/>
    </w:rPr>
  </w:style>
  <w:style w:type="paragraph" w:styleId="7">
    <w:name w:val="heading 7"/>
    <w:basedOn w:val="a"/>
    <w:next w:val="a"/>
    <w:link w:val="70"/>
    <w:uiPriority w:val="99"/>
    <w:qFormat/>
    <w:pPr>
      <w:keepNext/>
      <w:spacing w:after="60"/>
      <w:jc w:val="both"/>
      <w:outlineLvl w:val="6"/>
    </w:pPr>
    <w:rPr>
      <w:b/>
      <w:bCs/>
      <w:u w:val="single"/>
    </w:rPr>
  </w:style>
  <w:style w:type="paragraph" w:styleId="8">
    <w:name w:val="heading 8"/>
    <w:basedOn w:val="a"/>
    <w:next w:val="a"/>
    <w:link w:val="80"/>
    <w:uiPriority w:val="99"/>
    <w:qFormat/>
    <w:pPr>
      <w:keepNext/>
      <w:spacing w:after="60"/>
      <w:ind w:left="360"/>
      <w:jc w:val="both"/>
      <w:outlineLvl w:val="7"/>
    </w:pPr>
    <w:rPr>
      <w:b/>
      <w:bCs/>
      <w:u w:val="single"/>
    </w:rPr>
  </w:style>
  <w:style w:type="paragraph" w:styleId="9">
    <w:name w:val="heading 9"/>
    <w:basedOn w:val="a"/>
    <w:next w:val="a"/>
    <w:link w:val="90"/>
    <w:uiPriority w:val="99"/>
    <w:qFormat/>
    <w:pPr>
      <w:keepNext/>
      <w:spacing w:after="60"/>
      <w:ind w:left="2160" w:right="1260" w:hanging="694"/>
      <w:jc w:val="both"/>
      <w:outlineLvl w:val="8"/>
    </w:pPr>
    <w:rPr>
      <w:b/>
      <w:bCs/>
      <w:u w:val="single"/>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locked/>
    <w:rPr>
      <w:rFonts w:ascii="Calibri Light" w:hAnsi="Calibri Light" w:cs="Times New Roman"/>
      <w:b/>
      <w:kern w:val="32"/>
      <w:sz w:val="32"/>
      <w:lang w:val="x-none" w:eastAsia="he-IL" w:bidi="he-IL"/>
    </w:rPr>
  </w:style>
  <w:style w:type="character" w:customStyle="1" w:styleId="20">
    <w:name w:val="כותרת 2 תו"/>
    <w:basedOn w:val="a0"/>
    <w:link w:val="2"/>
    <w:uiPriority w:val="9"/>
    <w:locked/>
    <w:rPr>
      <w:rFonts w:ascii="Calibri Light" w:hAnsi="Calibri Light" w:cs="Times New Roman"/>
      <w:b/>
      <w:i/>
      <w:sz w:val="28"/>
      <w:lang w:val="x-none" w:eastAsia="he-IL" w:bidi="he-IL"/>
    </w:rPr>
  </w:style>
  <w:style w:type="character" w:customStyle="1" w:styleId="30">
    <w:name w:val="כותרת 3 תו"/>
    <w:basedOn w:val="a0"/>
    <w:link w:val="3"/>
    <w:uiPriority w:val="9"/>
    <w:semiHidden/>
    <w:locked/>
    <w:rPr>
      <w:rFonts w:ascii="Calibri Light" w:hAnsi="Calibri Light" w:cs="Times New Roman"/>
      <w:b/>
      <w:sz w:val="26"/>
      <w:lang w:val="x-none" w:eastAsia="he-IL" w:bidi="he-IL"/>
    </w:rPr>
  </w:style>
  <w:style w:type="character" w:customStyle="1" w:styleId="40">
    <w:name w:val="כותרת 4 תו"/>
    <w:basedOn w:val="a0"/>
    <w:link w:val="4"/>
    <w:uiPriority w:val="9"/>
    <w:semiHidden/>
    <w:locked/>
    <w:rPr>
      <w:rFonts w:cs="Times New Roman"/>
      <w:b/>
      <w:sz w:val="28"/>
      <w:lang w:val="x-none" w:eastAsia="he-IL" w:bidi="he-IL"/>
    </w:rPr>
  </w:style>
  <w:style w:type="character" w:customStyle="1" w:styleId="50">
    <w:name w:val="כותרת 5 תו"/>
    <w:basedOn w:val="a0"/>
    <w:link w:val="5"/>
    <w:uiPriority w:val="9"/>
    <w:semiHidden/>
    <w:locked/>
    <w:rPr>
      <w:rFonts w:cs="Times New Roman"/>
      <w:b/>
      <w:i/>
      <w:sz w:val="26"/>
      <w:lang w:val="x-none" w:eastAsia="he-IL" w:bidi="he-IL"/>
    </w:rPr>
  </w:style>
  <w:style w:type="character" w:customStyle="1" w:styleId="60">
    <w:name w:val="כותרת 6 תו"/>
    <w:basedOn w:val="a0"/>
    <w:link w:val="6"/>
    <w:uiPriority w:val="9"/>
    <w:semiHidden/>
    <w:locked/>
    <w:rPr>
      <w:rFonts w:cs="Times New Roman"/>
      <w:b/>
      <w:lang w:val="x-none" w:eastAsia="he-IL" w:bidi="he-IL"/>
    </w:rPr>
  </w:style>
  <w:style w:type="character" w:customStyle="1" w:styleId="70">
    <w:name w:val="כותרת 7 תו"/>
    <w:basedOn w:val="a0"/>
    <w:link w:val="7"/>
    <w:uiPriority w:val="9"/>
    <w:semiHidden/>
    <w:locked/>
    <w:rPr>
      <w:rFonts w:cs="Times New Roman"/>
      <w:sz w:val="24"/>
      <w:lang w:val="x-none" w:eastAsia="he-IL" w:bidi="he-IL"/>
    </w:rPr>
  </w:style>
  <w:style w:type="character" w:customStyle="1" w:styleId="80">
    <w:name w:val="כותרת 8 תו"/>
    <w:basedOn w:val="a0"/>
    <w:link w:val="8"/>
    <w:uiPriority w:val="9"/>
    <w:semiHidden/>
    <w:locked/>
    <w:rPr>
      <w:rFonts w:cs="Times New Roman"/>
      <w:i/>
      <w:sz w:val="24"/>
      <w:lang w:val="x-none" w:eastAsia="he-IL" w:bidi="he-IL"/>
    </w:rPr>
  </w:style>
  <w:style w:type="character" w:customStyle="1" w:styleId="90">
    <w:name w:val="כותרת 9 תו"/>
    <w:basedOn w:val="a0"/>
    <w:link w:val="9"/>
    <w:uiPriority w:val="9"/>
    <w:semiHidden/>
    <w:locked/>
    <w:rPr>
      <w:rFonts w:ascii="Calibri Light" w:hAnsi="Calibri Light" w:cs="Times New Roman"/>
      <w:lang w:val="x-none" w:eastAsia="he-IL" w:bidi="he-IL"/>
    </w:rPr>
  </w:style>
  <w:style w:type="paragraph" w:styleId="a3">
    <w:name w:val="header"/>
    <w:basedOn w:val="a"/>
    <w:link w:val="a4"/>
    <w:uiPriority w:val="99"/>
    <w:pPr>
      <w:tabs>
        <w:tab w:val="center" w:pos="4153"/>
        <w:tab w:val="right" w:pos="8306"/>
      </w:tabs>
    </w:pPr>
  </w:style>
  <w:style w:type="character" w:customStyle="1" w:styleId="a4">
    <w:name w:val="כותרת עליונה תו"/>
    <w:basedOn w:val="a0"/>
    <w:link w:val="a3"/>
    <w:uiPriority w:val="99"/>
    <w:locked/>
    <w:rPr>
      <w:rFonts w:ascii="Times New Roman" w:hAnsi="Times New Roman" w:cs="Times New Roman"/>
      <w:sz w:val="24"/>
      <w:lang w:val="x-none" w:eastAsia="he-IL" w:bidi="he-IL"/>
    </w:rPr>
  </w:style>
  <w:style w:type="paragraph" w:styleId="a5">
    <w:name w:val="footer"/>
    <w:basedOn w:val="a"/>
    <w:link w:val="a6"/>
    <w:uiPriority w:val="99"/>
    <w:pPr>
      <w:tabs>
        <w:tab w:val="center" w:pos="4153"/>
        <w:tab w:val="right" w:pos="8306"/>
      </w:tabs>
    </w:pPr>
  </w:style>
  <w:style w:type="character" w:customStyle="1" w:styleId="a6">
    <w:name w:val="כותרת תחתונה תו"/>
    <w:basedOn w:val="a0"/>
    <w:link w:val="a5"/>
    <w:uiPriority w:val="99"/>
    <w:locked/>
    <w:rPr>
      <w:rFonts w:ascii="Times New Roman" w:hAnsi="Times New Roman" w:cs="Times New Roman"/>
      <w:sz w:val="24"/>
      <w:lang w:val="x-none" w:eastAsia="he-IL" w:bidi="he-IL"/>
    </w:rPr>
  </w:style>
  <w:style w:type="character" w:styleId="a7">
    <w:name w:val="page number"/>
    <w:basedOn w:val="a0"/>
    <w:uiPriority w:val="99"/>
    <w:rPr>
      <w:rFonts w:cs="Times New Roman"/>
    </w:rPr>
  </w:style>
  <w:style w:type="paragraph" w:styleId="a8">
    <w:name w:val="Body Text"/>
    <w:basedOn w:val="a"/>
    <w:link w:val="a9"/>
    <w:uiPriority w:val="99"/>
    <w:pPr>
      <w:spacing w:after="60"/>
      <w:jc w:val="both"/>
    </w:pPr>
  </w:style>
  <w:style w:type="character" w:customStyle="1" w:styleId="a9">
    <w:name w:val="גוף טקסט תו"/>
    <w:basedOn w:val="a0"/>
    <w:link w:val="a8"/>
    <w:uiPriority w:val="99"/>
    <w:semiHidden/>
    <w:locked/>
    <w:rPr>
      <w:rFonts w:ascii="Times New Roman" w:hAnsi="Times New Roman" w:cs="Times New Roman"/>
      <w:sz w:val="24"/>
      <w:lang w:val="x-none" w:eastAsia="he-IL" w:bidi="he-IL"/>
    </w:rPr>
  </w:style>
  <w:style w:type="paragraph" w:styleId="aa">
    <w:name w:val="footnote text"/>
    <w:basedOn w:val="a"/>
    <w:link w:val="ab"/>
    <w:uiPriority w:val="99"/>
    <w:rPr>
      <w:sz w:val="20"/>
      <w:szCs w:val="20"/>
    </w:rPr>
  </w:style>
  <w:style w:type="character" w:customStyle="1" w:styleId="ab">
    <w:name w:val="טקסט הערת שוליים תו"/>
    <w:basedOn w:val="a0"/>
    <w:link w:val="aa"/>
    <w:uiPriority w:val="99"/>
    <w:locked/>
    <w:rPr>
      <w:rFonts w:ascii="Times New Roman" w:hAnsi="Times New Roman" w:cs="Times New Roman"/>
      <w:sz w:val="20"/>
      <w:lang w:val="x-none" w:eastAsia="he-IL" w:bidi="he-IL"/>
    </w:rPr>
  </w:style>
  <w:style w:type="character" w:styleId="ac">
    <w:name w:val="footnote reference"/>
    <w:basedOn w:val="a0"/>
    <w:uiPriority w:val="99"/>
    <w:rPr>
      <w:rFonts w:cs="Times New Roman"/>
      <w:vertAlign w:val="superscript"/>
    </w:rPr>
  </w:style>
  <w:style w:type="paragraph" w:styleId="21">
    <w:name w:val="Body Text 2"/>
    <w:basedOn w:val="a"/>
    <w:link w:val="22"/>
    <w:uiPriority w:val="99"/>
    <w:pPr>
      <w:spacing w:after="60"/>
      <w:jc w:val="both"/>
    </w:pPr>
    <w:rPr>
      <w:b/>
      <w:bCs/>
      <w:u w:val="single"/>
    </w:rPr>
  </w:style>
  <w:style w:type="character" w:customStyle="1" w:styleId="22">
    <w:name w:val="גוף טקסט 2 תו"/>
    <w:basedOn w:val="a0"/>
    <w:link w:val="21"/>
    <w:uiPriority w:val="99"/>
    <w:semiHidden/>
    <w:locked/>
    <w:rPr>
      <w:rFonts w:ascii="Times New Roman" w:hAnsi="Times New Roman" w:cs="Times New Roman"/>
      <w:sz w:val="24"/>
      <w:lang w:val="x-none" w:eastAsia="he-IL" w:bidi="he-IL"/>
    </w:rPr>
  </w:style>
  <w:style w:type="paragraph" w:styleId="ad">
    <w:name w:val="Block Text"/>
    <w:basedOn w:val="a"/>
    <w:uiPriority w:val="99"/>
    <w:pPr>
      <w:spacing w:after="60"/>
      <w:ind w:left="1466" w:right="1260"/>
      <w:jc w:val="both"/>
    </w:pPr>
    <w:rPr>
      <w:b/>
      <w:bCs/>
      <w:i/>
      <w:iCs/>
    </w:rPr>
  </w:style>
  <w:style w:type="paragraph" w:customStyle="1" w:styleId="11">
    <w:name w:val="סגנון1"/>
    <w:basedOn w:val="a"/>
    <w:rsid w:val="00AF5F99"/>
    <w:rPr>
      <w:rFonts w:cs="David"/>
      <w:sz w:val="20"/>
    </w:rPr>
  </w:style>
  <w:style w:type="paragraph" w:customStyle="1" w:styleId="41">
    <w:name w:val="סרגל4"/>
    <w:basedOn w:val="a"/>
    <w:rsid w:val="00AF5F99"/>
    <w:pPr>
      <w:tabs>
        <w:tab w:val="left" w:pos="942"/>
      </w:tabs>
      <w:spacing w:before="120"/>
      <w:ind w:left="1361" w:hanging="851"/>
      <w:jc w:val="both"/>
    </w:pPr>
    <w:rPr>
      <w:rFonts w:cs="David"/>
      <w:sz w:val="20"/>
    </w:rPr>
  </w:style>
  <w:style w:type="paragraph" w:styleId="ae">
    <w:name w:val="List Paragraph"/>
    <w:basedOn w:val="a"/>
    <w:uiPriority w:val="34"/>
    <w:qFormat/>
    <w:rsid w:val="00985B99"/>
    <w:pPr>
      <w:spacing w:after="120" w:line="276" w:lineRule="auto"/>
      <w:ind w:left="720"/>
      <w:contextualSpacing/>
    </w:pPr>
    <w:rPr>
      <w:rFonts w:ascii="Calibri" w:hAnsi="Calibri" w:cs="Arial"/>
      <w:sz w:val="22"/>
      <w:szCs w:val="22"/>
      <w:lang w:eastAsia="en-US"/>
    </w:rPr>
  </w:style>
  <w:style w:type="paragraph" w:customStyle="1" w:styleId="wsubclausewrapper">
    <w:name w:val="wsubclausewrapper"/>
    <w:basedOn w:val="a"/>
    <w:rsid w:val="00985B99"/>
    <w:pPr>
      <w:spacing w:before="150" w:after="150" w:line="360" w:lineRule="auto"/>
      <w:jc w:val="both"/>
    </w:pPr>
    <w:rPr>
      <w:lang w:eastAsia="en-US"/>
    </w:rPr>
  </w:style>
  <w:style w:type="character" w:customStyle="1" w:styleId="wsubclausecontent1">
    <w:name w:val="wsubclausecontent1"/>
    <w:rsid w:val="00985B99"/>
  </w:style>
  <w:style w:type="character" w:customStyle="1" w:styleId="wsubclausecaption1">
    <w:name w:val="wsubclausecaption1"/>
    <w:rsid w:val="00985B99"/>
  </w:style>
  <w:style w:type="paragraph" w:customStyle="1" w:styleId="12">
    <w:name w:val="סרגל1"/>
    <w:basedOn w:val="a"/>
    <w:rsid w:val="00FD7E47"/>
    <w:pPr>
      <w:spacing w:before="120"/>
      <w:ind w:left="85" w:firstLine="425"/>
      <w:jc w:val="both"/>
    </w:pPr>
    <w:rPr>
      <w:rFonts w:cs="David"/>
      <w:sz w:val="20"/>
    </w:rPr>
  </w:style>
  <w:style w:type="character" w:customStyle="1" w:styleId="emailstyle17">
    <w:name w:val="emailstyle17"/>
    <w:rsid w:val="00EC0AC2"/>
    <w:rPr>
      <w:rFonts w:ascii="Arial" w:hAnsi="Arial"/>
      <w:color w:val="000000"/>
      <w:sz w:val="20"/>
    </w:rPr>
  </w:style>
  <w:style w:type="paragraph" w:styleId="23">
    <w:name w:val="Body Text Indent 2"/>
    <w:basedOn w:val="a"/>
    <w:link w:val="24"/>
    <w:uiPriority w:val="99"/>
    <w:rsid w:val="00EC0AC2"/>
    <w:pPr>
      <w:tabs>
        <w:tab w:val="left" w:pos="390"/>
      </w:tabs>
      <w:spacing w:after="240" w:line="360" w:lineRule="auto"/>
      <w:ind w:left="390"/>
      <w:jc w:val="both"/>
    </w:pPr>
    <w:rPr>
      <w:rFonts w:cs="David"/>
      <w:sz w:val="22"/>
    </w:rPr>
  </w:style>
  <w:style w:type="character" w:customStyle="1" w:styleId="24">
    <w:name w:val="כניסה בגוף טקסט 2 תו"/>
    <w:basedOn w:val="a0"/>
    <w:link w:val="23"/>
    <w:uiPriority w:val="99"/>
    <w:locked/>
    <w:rsid w:val="00EC0AC2"/>
    <w:rPr>
      <w:rFonts w:ascii="Times New Roman" w:hAnsi="Times New Roman" w:cs="Times New Roman"/>
      <w:sz w:val="24"/>
      <w:lang w:val="x-none" w:eastAsia="he-IL" w:bidi="he-IL"/>
    </w:rPr>
  </w:style>
  <w:style w:type="paragraph" w:styleId="31">
    <w:name w:val="Body Text Indent 3"/>
    <w:basedOn w:val="a"/>
    <w:link w:val="32"/>
    <w:uiPriority w:val="99"/>
    <w:rsid w:val="00EC0AC2"/>
    <w:pPr>
      <w:tabs>
        <w:tab w:val="left" w:pos="566"/>
      </w:tabs>
      <w:spacing w:line="360" w:lineRule="auto"/>
      <w:ind w:left="26"/>
      <w:jc w:val="both"/>
    </w:pPr>
    <w:rPr>
      <w:rFonts w:cs="David"/>
      <w:b/>
      <w:bCs/>
    </w:rPr>
  </w:style>
  <w:style w:type="character" w:customStyle="1" w:styleId="32">
    <w:name w:val="כניסה בגוף טקסט 3 תו"/>
    <w:basedOn w:val="a0"/>
    <w:link w:val="31"/>
    <w:uiPriority w:val="99"/>
    <w:locked/>
    <w:rsid w:val="00EC0AC2"/>
    <w:rPr>
      <w:rFonts w:ascii="Times New Roman" w:hAnsi="Times New Roman" w:cs="Times New Roman"/>
      <w:b/>
      <w:sz w:val="24"/>
      <w:lang w:val="x-none" w:eastAsia="he-IL" w:bidi="he-IL"/>
    </w:rPr>
  </w:style>
  <w:style w:type="paragraph" w:customStyle="1" w:styleId="25">
    <w:name w:val="סרגל2"/>
    <w:basedOn w:val="a"/>
    <w:rsid w:val="00EC0AC2"/>
    <w:pPr>
      <w:spacing w:before="240"/>
      <w:ind w:left="510" w:right="510" w:hanging="425"/>
      <w:jc w:val="both"/>
    </w:pPr>
    <w:rPr>
      <w:rFonts w:cs="David"/>
      <w:noProof/>
      <w:sz w:val="20"/>
    </w:rPr>
  </w:style>
  <w:style w:type="paragraph" w:styleId="af">
    <w:name w:val="Balloon Text"/>
    <w:basedOn w:val="a"/>
    <w:link w:val="af0"/>
    <w:uiPriority w:val="99"/>
    <w:semiHidden/>
    <w:rsid w:val="00EC0AC2"/>
    <w:rPr>
      <w:rFonts w:ascii="Tahoma" w:hAnsi="Tahoma" w:cs="Tahoma"/>
      <w:sz w:val="16"/>
      <w:szCs w:val="16"/>
    </w:rPr>
  </w:style>
  <w:style w:type="character" w:customStyle="1" w:styleId="af0">
    <w:name w:val="טקסט בלונים תו"/>
    <w:basedOn w:val="a0"/>
    <w:link w:val="af"/>
    <w:uiPriority w:val="99"/>
    <w:semiHidden/>
    <w:locked/>
    <w:rsid w:val="00EC0AC2"/>
    <w:rPr>
      <w:rFonts w:ascii="Tahoma" w:hAnsi="Tahoma" w:cs="Times New Roman"/>
      <w:sz w:val="16"/>
      <w:lang w:val="x-none" w:eastAsia="he-IL" w:bidi="he-IL"/>
    </w:rPr>
  </w:style>
  <w:style w:type="character" w:customStyle="1" w:styleId="EmailStyle24">
    <w:name w:val="EmailStyle24"/>
    <w:semiHidden/>
    <w:rsid w:val="00EC0AC2"/>
    <w:rPr>
      <w:rFonts w:ascii="Arial" w:hAnsi="Arial"/>
      <w:color w:val="000080"/>
      <w:sz w:val="20"/>
    </w:rPr>
  </w:style>
  <w:style w:type="character" w:styleId="af1">
    <w:name w:val="annotation reference"/>
    <w:basedOn w:val="a0"/>
    <w:uiPriority w:val="99"/>
    <w:rsid w:val="00EC0AC2"/>
    <w:rPr>
      <w:rFonts w:cs="Times New Roman"/>
      <w:sz w:val="16"/>
    </w:rPr>
  </w:style>
  <w:style w:type="paragraph" w:styleId="af2">
    <w:name w:val="annotation text"/>
    <w:basedOn w:val="a"/>
    <w:link w:val="af3"/>
    <w:uiPriority w:val="99"/>
    <w:rsid w:val="00EC0AC2"/>
    <w:rPr>
      <w:sz w:val="20"/>
      <w:szCs w:val="20"/>
    </w:rPr>
  </w:style>
  <w:style w:type="character" w:customStyle="1" w:styleId="af3">
    <w:name w:val="טקסט הערה תו"/>
    <w:basedOn w:val="a0"/>
    <w:link w:val="af2"/>
    <w:uiPriority w:val="99"/>
    <w:locked/>
    <w:rsid w:val="00EC0AC2"/>
    <w:rPr>
      <w:rFonts w:ascii="Times New Roman" w:hAnsi="Times New Roman" w:cs="Times New Roman"/>
      <w:lang w:val="x-none" w:eastAsia="he-IL" w:bidi="he-IL"/>
    </w:rPr>
  </w:style>
  <w:style w:type="paragraph" w:styleId="af4">
    <w:name w:val="annotation subject"/>
    <w:basedOn w:val="af2"/>
    <w:next w:val="af2"/>
    <w:link w:val="af5"/>
    <w:uiPriority w:val="99"/>
    <w:rsid w:val="00EC0AC2"/>
    <w:rPr>
      <w:b/>
      <w:bCs/>
    </w:rPr>
  </w:style>
  <w:style w:type="character" w:customStyle="1" w:styleId="af5">
    <w:name w:val="נושא הערה תו"/>
    <w:basedOn w:val="af3"/>
    <w:link w:val="af4"/>
    <w:uiPriority w:val="99"/>
    <w:locked/>
    <w:rsid w:val="00EC0AC2"/>
    <w:rPr>
      <w:rFonts w:ascii="Times New Roman" w:hAnsi="Times New Roman" w:cs="Times New Roman"/>
      <w:b/>
      <w:lang w:val="x-none" w:eastAsia="he-IL" w:bidi="he-IL"/>
    </w:rPr>
  </w:style>
  <w:style w:type="paragraph" w:customStyle="1" w:styleId="wkoteretseif">
    <w:name w:val="wkoteretseif"/>
    <w:basedOn w:val="a"/>
    <w:rsid w:val="00EC0AC2"/>
    <w:pPr>
      <w:spacing w:before="300" w:after="150"/>
    </w:pPr>
    <w:rPr>
      <w:b/>
      <w:bCs/>
      <w:sz w:val="27"/>
      <w:szCs w:val="27"/>
      <w:lang w:eastAsia="en-US"/>
    </w:rPr>
  </w:style>
  <w:style w:type="character" w:styleId="Hyperlink">
    <w:name w:val="Hyperlink"/>
    <w:basedOn w:val="a0"/>
    <w:uiPriority w:val="99"/>
    <w:rsid w:val="00EC0AC2"/>
    <w:rPr>
      <w:rFonts w:cs="Times New Roman"/>
      <w:color w:val="0000FF"/>
      <w:u w:val="single"/>
    </w:rPr>
  </w:style>
  <w:style w:type="paragraph" w:styleId="af6">
    <w:name w:val="Revision"/>
    <w:hidden/>
    <w:uiPriority w:val="99"/>
    <w:semiHidden/>
    <w:rsid w:val="00EC0AC2"/>
    <w:rPr>
      <w:rFonts w:ascii="Times New Roman" w:hAnsi="Times New Roman" w:cs="Times New Roman"/>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15783">
      <w:marLeft w:val="0"/>
      <w:marRight w:val="0"/>
      <w:marTop w:val="0"/>
      <w:marBottom w:val="0"/>
      <w:divBdr>
        <w:top w:val="none" w:sz="0" w:space="0" w:color="auto"/>
        <w:left w:val="none" w:sz="0" w:space="0" w:color="auto"/>
        <w:bottom w:val="none" w:sz="0" w:space="0" w:color="auto"/>
        <w:right w:val="none" w:sz="0" w:space="0" w:color="auto"/>
      </w:divBdr>
    </w:div>
    <w:div w:id="426115784">
      <w:marLeft w:val="0"/>
      <w:marRight w:val="0"/>
      <w:marTop w:val="0"/>
      <w:marBottom w:val="0"/>
      <w:divBdr>
        <w:top w:val="none" w:sz="0" w:space="0" w:color="auto"/>
        <w:left w:val="none" w:sz="0" w:space="0" w:color="auto"/>
        <w:bottom w:val="none" w:sz="0" w:space="0" w:color="auto"/>
        <w:right w:val="none" w:sz="0" w:space="0" w:color="auto"/>
      </w:divBdr>
    </w:div>
    <w:div w:id="426115785">
      <w:marLeft w:val="0"/>
      <w:marRight w:val="0"/>
      <w:marTop w:val="0"/>
      <w:marBottom w:val="0"/>
      <w:divBdr>
        <w:top w:val="none" w:sz="0" w:space="0" w:color="auto"/>
        <w:left w:val="none" w:sz="0" w:space="0" w:color="auto"/>
        <w:bottom w:val="none" w:sz="0" w:space="0" w:color="auto"/>
        <w:right w:val="none" w:sz="0" w:space="0" w:color="auto"/>
      </w:divBdr>
    </w:div>
    <w:div w:id="426115786">
      <w:marLeft w:val="0"/>
      <w:marRight w:val="0"/>
      <w:marTop w:val="0"/>
      <w:marBottom w:val="0"/>
      <w:divBdr>
        <w:top w:val="none" w:sz="0" w:space="0" w:color="auto"/>
        <w:left w:val="none" w:sz="0" w:space="0" w:color="auto"/>
        <w:bottom w:val="none" w:sz="0" w:space="0" w:color="auto"/>
        <w:right w:val="none" w:sz="0" w:space="0" w:color="auto"/>
      </w:divBdr>
    </w:div>
    <w:div w:id="426115787">
      <w:marLeft w:val="0"/>
      <w:marRight w:val="0"/>
      <w:marTop w:val="0"/>
      <w:marBottom w:val="0"/>
      <w:divBdr>
        <w:top w:val="none" w:sz="0" w:space="0" w:color="auto"/>
        <w:left w:val="none" w:sz="0" w:space="0" w:color="auto"/>
        <w:bottom w:val="none" w:sz="0" w:space="0" w:color="auto"/>
        <w:right w:val="none" w:sz="0" w:space="0" w:color="auto"/>
      </w:divBdr>
    </w:div>
    <w:div w:id="426115788">
      <w:marLeft w:val="0"/>
      <w:marRight w:val="0"/>
      <w:marTop w:val="0"/>
      <w:marBottom w:val="0"/>
      <w:divBdr>
        <w:top w:val="none" w:sz="0" w:space="0" w:color="auto"/>
        <w:left w:val="none" w:sz="0" w:space="0" w:color="auto"/>
        <w:bottom w:val="none" w:sz="0" w:space="0" w:color="auto"/>
        <w:right w:val="none" w:sz="0" w:space="0" w:color="auto"/>
      </w:divBdr>
    </w:div>
    <w:div w:id="426115789">
      <w:marLeft w:val="0"/>
      <w:marRight w:val="0"/>
      <w:marTop w:val="0"/>
      <w:marBottom w:val="0"/>
      <w:divBdr>
        <w:top w:val="none" w:sz="0" w:space="0" w:color="auto"/>
        <w:left w:val="none" w:sz="0" w:space="0" w:color="auto"/>
        <w:bottom w:val="none" w:sz="0" w:space="0" w:color="auto"/>
        <w:right w:val="none" w:sz="0" w:space="0" w:color="auto"/>
      </w:divBdr>
    </w:div>
    <w:div w:id="426115790">
      <w:marLeft w:val="0"/>
      <w:marRight w:val="0"/>
      <w:marTop w:val="0"/>
      <w:marBottom w:val="0"/>
      <w:divBdr>
        <w:top w:val="none" w:sz="0" w:space="0" w:color="auto"/>
        <w:left w:val="none" w:sz="0" w:space="0" w:color="auto"/>
        <w:bottom w:val="none" w:sz="0" w:space="0" w:color="auto"/>
        <w:right w:val="none" w:sz="0" w:space="0" w:color="auto"/>
      </w:divBdr>
    </w:div>
    <w:div w:id="4261157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data.co.il/lawdata/OpenDocFromLink.asp?Tik=1029&amp;Tik_Ref=04&amp;Tik_Type=8&amp;zad=&#1506;&#1502;&#1504;&#1493;&#1488;&#1500;%20&#1491;&#1493;&#1512;&#1504;&#1513;&#1496;&#1497;&#1497;&#1503;&amp;T=8&amp;FromWor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3f%3f%3f%20%3f%3f-%3f%3f%3f.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EC95C-62D2-41B9-9FBD-22178A7BC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??-???.dot</Template>
  <TotalTime>0</TotalTime>
  <Pages>15</Pages>
  <Words>6059</Words>
  <Characters>30295</Characters>
  <Application>Microsoft Office Word</Application>
  <DocSecurity>0</DocSecurity>
  <Lines>252</Lines>
  <Paragraphs>72</Paragraphs>
  <ScaleCrop>false</ScaleCrop>
  <HeadingPairs>
    <vt:vector size="2" baseType="variant">
      <vt:variant>
        <vt:lpstr>שם</vt:lpstr>
      </vt:variant>
      <vt:variant>
        <vt:i4>1</vt:i4>
      </vt:variant>
    </vt:vector>
  </HeadingPairs>
  <TitlesOfParts>
    <vt:vector size="1" baseType="lpstr">
      <vt:lpstr>בבית הדין הארצי לעבודה</vt:lpstr>
    </vt:vector>
  </TitlesOfParts>
  <Company/>
  <LinksUpToDate>false</LinksUpToDate>
  <CharactersWithSpaces>36282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הארצי לעבודה</dc:title>
  <dc:subject/>
  <dc:creator>user</dc:creator>
  <cp:keywords/>
  <dc:description/>
  <cp:lastModifiedBy>חשבון Microsoft</cp:lastModifiedBy>
  <cp:revision>2</cp:revision>
  <cp:lastPrinted>2020-11-01T09:06:00Z</cp:lastPrinted>
  <dcterms:created xsi:type="dcterms:W3CDTF">2026-02-04T18:43:00Z</dcterms:created>
  <dcterms:modified xsi:type="dcterms:W3CDTF">2026-02-04T18:43:00Z</dcterms:modified>
</cp:coreProperties>
</file>