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03D" w:rsidRPr="00AF5F99" w:rsidRDefault="00C3303D" w:rsidP="00AF5F99">
      <w:pPr>
        <w:pStyle w:val="a3"/>
        <w:tabs>
          <w:tab w:val="clear" w:pos="4153"/>
          <w:tab w:val="clear" w:pos="8306"/>
        </w:tabs>
        <w:spacing w:after="60"/>
        <w:rPr>
          <w:rFonts w:cs="David"/>
          <w:b/>
          <w:bCs/>
          <w:rtl/>
        </w:rPr>
      </w:pPr>
      <w:bookmarkStart w:id="0" w:name="_GoBack"/>
      <w:bookmarkEnd w:id="0"/>
      <w:r w:rsidRPr="00AF5F99">
        <w:rPr>
          <w:rFonts w:cs="David"/>
          <w:b/>
          <w:bCs/>
          <w:rtl/>
        </w:rPr>
        <w:t xml:space="preserve">בבית הדין הארצי לעבודה </w:t>
      </w:r>
      <w:r w:rsidRPr="00AF5F99">
        <w:rPr>
          <w:rFonts w:cs="David"/>
          <w:b/>
          <w:bCs/>
          <w:rtl/>
        </w:rPr>
        <w:tab/>
      </w:r>
      <w:r w:rsidRPr="00AF5F99">
        <w:rPr>
          <w:rFonts w:cs="David"/>
          <w:b/>
          <w:bCs/>
          <w:rtl/>
        </w:rPr>
        <w:tab/>
      </w:r>
      <w:r w:rsidRPr="00AF5F99">
        <w:rPr>
          <w:rFonts w:cs="David"/>
          <w:b/>
          <w:bCs/>
          <w:rtl/>
        </w:rPr>
        <w:tab/>
      </w:r>
      <w:r w:rsidRPr="00AF5F99">
        <w:rPr>
          <w:rFonts w:cs="David"/>
          <w:b/>
          <w:bCs/>
          <w:rtl/>
        </w:rPr>
        <w:tab/>
      </w:r>
      <w:r w:rsidRPr="00AF5F99">
        <w:rPr>
          <w:rFonts w:cs="David"/>
          <w:b/>
          <w:bCs/>
          <w:rtl/>
        </w:rPr>
        <w:tab/>
      </w:r>
      <w:r w:rsidRPr="00AF5F99">
        <w:rPr>
          <w:rFonts w:cs="David"/>
          <w:b/>
          <w:bCs/>
          <w:rtl/>
        </w:rPr>
        <w:tab/>
      </w:r>
      <w:r w:rsidR="00AF5F99" w:rsidRPr="00AF5F99">
        <w:rPr>
          <w:rFonts w:cs="David"/>
          <w:b/>
          <w:bCs/>
          <w:rtl/>
        </w:rPr>
        <w:tab/>
      </w:r>
      <w:r w:rsidRPr="00AF5F99">
        <w:rPr>
          <w:rFonts w:cs="David"/>
          <w:b/>
          <w:bCs/>
          <w:rtl/>
        </w:rPr>
        <w:t xml:space="preserve">ע"ע </w:t>
      </w:r>
      <w:r w:rsidR="00AF5F99" w:rsidRPr="00AF5F99">
        <w:rPr>
          <w:rFonts w:cs="David"/>
          <w:b/>
          <w:bCs/>
          <w:rtl/>
        </w:rPr>
        <w:t>___________</w:t>
      </w:r>
    </w:p>
    <w:p w:rsidR="00C3303D" w:rsidRPr="00AF5F99" w:rsidRDefault="00C3303D">
      <w:pPr>
        <w:pStyle w:val="1"/>
        <w:spacing w:after="60"/>
        <w:rPr>
          <w:rFonts w:cs="David"/>
          <w:b/>
          <w:bCs/>
          <w:rtl/>
        </w:rPr>
      </w:pPr>
      <w:r w:rsidRPr="00AF5F99">
        <w:rPr>
          <w:rFonts w:cs="David"/>
          <w:b/>
          <w:bCs/>
          <w:rtl/>
        </w:rPr>
        <w:t>בירושלים</w:t>
      </w:r>
    </w:p>
    <w:p w:rsidR="00C3303D" w:rsidRDefault="00C3303D">
      <w:pPr>
        <w:spacing w:after="60"/>
        <w:rPr>
          <w:rFonts w:cs="David"/>
          <w:u w:val="single"/>
          <w:rtl/>
        </w:rPr>
      </w:pPr>
    </w:p>
    <w:p w:rsidR="00AF5F99" w:rsidRPr="00901A33" w:rsidRDefault="00AF5F99" w:rsidP="00AF5F99">
      <w:pPr>
        <w:pStyle w:val="41"/>
        <w:spacing w:before="0"/>
        <w:ind w:hanging="1335"/>
        <w:rPr>
          <w:rtl/>
        </w:rPr>
      </w:pPr>
      <w:r w:rsidRPr="00901A33">
        <w:rPr>
          <w:b/>
          <w:bCs/>
          <w:rtl/>
        </w:rPr>
        <w:t>בעניין:</w:t>
      </w:r>
      <w:r w:rsidRPr="00901A33">
        <w:rPr>
          <w:b/>
          <w:bCs/>
          <w:rtl/>
        </w:rPr>
        <w:tab/>
      </w:r>
      <w:r w:rsidRPr="00901A33">
        <w:rPr>
          <w:b/>
          <w:bCs/>
          <w:rtl/>
        </w:rPr>
        <w:tab/>
      </w:r>
      <w:r w:rsidRPr="00901A33">
        <w:rPr>
          <w:b/>
          <w:bCs/>
          <w:rtl/>
        </w:rPr>
        <w:tab/>
      </w:r>
      <w:r w:rsidRPr="00901A33">
        <w:rPr>
          <w:b/>
          <w:bCs/>
          <w:rtl/>
        </w:rPr>
        <w:tab/>
        <w:t>שמעון הכסטר</w:t>
      </w:r>
      <w:r w:rsidRPr="00901A33">
        <w:rPr>
          <w:rtl/>
        </w:rPr>
        <w:t>, ת.ז. 000388587</w:t>
      </w:r>
    </w:p>
    <w:p w:rsidR="00AF5F99" w:rsidRPr="00901A33" w:rsidRDefault="00AF5F99" w:rsidP="00AF5F99">
      <w:pPr>
        <w:pStyle w:val="41"/>
        <w:spacing w:before="0"/>
        <w:ind w:left="0" w:firstLine="0"/>
        <w:rPr>
          <w:rtl/>
          <w:lang w:eastAsia="en-US"/>
        </w:rPr>
      </w:pPr>
    </w:p>
    <w:p w:rsidR="00AF5F99" w:rsidRPr="00901A33" w:rsidRDefault="00AF5F99" w:rsidP="00AF5F99">
      <w:pPr>
        <w:pStyle w:val="41"/>
        <w:tabs>
          <w:tab w:val="clear" w:pos="942"/>
        </w:tabs>
        <w:spacing w:before="0"/>
        <w:ind w:left="2160" w:firstLine="0"/>
        <w:rPr>
          <w:rtl/>
          <w:lang w:eastAsia="en-US"/>
        </w:rPr>
      </w:pPr>
      <w:r w:rsidRPr="00901A33">
        <w:rPr>
          <w:rtl/>
          <w:lang w:eastAsia="en-US"/>
        </w:rPr>
        <w:t xml:space="preserve">ע"י ב"כ עוה"ד </w:t>
      </w:r>
      <w:smartTag w:uri="urn:schemas-microsoft-com:office:smarttags" w:element="PersonName">
        <w:smartTagPr>
          <w:attr w:name="ProductID" w:val="אופיר טל"/>
        </w:smartTagPr>
        <w:r w:rsidRPr="00901A33">
          <w:rPr>
            <w:rtl/>
            <w:lang w:eastAsia="en-US"/>
          </w:rPr>
          <w:t>אופיר טל</w:t>
        </w:r>
      </w:smartTag>
      <w:r w:rsidRPr="00901A33">
        <w:rPr>
          <w:rtl/>
          <w:lang w:eastAsia="en-US"/>
        </w:rPr>
        <w:t xml:space="preserve"> ו/או לואיז ספורטס ואח' </w:t>
      </w:r>
    </w:p>
    <w:p w:rsidR="00AF5F99" w:rsidRPr="00901A33" w:rsidRDefault="00AF5F99" w:rsidP="00AF5F99">
      <w:pPr>
        <w:pStyle w:val="41"/>
        <w:tabs>
          <w:tab w:val="clear" w:pos="942"/>
        </w:tabs>
        <w:spacing w:before="0"/>
        <w:ind w:left="2160" w:firstLine="0"/>
        <w:rPr>
          <w:b/>
          <w:bCs/>
          <w:rtl/>
          <w:lang w:eastAsia="en-US"/>
        </w:rPr>
      </w:pPr>
      <w:r w:rsidRPr="00901A33">
        <w:rPr>
          <w:b/>
          <w:bCs/>
          <w:rtl/>
          <w:lang w:eastAsia="en-US"/>
        </w:rPr>
        <w:t xml:space="preserve">טל, קדרי, שמיר ושות'- עורכי דין </w:t>
      </w:r>
    </w:p>
    <w:p w:rsidR="00AF5F99" w:rsidRPr="00901A33" w:rsidRDefault="00AF5F99" w:rsidP="00AF5F99">
      <w:pPr>
        <w:pStyle w:val="41"/>
        <w:spacing w:before="0"/>
        <w:ind w:left="0" w:firstLine="0"/>
        <w:rPr>
          <w:rtl/>
          <w:lang w:eastAsia="en-US"/>
        </w:rPr>
      </w:pPr>
      <w:r w:rsidRPr="00901A33">
        <w:rPr>
          <w:rtl/>
          <w:lang w:eastAsia="en-US"/>
        </w:rPr>
        <w:tab/>
      </w:r>
      <w:r w:rsidRPr="00901A33">
        <w:rPr>
          <w:rtl/>
          <w:lang w:eastAsia="en-US"/>
        </w:rPr>
        <w:tab/>
      </w:r>
      <w:r w:rsidRPr="00901A33">
        <w:rPr>
          <w:rtl/>
          <w:lang w:eastAsia="en-US"/>
        </w:rPr>
        <w:tab/>
        <w:t>מרח' וושינגטון 4, ירושלים</w:t>
      </w:r>
    </w:p>
    <w:p w:rsidR="00AF5F99" w:rsidRPr="00901A33" w:rsidRDefault="00AF5F99" w:rsidP="00AF5F99">
      <w:pPr>
        <w:pStyle w:val="41"/>
        <w:spacing w:before="0"/>
        <w:ind w:left="0" w:firstLine="0"/>
        <w:rPr>
          <w:rtl/>
          <w:lang w:eastAsia="en-US"/>
        </w:rPr>
      </w:pPr>
      <w:r w:rsidRPr="00901A33">
        <w:rPr>
          <w:rtl/>
          <w:lang w:eastAsia="en-US"/>
        </w:rPr>
        <w:tab/>
      </w:r>
      <w:r w:rsidRPr="00901A33">
        <w:rPr>
          <w:rtl/>
          <w:lang w:eastAsia="en-US"/>
        </w:rPr>
        <w:tab/>
      </w:r>
      <w:r w:rsidRPr="00901A33">
        <w:rPr>
          <w:rtl/>
          <w:lang w:eastAsia="en-US"/>
        </w:rPr>
        <w:tab/>
      </w:r>
      <w:r w:rsidRPr="00901A33">
        <w:rPr>
          <w:sz w:val="19"/>
          <w:rtl/>
          <w:lang w:eastAsia="en-US"/>
        </w:rPr>
        <w:t>טל. 02-5674000; פקס. 074-713700</w:t>
      </w:r>
      <w:r w:rsidRPr="00901A33">
        <w:rPr>
          <w:rtl/>
          <w:lang w:eastAsia="en-US"/>
        </w:rPr>
        <w:t>1</w:t>
      </w:r>
      <w:r w:rsidRPr="00901A33">
        <w:rPr>
          <w:rtl/>
          <w:lang w:eastAsia="en-US"/>
        </w:rPr>
        <w:tab/>
      </w:r>
      <w:r w:rsidRPr="00901A33">
        <w:rPr>
          <w:rtl/>
          <w:lang w:eastAsia="en-US"/>
        </w:rPr>
        <w:tab/>
      </w:r>
      <w:r w:rsidRPr="00901A33">
        <w:rPr>
          <w:rtl/>
          <w:lang w:eastAsia="en-US"/>
        </w:rPr>
        <w:tab/>
      </w:r>
    </w:p>
    <w:p w:rsidR="00AF5F99" w:rsidRPr="00901A33" w:rsidRDefault="00AF5F99" w:rsidP="00AF5F99">
      <w:pPr>
        <w:pStyle w:val="41"/>
        <w:spacing w:before="0"/>
        <w:ind w:left="0" w:firstLine="0"/>
        <w:jc w:val="right"/>
        <w:rPr>
          <w:rtl/>
          <w:lang w:eastAsia="en-US"/>
        </w:rPr>
      </w:pPr>
      <w:r w:rsidRPr="00901A33">
        <w:rPr>
          <w:rtl/>
          <w:lang w:eastAsia="en-US"/>
        </w:rPr>
        <w:tab/>
      </w:r>
      <w:r w:rsidRPr="00901A33">
        <w:rPr>
          <w:rtl/>
          <w:lang w:eastAsia="en-US"/>
        </w:rPr>
        <w:tab/>
      </w:r>
      <w:r w:rsidRPr="00901A33">
        <w:rPr>
          <w:rtl/>
          <w:lang w:eastAsia="en-US"/>
        </w:rPr>
        <w:tab/>
      </w:r>
      <w:r w:rsidRPr="00901A33">
        <w:rPr>
          <w:rtl/>
          <w:lang w:eastAsia="en-US"/>
        </w:rPr>
        <w:tab/>
      </w:r>
      <w:r w:rsidRPr="00901A33">
        <w:rPr>
          <w:rtl/>
          <w:lang w:eastAsia="en-US"/>
        </w:rPr>
        <w:tab/>
        <w:t xml:space="preserve">             </w:t>
      </w:r>
      <w:r w:rsidRPr="00901A33">
        <w:rPr>
          <w:rtl/>
          <w:lang w:eastAsia="en-US"/>
        </w:rPr>
        <w:tab/>
      </w:r>
      <w:r w:rsidRPr="00901A33">
        <w:rPr>
          <w:rtl/>
          <w:lang w:eastAsia="en-US"/>
        </w:rPr>
        <w:tab/>
        <w:t xml:space="preserve">                  </w:t>
      </w:r>
      <w:r>
        <w:rPr>
          <w:b/>
          <w:bCs/>
          <w:u w:val="single"/>
          <w:rtl/>
          <w:lang w:eastAsia="en-US"/>
        </w:rPr>
        <w:t>המערער</w:t>
      </w:r>
    </w:p>
    <w:p w:rsidR="00AF5F99" w:rsidRPr="00901A33" w:rsidRDefault="00AF5F99" w:rsidP="00AF5F99">
      <w:pPr>
        <w:pStyle w:val="41"/>
        <w:spacing w:before="0"/>
        <w:ind w:left="0" w:firstLine="0"/>
        <w:rPr>
          <w:rtl/>
          <w:lang w:eastAsia="en-US"/>
        </w:rPr>
      </w:pPr>
    </w:p>
    <w:p w:rsidR="00AF5F99" w:rsidRDefault="00AF5F99" w:rsidP="00AF5F99">
      <w:pPr>
        <w:pStyle w:val="41"/>
        <w:spacing w:before="0"/>
        <w:ind w:left="0" w:firstLine="0"/>
        <w:rPr>
          <w:b/>
          <w:bCs/>
          <w:lang w:eastAsia="en-US"/>
        </w:rPr>
      </w:pPr>
      <w:r w:rsidRPr="00901A33">
        <w:rPr>
          <w:b/>
          <w:bCs/>
          <w:rtl/>
          <w:lang w:eastAsia="en-US"/>
        </w:rPr>
        <w:tab/>
      </w:r>
      <w:r w:rsidRPr="00901A33">
        <w:rPr>
          <w:b/>
          <w:bCs/>
          <w:rtl/>
          <w:lang w:eastAsia="en-US"/>
        </w:rPr>
        <w:tab/>
      </w:r>
      <w:r w:rsidRPr="00901A33">
        <w:rPr>
          <w:b/>
          <w:bCs/>
          <w:rtl/>
          <w:lang w:eastAsia="en-US"/>
        </w:rPr>
        <w:tab/>
        <w:t xml:space="preserve">- נ  ג  ד </w:t>
      </w:r>
      <w:r>
        <w:rPr>
          <w:b/>
          <w:bCs/>
          <w:rtl/>
          <w:lang w:eastAsia="en-US"/>
        </w:rPr>
        <w:t>–</w:t>
      </w:r>
    </w:p>
    <w:p w:rsidR="00AF5F99" w:rsidRPr="00901A33" w:rsidRDefault="00AF5F99" w:rsidP="00AF5F99">
      <w:pPr>
        <w:pStyle w:val="41"/>
        <w:spacing w:before="0"/>
        <w:ind w:left="0" w:firstLine="0"/>
        <w:rPr>
          <w:b/>
          <w:bCs/>
          <w:rtl/>
          <w:lang w:eastAsia="en-US"/>
        </w:rPr>
      </w:pPr>
    </w:p>
    <w:p w:rsidR="00AF5F99" w:rsidRPr="00901A33" w:rsidRDefault="00AF5F99" w:rsidP="00AF5F99">
      <w:pPr>
        <w:pStyle w:val="41"/>
        <w:spacing w:before="0"/>
        <w:ind w:left="0" w:firstLine="0"/>
        <w:rPr>
          <w:rtl/>
          <w:lang w:eastAsia="en-US"/>
        </w:rPr>
      </w:pPr>
    </w:p>
    <w:p w:rsidR="00AF5F99" w:rsidRPr="00901A33" w:rsidRDefault="00AF5F99" w:rsidP="00F756EA">
      <w:pPr>
        <w:pStyle w:val="41"/>
        <w:numPr>
          <w:ilvl w:val="0"/>
          <w:numId w:val="2"/>
        </w:numPr>
        <w:tabs>
          <w:tab w:val="clear" w:pos="942"/>
        </w:tabs>
        <w:spacing w:before="0"/>
        <w:rPr>
          <w:b/>
          <w:bCs/>
          <w:rtl/>
        </w:rPr>
      </w:pPr>
      <w:r w:rsidRPr="00901A33">
        <w:rPr>
          <w:b/>
          <w:bCs/>
          <w:rtl/>
        </w:rPr>
        <w:t xml:space="preserve">נציבות שירות המדינה </w:t>
      </w:r>
    </w:p>
    <w:p w:rsidR="00AF5F99" w:rsidRPr="00901A33" w:rsidRDefault="00AF5F99" w:rsidP="00F756EA">
      <w:pPr>
        <w:pStyle w:val="41"/>
        <w:numPr>
          <w:ilvl w:val="0"/>
          <w:numId w:val="2"/>
        </w:numPr>
        <w:tabs>
          <w:tab w:val="clear" w:pos="942"/>
        </w:tabs>
        <w:spacing w:before="0"/>
        <w:rPr>
          <w:b/>
          <w:bCs/>
          <w:rtl/>
        </w:rPr>
      </w:pPr>
      <w:r w:rsidRPr="00901A33">
        <w:rPr>
          <w:b/>
          <w:bCs/>
          <w:rtl/>
        </w:rPr>
        <w:t xml:space="preserve">מדינת ישראל – משרד האוצר </w:t>
      </w:r>
    </w:p>
    <w:p w:rsidR="00AF5F99" w:rsidRPr="00901A33" w:rsidRDefault="00AF5F99" w:rsidP="00F756EA">
      <w:pPr>
        <w:pStyle w:val="41"/>
        <w:numPr>
          <w:ilvl w:val="0"/>
          <w:numId w:val="2"/>
        </w:numPr>
        <w:tabs>
          <w:tab w:val="clear" w:pos="942"/>
        </w:tabs>
        <w:spacing w:before="0"/>
      </w:pPr>
      <w:r w:rsidRPr="00901A33">
        <w:rPr>
          <w:b/>
          <w:bCs/>
          <w:rtl/>
        </w:rPr>
        <w:t>הממונה על הגימלאות</w:t>
      </w:r>
      <w:r w:rsidRPr="00901A33" w:rsidDel="00173E98">
        <w:rPr>
          <w:rtl/>
        </w:rPr>
        <w:t xml:space="preserve"> </w:t>
      </w:r>
    </w:p>
    <w:p w:rsidR="00AF5F99" w:rsidRPr="00901A33" w:rsidRDefault="00AF5F99" w:rsidP="00AF5F99">
      <w:pPr>
        <w:pStyle w:val="41"/>
        <w:tabs>
          <w:tab w:val="clear" w:pos="942"/>
        </w:tabs>
        <w:spacing w:before="0"/>
        <w:ind w:left="2250" w:firstLine="0"/>
        <w:rPr>
          <w:b/>
          <w:bCs/>
          <w:rtl/>
        </w:rPr>
      </w:pPr>
    </w:p>
    <w:p w:rsidR="00AF5F99" w:rsidRPr="00901A33" w:rsidRDefault="00AF5F99" w:rsidP="00AF5F99">
      <w:pPr>
        <w:pStyle w:val="41"/>
        <w:tabs>
          <w:tab w:val="clear" w:pos="942"/>
        </w:tabs>
        <w:spacing w:before="0"/>
        <w:ind w:left="2250" w:firstLine="0"/>
        <w:rPr>
          <w:rtl/>
        </w:rPr>
      </w:pPr>
      <w:r w:rsidRPr="00901A33">
        <w:rPr>
          <w:rtl/>
        </w:rPr>
        <w:t>שלושתם על ידי פרקליטות מחוז ירושלים (אזרחי)</w:t>
      </w:r>
    </w:p>
    <w:p w:rsidR="00AF5F99" w:rsidRPr="00901A33" w:rsidRDefault="00AF5F99" w:rsidP="00AF5F99">
      <w:pPr>
        <w:pStyle w:val="41"/>
        <w:tabs>
          <w:tab w:val="clear" w:pos="942"/>
        </w:tabs>
        <w:spacing w:before="0"/>
        <w:ind w:left="2250" w:firstLine="0"/>
        <w:rPr>
          <w:rtl/>
        </w:rPr>
      </w:pPr>
      <w:r>
        <w:rPr>
          <w:rtl/>
        </w:rPr>
        <w:t xml:space="preserve">מח"ל 7, </w:t>
      </w:r>
      <w:r w:rsidRPr="00901A33">
        <w:rPr>
          <w:rtl/>
        </w:rPr>
        <w:t>מעלות דפנה, ירושלים</w:t>
      </w:r>
    </w:p>
    <w:p w:rsidR="00AF5F99" w:rsidRPr="00901A33" w:rsidRDefault="00AF5F99" w:rsidP="00AF5F99">
      <w:pPr>
        <w:pStyle w:val="41"/>
        <w:tabs>
          <w:tab w:val="clear" w:pos="942"/>
        </w:tabs>
        <w:spacing w:before="0"/>
        <w:ind w:left="3600" w:firstLine="0"/>
        <w:jc w:val="right"/>
        <w:rPr>
          <w:b/>
          <w:bCs/>
          <w:u w:val="single"/>
          <w:rtl/>
          <w:lang w:eastAsia="en-US"/>
        </w:rPr>
      </w:pPr>
      <w:r w:rsidRPr="00901A33">
        <w:rPr>
          <w:rtl/>
          <w:lang w:eastAsia="en-US"/>
        </w:rPr>
        <w:tab/>
      </w:r>
      <w:r w:rsidRPr="00901A33">
        <w:rPr>
          <w:rtl/>
          <w:lang w:eastAsia="en-US"/>
        </w:rPr>
        <w:tab/>
      </w:r>
      <w:r w:rsidRPr="00901A33">
        <w:rPr>
          <w:rtl/>
          <w:lang w:eastAsia="en-US"/>
        </w:rPr>
        <w:tab/>
      </w:r>
      <w:r>
        <w:rPr>
          <w:rtl/>
          <w:lang w:eastAsia="en-US"/>
        </w:rPr>
        <w:tab/>
        <w:t xml:space="preserve">              </w:t>
      </w:r>
      <w:r>
        <w:rPr>
          <w:b/>
          <w:bCs/>
          <w:u w:val="single"/>
          <w:rtl/>
          <w:lang w:eastAsia="en-US"/>
        </w:rPr>
        <w:t>המשיבות</w:t>
      </w:r>
    </w:p>
    <w:p w:rsidR="00AF5F99" w:rsidRDefault="00AF5F99" w:rsidP="00AF5F99">
      <w:pPr>
        <w:pStyle w:val="11"/>
        <w:jc w:val="both"/>
        <w:rPr>
          <w:sz w:val="24"/>
          <w:rtl/>
          <w:lang w:eastAsia="en-US"/>
        </w:rPr>
      </w:pPr>
    </w:p>
    <w:p w:rsidR="00C3303D" w:rsidRDefault="00C3303D" w:rsidP="008C7365">
      <w:pPr>
        <w:pStyle w:val="5"/>
        <w:spacing w:after="240" w:line="360" w:lineRule="auto"/>
        <w:rPr>
          <w:rFonts w:cs="David"/>
          <w:rtl/>
        </w:rPr>
      </w:pPr>
      <w:r>
        <w:rPr>
          <w:rFonts w:cs="David"/>
          <w:rtl/>
        </w:rPr>
        <w:t>הודעת ערעור</w:t>
      </w:r>
    </w:p>
    <w:p w:rsidR="00C3303D" w:rsidRDefault="008C7365" w:rsidP="00FE68F2">
      <w:pPr>
        <w:pStyle w:val="a8"/>
        <w:spacing w:after="240" w:line="360" w:lineRule="auto"/>
        <w:ind w:left="44"/>
        <w:rPr>
          <w:rFonts w:cs="David"/>
          <w:rtl/>
        </w:rPr>
      </w:pPr>
      <w:r>
        <w:rPr>
          <w:rFonts w:cs="David"/>
          <w:rtl/>
        </w:rPr>
        <w:t>המערער</w:t>
      </w:r>
      <w:r w:rsidR="00C3303D">
        <w:rPr>
          <w:rFonts w:cs="David"/>
          <w:rtl/>
        </w:rPr>
        <w:t xml:space="preserve"> </w:t>
      </w:r>
      <w:r>
        <w:rPr>
          <w:rFonts w:cs="David"/>
          <w:rtl/>
        </w:rPr>
        <w:t xml:space="preserve">מתכבד </w:t>
      </w:r>
      <w:r w:rsidR="00C3303D">
        <w:rPr>
          <w:rFonts w:cs="David"/>
          <w:rtl/>
        </w:rPr>
        <w:t>בזאת להגיש לבי</w:t>
      </w:r>
      <w:r>
        <w:rPr>
          <w:rFonts w:cs="David"/>
          <w:rtl/>
        </w:rPr>
        <w:t>ת הדין</w:t>
      </w:r>
      <w:r w:rsidR="00C3303D">
        <w:rPr>
          <w:rFonts w:cs="David"/>
          <w:rtl/>
        </w:rPr>
        <w:t xml:space="preserve"> הנכבד הודעת ערעור על פסק דינו של בי</w:t>
      </w:r>
      <w:r>
        <w:rPr>
          <w:rFonts w:cs="David"/>
          <w:rtl/>
        </w:rPr>
        <w:t xml:space="preserve">ת הדין </w:t>
      </w:r>
      <w:r w:rsidR="00C3303D">
        <w:rPr>
          <w:rFonts w:cs="David"/>
          <w:rtl/>
        </w:rPr>
        <w:t>האזורי לעבודה ב</w:t>
      </w:r>
      <w:r>
        <w:rPr>
          <w:rFonts w:cs="David"/>
          <w:rtl/>
        </w:rPr>
        <w:t>ירושלים (סגן הנשיא, כבוד השופט כאמל אבו קאעוד</w:t>
      </w:r>
      <w:r w:rsidR="00374B8F">
        <w:rPr>
          <w:rFonts w:cs="David"/>
          <w:rtl/>
        </w:rPr>
        <w:t>, ונציגי הציבור מר יעקב מלול ומר יוסיף בנבנישתי</w:t>
      </w:r>
      <w:r>
        <w:rPr>
          <w:rFonts w:cs="David"/>
          <w:rtl/>
        </w:rPr>
        <w:t>)</w:t>
      </w:r>
      <w:r w:rsidR="00FE68F2">
        <w:rPr>
          <w:rFonts w:cs="David"/>
          <w:rtl/>
        </w:rPr>
        <w:t xml:space="preserve"> בתיק סע"ש (ירושלים) 6928-10/19 (להלן "</w:t>
      </w:r>
      <w:r w:rsidR="00FE68F2">
        <w:rPr>
          <w:rFonts w:cs="David"/>
          <w:b/>
          <w:bCs/>
          <w:rtl/>
        </w:rPr>
        <w:t>פסק הדין</w:t>
      </w:r>
      <w:r w:rsidR="00FE68F2">
        <w:rPr>
          <w:rFonts w:cs="David"/>
          <w:rtl/>
        </w:rPr>
        <w:t>")</w:t>
      </w:r>
      <w:r w:rsidR="00374B8F">
        <w:rPr>
          <w:rFonts w:cs="David"/>
          <w:rtl/>
        </w:rPr>
        <w:t xml:space="preserve">. </w:t>
      </w:r>
      <w:r w:rsidR="000C57EA">
        <w:rPr>
          <w:rFonts w:cs="David"/>
          <w:rtl/>
        </w:rPr>
        <w:t>פסק הדין התקבל במשרדי ב"כ המערער, באמצעות מערכת נט המשפט, ביום 1.</w:t>
      </w:r>
      <w:r w:rsidR="002104DA">
        <w:rPr>
          <w:rFonts w:cs="David"/>
          <w:rtl/>
        </w:rPr>
        <w:t>6</w:t>
      </w:r>
      <w:r w:rsidR="000C57EA">
        <w:rPr>
          <w:rFonts w:cs="David"/>
          <w:rtl/>
        </w:rPr>
        <w:t>.2020.</w:t>
      </w:r>
    </w:p>
    <w:p w:rsidR="00FE68F2" w:rsidRPr="00FE68F2" w:rsidRDefault="00FE68F2" w:rsidP="00FE68F2">
      <w:pPr>
        <w:spacing w:after="240" w:line="360" w:lineRule="auto"/>
        <w:ind w:left="44"/>
        <w:jc w:val="both"/>
        <w:rPr>
          <w:rFonts w:cs="David"/>
          <w:i/>
          <w:iCs/>
          <w:rtl/>
        </w:rPr>
      </w:pPr>
      <w:r w:rsidRPr="00FE68F2">
        <w:rPr>
          <w:rFonts w:cs="David"/>
          <w:i/>
          <w:iCs/>
          <w:rtl/>
        </w:rPr>
        <w:t xml:space="preserve">העתק נכון של פסק הדין מצ"ב, מסומן </w:t>
      </w:r>
      <w:r w:rsidRPr="00FE68F2">
        <w:rPr>
          <w:rFonts w:cs="David"/>
          <w:b/>
          <w:bCs/>
          <w:i/>
          <w:iCs/>
          <w:u w:val="single"/>
          <w:rtl/>
        </w:rPr>
        <w:t>באות א'</w:t>
      </w:r>
      <w:r w:rsidRPr="00FE68F2">
        <w:rPr>
          <w:rFonts w:cs="David"/>
          <w:i/>
          <w:iCs/>
          <w:rtl/>
        </w:rPr>
        <w:t>.</w:t>
      </w:r>
    </w:p>
    <w:p w:rsidR="00985B99" w:rsidRDefault="00985B99" w:rsidP="00FE68F2">
      <w:pPr>
        <w:pStyle w:val="a8"/>
        <w:tabs>
          <w:tab w:val="left" w:pos="674"/>
        </w:tabs>
        <w:spacing w:after="240" w:line="360" w:lineRule="auto"/>
        <w:rPr>
          <w:rFonts w:cs="David"/>
        </w:rPr>
      </w:pPr>
      <w:r>
        <w:rPr>
          <w:rFonts w:cs="David"/>
          <w:rtl/>
        </w:rPr>
        <w:t xml:space="preserve">פסק הדין דחה על הסף את </w:t>
      </w:r>
      <w:r w:rsidR="00B33BB4">
        <w:rPr>
          <w:rFonts w:cs="David"/>
          <w:rtl/>
        </w:rPr>
        <w:t xml:space="preserve">עיקר </w:t>
      </w:r>
      <w:r>
        <w:rPr>
          <w:rFonts w:cs="David"/>
          <w:rtl/>
        </w:rPr>
        <w:t>תביעתו של המערער</w:t>
      </w:r>
      <w:r w:rsidR="00935657">
        <w:rPr>
          <w:rFonts w:cs="David"/>
          <w:rtl/>
        </w:rPr>
        <w:t>, אותה הגיש ביום 3.10.2019,</w:t>
      </w:r>
      <w:r>
        <w:rPr>
          <w:rFonts w:cs="David"/>
          <w:rtl/>
        </w:rPr>
        <w:t xml:space="preserve"> בשל התיישנות</w:t>
      </w:r>
      <w:r w:rsidR="00B33BB4">
        <w:rPr>
          <w:rFonts w:cs="David"/>
          <w:rtl/>
        </w:rPr>
        <w:t xml:space="preserve"> ואת חלקה בהיעדר אסמכתאות ופירוט</w:t>
      </w:r>
      <w:r>
        <w:rPr>
          <w:rFonts w:cs="David"/>
          <w:rtl/>
        </w:rPr>
        <w:t>. פסק הדין</w:t>
      </w:r>
      <w:r w:rsidR="00CF6BBD" w:rsidRPr="00CF6BBD">
        <w:rPr>
          <w:rFonts w:cs="David"/>
          <w:rtl/>
        </w:rPr>
        <w:t xml:space="preserve"> </w:t>
      </w:r>
      <w:r>
        <w:rPr>
          <w:rFonts w:cs="David"/>
          <w:rtl/>
        </w:rPr>
        <w:t xml:space="preserve">ניתן ללא דיון בתיק, וכל קביעותיו העובדתיות של בית הדין </w:t>
      </w:r>
      <w:r w:rsidR="002104DA">
        <w:rPr>
          <w:rFonts w:cs="David"/>
          <w:rtl/>
        </w:rPr>
        <w:t xml:space="preserve">הנכבד </w:t>
      </w:r>
      <w:r>
        <w:rPr>
          <w:rFonts w:cs="David"/>
          <w:rtl/>
        </w:rPr>
        <w:t>קמא מבוססות, אם כן, על כתבי התביעה וההגנה, וכתבי בי-הדין בבקשת המדינה לסילוק על הסף.</w:t>
      </w:r>
    </w:p>
    <w:p w:rsidR="00C3303D" w:rsidRDefault="00C3303D" w:rsidP="008C7365">
      <w:pPr>
        <w:pStyle w:val="6"/>
        <w:spacing w:after="240" w:line="360" w:lineRule="auto"/>
        <w:ind w:left="44"/>
        <w:rPr>
          <w:rFonts w:cs="David"/>
          <w:rtl/>
        </w:rPr>
      </w:pPr>
      <w:r>
        <w:rPr>
          <w:rFonts w:cs="David"/>
          <w:rtl/>
        </w:rPr>
        <w:t>ואלה נימוקי הערעור</w:t>
      </w:r>
    </w:p>
    <w:p w:rsidR="008C7365" w:rsidRDefault="00C3303D" w:rsidP="00F756EA">
      <w:pPr>
        <w:pStyle w:val="7"/>
        <w:numPr>
          <w:ilvl w:val="0"/>
          <w:numId w:val="3"/>
        </w:numPr>
        <w:spacing w:after="240" w:line="360" w:lineRule="auto"/>
        <w:ind w:left="674" w:hanging="630"/>
        <w:rPr>
          <w:rFonts w:cs="David"/>
          <w:sz w:val="26"/>
          <w:szCs w:val="26"/>
          <w:rtl/>
        </w:rPr>
      </w:pPr>
      <w:r w:rsidRPr="008C7365">
        <w:rPr>
          <w:rFonts w:cs="David"/>
          <w:sz w:val="26"/>
          <w:szCs w:val="26"/>
          <w:rtl/>
        </w:rPr>
        <w:t>מבוא</w:t>
      </w:r>
    </w:p>
    <w:p w:rsidR="00752891" w:rsidRPr="00E8764E" w:rsidRDefault="0043225B" w:rsidP="00AD5378">
      <w:pPr>
        <w:pStyle w:val="a8"/>
        <w:numPr>
          <w:ilvl w:val="0"/>
          <w:numId w:val="1"/>
        </w:numPr>
        <w:tabs>
          <w:tab w:val="left" w:pos="674"/>
        </w:tabs>
        <w:spacing w:after="240" w:line="360" w:lineRule="auto"/>
        <w:ind w:left="674" w:hanging="630"/>
      </w:pPr>
      <w:r w:rsidRPr="00AD5378">
        <w:rPr>
          <w:rFonts w:cs="David"/>
          <w:rtl/>
        </w:rPr>
        <w:t>המערער עבד במשרד האוצר במשך 42 שנים, חלק</w:t>
      </w:r>
      <w:r w:rsidR="00FE68F2">
        <w:rPr>
          <w:rFonts w:cs="David"/>
          <w:rtl/>
        </w:rPr>
        <w:t>ן</w:t>
      </w:r>
      <w:r w:rsidRPr="00AD5378">
        <w:rPr>
          <w:rFonts w:cs="David"/>
          <w:rtl/>
        </w:rPr>
        <w:t xml:space="preserve"> הגדול בתפקידים בכירים כחשב במשרדי ממשלה. </w:t>
      </w:r>
      <w:r w:rsidR="00783F42" w:rsidRPr="00AD5378">
        <w:rPr>
          <w:rFonts w:cs="David"/>
          <w:rtl/>
        </w:rPr>
        <w:t>תחת שני חוזי התקשרות.</w:t>
      </w:r>
      <w:r w:rsidR="00CF6BBD" w:rsidRPr="00AD5378">
        <w:rPr>
          <w:rFonts w:cs="David"/>
        </w:rPr>
        <w:tab/>
      </w:r>
      <w:r w:rsidR="00503A08">
        <w:rPr>
          <w:rFonts w:cs="David"/>
          <w:rtl/>
        </w:rPr>
        <w:t xml:space="preserve"> </w:t>
      </w:r>
      <w:r w:rsidR="00CF6BBD" w:rsidRPr="00AD5378">
        <w:rPr>
          <w:rFonts w:cs="David"/>
          <w:rtl/>
        </w:rPr>
        <w:t>בתקופה שבין שנת 1970 ועד לשנת 1990 הועסק התובע תחת כתב מינוי</w:t>
      </w:r>
      <w:r w:rsidR="00783F42" w:rsidRPr="00AD5378">
        <w:rPr>
          <w:rFonts w:cs="David"/>
          <w:rtl/>
        </w:rPr>
        <w:t>,</w:t>
      </w:r>
      <w:r w:rsidR="00752891" w:rsidRPr="00AD5378">
        <w:rPr>
          <w:rFonts w:cs="David"/>
          <w:rtl/>
        </w:rPr>
        <w:t xml:space="preserve"> ו</w:t>
      </w:r>
      <w:r w:rsidR="00CF6BBD" w:rsidRPr="00AD5378">
        <w:rPr>
          <w:rFonts w:cs="David"/>
          <w:rtl/>
        </w:rPr>
        <w:t>החל משנת 1990</w:t>
      </w:r>
      <w:r w:rsidR="00752891" w:rsidRPr="00AD5378">
        <w:rPr>
          <w:rFonts w:cs="David"/>
          <w:rtl/>
        </w:rPr>
        <w:t xml:space="preserve"> </w:t>
      </w:r>
      <w:r w:rsidR="00CF6BBD" w:rsidRPr="00AD5378">
        <w:rPr>
          <w:rFonts w:cs="David"/>
          <w:rtl/>
        </w:rPr>
        <w:t xml:space="preserve">ועד לסיום עבודתו הכפוי של התובע בשנת 2012, </w:t>
      </w:r>
      <w:r w:rsidR="00CF6BBD" w:rsidRPr="00AD5378">
        <w:rPr>
          <w:rFonts w:cs="David"/>
          <w:b/>
          <w:bCs/>
          <w:rtl/>
        </w:rPr>
        <w:t>בחוזה אישי (</w:t>
      </w:r>
      <w:r w:rsidRPr="00AD5378">
        <w:rPr>
          <w:rFonts w:cs="David"/>
          <w:b/>
          <w:bCs/>
          <w:rtl/>
        </w:rPr>
        <w:t>חוזה בכירים</w:t>
      </w:r>
      <w:r w:rsidR="00CF6BBD" w:rsidRPr="00AD5378">
        <w:rPr>
          <w:rFonts w:cs="David"/>
          <w:b/>
          <w:bCs/>
          <w:rtl/>
        </w:rPr>
        <w:t>)</w:t>
      </w:r>
      <w:r w:rsidRPr="00AD5378">
        <w:rPr>
          <w:rFonts w:cs="David"/>
          <w:b/>
          <w:bCs/>
          <w:rtl/>
        </w:rPr>
        <w:t xml:space="preserve"> לתקו</w:t>
      </w:r>
      <w:r w:rsidR="000765DF" w:rsidRPr="00AD5378">
        <w:rPr>
          <w:rFonts w:cs="David"/>
          <w:b/>
          <w:bCs/>
          <w:rtl/>
        </w:rPr>
        <w:t>פה קצובה</w:t>
      </w:r>
      <w:r w:rsidR="00481166" w:rsidRPr="00AD5378">
        <w:rPr>
          <w:rFonts w:cs="David"/>
          <w:b/>
          <w:bCs/>
          <w:rtl/>
        </w:rPr>
        <w:t xml:space="preserve"> של 4 שנים</w:t>
      </w:r>
      <w:r w:rsidR="000765DF" w:rsidRPr="00AD5378">
        <w:rPr>
          <w:rFonts w:cs="David"/>
          <w:b/>
          <w:bCs/>
          <w:rtl/>
        </w:rPr>
        <w:t>,</w:t>
      </w:r>
      <w:r w:rsidR="000765DF" w:rsidRPr="00AD5378">
        <w:rPr>
          <w:rFonts w:cs="David"/>
          <w:rtl/>
        </w:rPr>
        <w:t xml:space="preserve"> שתוקפו התחדש מעת לעת לתקופה של ארבע שנים</w:t>
      </w:r>
      <w:r w:rsidR="00481166" w:rsidRPr="00AD5378">
        <w:rPr>
          <w:rFonts w:cs="David"/>
          <w:rtl/>
        </w:rPr>
        <w:t xml:space="preserve"> נוספות</w:t>
      </w:r>
      <w:r w:rsidR="000765DF" w:rsidRPr="00AD5378">
        <w:rPr>
          <w:rFonts w:cs="David"/>
          <w:rtl/>
        </w:rPr>
        <w:t>.</w:t>
      </w:r>
    </w:p>
    <w:p w:rsidR="0043225B" w:rsidRPr="00783F42" w:rsidRDefault="00A01A78" w:rsidP="000C57EA">
      <w:pPr>
        <w:pStyle w:val="12"/>
        <w:tabs>
          <w:tab w:val="left" w:pos="656"/>
          <w:tab w:val="left" w:pos="1160"/>
        </w:tabs>
        <w:spacing w:before="0" w:after="240" w:line="360" w:lineRule="auto"/>
        <w:ind w:left="674" w:firstLine="0"/>
      </w:pPr>
      <w:r>
        <w:rPr>
          <w:rtl/>
        </w:rPr>
        <w:t xml:space="preserve">בהתחשב במהותו של </w:t>
      </w:r>
      <w:r w:rsidR="00BD33F3" w:rsidRPr="00822B15">
        <w:rPr>
          <w:rtl/>
        </w:rPr>
        <w:t>חוזה הבכירים</w:t>
      </w:r>
      <w:r>
        <w:rPr>
          <w:rtl/>
        </w:rPr>
        <w:t>, כחוזה אישי, נקבע בחוזה</w:t>
      </w:r>
      <w:r w:rsidR="00BD33F3" w:rsidRPr="00822B15">
        <w:rPr>
          <w:rtl/>
        </w:rPr>
        <w:t xml:space="preserve"> שחוק</w:t>
      </w:r>
      <w:r w:rsidR="00BD33F3" w:rsidRPr="00783F42">
        <w:rPr>
          <w:rtl/>
        </w:rPr>
        <w:t xml:space="preserve"> שירות המדינה (גימלאות) [נוסח משולב], תש"ל – 1970 (להלן: "</w:t>
      </w:r>
      <w:r w:rsidR="00BD33F3" w:rsidRPr="00783F42">
        <w:rPr>
          <w:b/>
          <w:bCs/>
          <w:rtl/>
        </w:rPr>
        <w:t>חוק הגימלאות</w:t>
      </w:r>
      <w:r w:rsidR="00BD33F3" w:rsidRPr="00783F42">
        <w:rPr>
          <w:rtl/>
        </w:rPr>
        <w:t>") אינו חל על היחסים בין הצדדים</w:t>
      </w:r>
      <w:r w:rsidR="002104DA">
        <w:rPr>
          <w:rtl/>
        </w:rPr>
        <w:t xml:space="preserve"> (בעניין זה נרחיב בהמשך)</w:t>
      </w:r>
      <w:r w:rsidR="00FE68F2">
        <w:rPr>
          <w:rtl/>
        </w:rPr>
        <w:t>, אלא במידה שנקבעה בחוזה</w:t>
      </w:r>
      <w:r w:rsidR="00BD33F3" w:rsidRPr="00783F42">
        <w:rPr>
          <w:rtl/>
        </w:rPr>
        <w:t>.</w:t>
      </w:r>
      <w:r>
        <w:rPr>
          <w:rtl/>
        </w:rPr>
        <w:t xml:space="preserve"> </w:t>
      </w:r>
    </w:p>
    <w:p w:rsidR="000765DF" w:rsidRPr="00E8764E" w:rsidRDefault="000765DF" w:rsidP="00A82385">
      <w:pPr>
        <w:pStyle w:val="a8"/>
        <w:numPr>
          <w:ilvl w:val="0"/>
          <w:numId w:val="1"/>
        </w:numPr>
        <w:tabs>
          <w:tab w:val="left" w:pos="674"/>
        </w:tabs>
        <w:spacing w:after="240" w:line="360" w:lineRule="auto"/>
        <w:ind w:left="674" w:hanging="630"/>
      </w:pPr>
      <w:r w:rsidRPr="00C02D74">
        <w:rPr>
          <w:rFonts w:cs="David"/>
          <w:rtl/>
        </w:rPr>
        <w:lastRenderedPageBreak/>
        <w:t>תוקפו של חוזה העבודה האחרון של המערער</w:t>
      </w:r>
      <w:r w:rsidR="00481166" w:rsidRPr="00C02D74">
        <w:rPr>
          <w:rFonts w:cs="David"/>
          <w:rtl/>
        </w:rPr>
        <w:t xml:space="preserve"> הוארך</w:t>
      </w:r>
      <w:r w:rsidR="00822B15" w:rsidRPr="00C02D74">
        <w:rPr>
          <w:rFonts w:cs="David"/>
          <w:rtl/>
        </w:rPr>
        <w:t xml:space="preserve"> ביום </w:t>
      </w:r>
      <w:r w:rsidR="00481166" w:rsidRPr="00C02D74">
        <w:rPr>
          <w:rFonts w:cs="David"/>
          <w:rtl/>
        </w:rPr>
        <w:t xml:space="preserve">1.4.2010 </w:t>
      </w:r>
      <w:r w:rsidR="00752891" w:rsidRPr="00C02D74">
        <w:rPr>
          <w:rFonts w:cs="David"/>
          <w:b/>
          <w:bCs/>
          <w:rtl/>
        </w:rPr>
        <w:t>ו</w:t>
      </w:r>
      <w:r w:rsidR="00481166" w:rsidRPr="00C02D74">
        <w:rPr>
          <w:rFonts w:cs="David"/>
          <w:b/>
          <w:bCs/>
          <w:rtl/>
        </w:rPr>
        <w:t xml:space="preserve">היה אמור </w:t>
      </w:r>
      <w:r w:rsidRPr="00C02D74">
        <w:rPr>
          <w:rFonts w:cs="David"/>
          <w:b/>
          <w:bCs/>
          <w:rtl/>
        </w:rPr>
        <w:t>להסתיים ביום 31.3.2014</w:t>
      </w:r>
      <w:r w:rsidRPr="00C02D74">
        <w:rPr>
          <w:rFonts w:cs="David"/>
          <w:rtl/>
        </w:rPr>
        <w:t>. ל</w:t>
      </w:r>
      <w:r w:rsidR="0079151F" w:rsidRPr="00C02D74">
        <w:rPr>
          <w:rFonts w:cs="David"/>
          <w:rtl/>
        </w:rPr>
        <w:t>מרות זאת, בניגוד להוראות החוזה, בחודש יולי 2012 נכתב למערער כי ה</w:t>
      </w:r>
      <w:r w:rsidR="00FC5512">
        <w:rPr>
          <w:rFonts w:cs="David"/>
          <w:rtl/>
        </w:rPr>
        <w:t xml:space="preserve">עסקתו תסיים בסוף חודש יולי 2012, </w:t>
      </w:r>
      <w:r w:rsidRPr="00C02D74">
        <w:rPr>
          <w:rFonts w:cs="David"/>
          <w:rtl/>
        </w:rPr>
        <w:t>לטענת ה</w:t>
      </w:r>
      <w:r w:rsidR="00E8764E" w:rsidRPr="00C02D74">
        <w:rPr>
          <w:rFonts w:cs="David"/>
          <w:rtl/>
        </w:rPr>
        <w:t>משיבות</w:t>
      </w:r>
      <w:r w:rsidRPr="00C02D74">
        <w:rPr>
          <w:rFonts w:cs="David"/>
          <w:rtl/>
        </w:rPr>
        <w:t xml:space="preserve"> – בשל הגיעו לגיל פרישה. </w:t>
      </w:r>
      <w:r w:rsidR="0079151F" w:rsidRPr="00C02D74">
        <w:rPr>
          <w:rFonts w:cs="David"/>
          <w:rtl/>
        </w:rPr>
        <w:t>המערער הגיב מיידית והודיע כי על פי החוזה העסקתו תסיים רק ביום 31.3.201</w:t>
      </w:r>
      <w:r w:rsidR="00A82385" w:rsidRPr="00A82385">
        <w:rPr>
          <w:rFonts w:cs="David"/>
          <w:highlight w:val="cyan"/>
          <w:rtl/>
        </w:rPr>
        <w:t>4</w:t>
      </w:r>
      <w:r w:rsidR="0079151F" w:rsidRPr="00C02D74">
        <w:rPr>
          <w:rFonts w:cs="David"/>
          <w:rtl/>
        </w:rPr>
        <w:t>, והמשיך להגיע לעבודתו.</w:t>
      </w:r>
    </w:p>
    <w:p w:rsidR="00A01A78" w:rsidRPr="00BA4FC6" w:rsidRDefault="00FE4943" w:rsidP="00BA4FC6">
      <w:pPr>
        <w:pStyle w:val="a8"/>
        <w:numPr>
          <w:ilvl w:val="0"/>
          <w:numId w:val="1"/>
        </w:numPr>
        <w:tabs>
          <w:tab w:val="left" w:pos="674"/>
        </w:tabs>
        <w:spacing w:after="240" w:line="360" w:lineRule="auto"/>
        <w:ind w:left="674" w:hanging="630"/>
        <w:rPr>
          <w:rtl/>
        </w:rPr>
      </w:pPr>
      <w:r w:rsidRPr="00BA4FC6">
        <w:rPr>
          <w:rFonts w:cs="David"/>
          <w:rtl/>
        </w:rPr>
        <w:t>ביום 5.8.2012</w:t>
      </w:r>
      <w:r w:rsidR="00A01A78" w:rsidRPr="00BA4FC6">
        <w:rPr>
          <w:rFonts w:cs="David"/>
          <w:rtl/>
        </w:rPr>
        <w:t xml:space="preserve">, </w:t>
      </w:r>
      <w:r w:rsidR="000765DF" w:rsidRPr="00BA4FC6">
        <w:rPr>
          <w:rFonts w:cs="David"/>
          <w:rtl/>
        </w:rPr>
        <w:t xml:space="preserve">כפי שנוסיף ונפרט להלן, </w:t>
      </w:r>
      <w:r w:rsidR="00FE68F2" w:rsidRPr="00BA4FC6">
        <w:rPr>
          <w:rFonts w:cs="David"/>
          <w:rtl/>
        </w:rPr>
        <w:t xml:space="preserve">הודיע סמנכ"לית משרד האוצר למערער כי הוא נדרש להפסיק להגיע למקום עבודתו, ובו ביום </w:t>
      </w:r>
      <w:r w:rsidR="00A01A78" w:rsidRPr="00BA4FC6">
        <w:rPr>
          <w:rFonts w:cs="David"/>
          <w:rtl/>
        </w:rPr>
        <w:t xml:space="preserve">קיבל המערער הודעה מהחשבת הכללית, </w:t>
      </w:r>
      <w:r w:rsidR="00A01A78" w:rsidRPr="00BA4FC6">
        <w:rPr>
          <w:rFonts w:cs="David"/>
          <w:b/>
          <w:bCs/>
          <w:rtl/>
        </w:rPr>
        <w:t>שאינה מוסמכת להחליט על הפסקת עבודתו,</w:t>
      </w:r>
      <w:r w:rsidR="00A01A78" w:rsidRPr="00BA4FC6">
        <w:rPr>
          <w:rFonts w:cs="David"/>
          <w:rtl/>
        </w:rPr>
        <w:t xml:space="preserve"> </w:t>
      </w:r>
      <w:r w:rsidR="007A1B1C" w:rsidRPr="00BA4FC6">
        <w:rPr>
          <w:rFonts w:cs="David"/>
          <w:rtl/>
        </w:rPr>
        <w:t>על הפקעת סמכויותיו</w:t>
      </w:r>
      <w:r w:rsidR="00A01A78" w:rsidRPr="00BA4FC6">
        <w:rPr>
          <w:rFonts w:cs="David"/>
          <w:rtl/>
        </w:rPr>
        <w:t>. באותה עת המערער עדיין לא הופרש לגימלאות ולא נמסרה לו החלטה של נציב שירות המדינה – ה</w:t>
      </w:r>
      <w:r w:rsidR="00503A08" w:rsidRPr="00BA4FC6">
        <w:rPr>
          <w:rFonts w:cs="David"/>
          <w:rtl/>
        </w:rPr>
        <w:t>גורם ה</w:t>
      </w:r>
      <w:r w:rsidR="00A01A78" w:rsidRPr="00BA4FC6">
        <w:rPr>
          <w:rFonts w:cs="David"/>
          <w:rtl/>
        </w:rPr>
        <w:t xml:space="preserve">מוסמך </w:t>
      </w:r>
      <w:r w:rsidR="00503A08" w:rsidRPr="00BA4FC6">
        <w:rPr>
          <w:rFonts w:cs="David"/>
          <w:rtl/>
        </w:rPr>
        <w:t xml:space="preserve">היחידי </w:t>
      </w:r>
      <w:r w:rsidR="00A01A78" w:rsidRPr="00BA4FC6">
        <w:rPr>
          <w:rFonts w:cs="David"/>
          <w:rtl/>
        </w:rPr>
        <w:t>לסיים את תוקפו של חוזה העבודה – על הפסקת עבודתו.</w:t>
      </w:r>
    </w:p>
    <w:p w:rsidR="008D4BFC" w:rsidRDefault="008D4BFC" w:rsidP="00E8764E">
      <w:pPr>
        <w:pStyle w:val="a8"/>
        <w:tabs>
          <w:tab w:val="left" w:pos="674"/>
        </w:tabs>
        <w:spacing w:after="240" w:line="360" w:lineRule="auto"/>
        <w:ind w:left="675"/>
        <w:rPr>
          <w:rFonts w:cs="David"/>
          <w:rtl/>
        </w:rPr>
      </w:pPr>
      <w:r w:rsidRPr="00164CDC">
        <w:rPr>
          <w:rFonts w:cs="David"/>
          <w:rtl/>
        </w:rPr>
        <w:t xml:space="preserve">רק </w:t>
      </w:r>
      <w:r w:rsidRPr="00164CDC">
        <w:rPr>
          <w:rFonts w:cs="David"/>
          <w:b/>
          <w:bCs/>
          <w:rtl/>
        </w:rPr>
        <w:t>בחודש דצמבר 2012</w:t>
      </w:r>
      <w:r w:rsidRPr="00164CDC">
        <w:rPr>
          <w:rFonts w:cs="David"/>
          <w:rtl/>
        </w:rPr>
        <w:t xml:space="preserve"> קיבל המערער </w:t>
      </w:r>
      <w:r w:rsidR="008B4055">
        <w:rPr>
          <w:rFonts w:cs="David"/>
          <w:rtl/>
        </w:rPr>
        <w:t xml:space="preserve">הודעה מנציבות שירות המדינה על </w:t>
      </w:r>
      <w:r w:rsidR="00177169" w:rsidRPr="00177169">
        <w:rPr>
          <w:rFonts w:cs="David"/>
          <w:rtl/>
        </w:rPr>
        <w:t>החלטת</w:t>
      </w:r>
      <w:r w:rsidRPr="00745FA4">
        <w:rPr>
          <w:rFonts w:cs="David"/>
          <w:rtl/>
        </w:rPr>
        <w:t xml:space="preserve"> </w:t>
      </w:r>
      <w:r w:rsidRPr="00164CDC">
        <w:rPr>
          <w:rFonts w:cs="David"/>
          <w:rtl/>
        </w:rPr>
        <w:t>נציב שרות המדינה (להלן: "</w:t>
      </w:r>
      <w:r w:rsidRPr="00164CDC">
        <w:rPr>
          <w:rFonts w:cs="David"/>
          <w:b/>
          <w:bCs/>
          <w:rtl/>
        </w:rPr>
        <w:t>החלטת נציב שירות המדינה</w:t>
      </w:r>
      <w:r w:rsidRPr="00164CDC">
        <w:rPr>
          <w:rFonts w:cs="David"/>
          <w:rtl/>
        </w:rPr>
        <w:t>") להביא לסיום העסקתו</w:t>
      </w:r>
      <w:r w:rsidR="00E8764E">
        <w:rPr>
          <w:rFonts w:cs="David"/>
          <w:rtl/>
        </w:rPr>
        <w:t xml:space="preserve"> (הודעה שניתנה בניגוד לחוזה ובניגוד להוראות הדין)</w:t>
      </w:r>
      <w:r w:rsidR="00503A08">
        <w:rPr>
          <w:rFonts w:cs="David"/>
          <w:rtl/>
        </w:rPr>
        <w:t xml:space="preserve">, </w:t>
      </w:r>
      <w:r w:rsidRPr="00177169">
        <w:rPr>
          <w:rFonts w:cs="David"/>
          <w:rtl/>
        </w:rPr>
        <w:t xml:space="preserve">ובעקבותיה את החלטת הממונה על הגימלאות על </w:t>
      </w:r>
      <w:r w:rsidRPr="00745FA4">
        <w:rPr>
          <w:rFonts w:cs="David"/>
          <w:rtl/>
        </w:rPr>
        <w:t xml:space="preserve">אישור הגימלה, ועל שיטת חישוב הגמלה. </w:t>
      </w:r>
      <w:r w:rsidR="00A105BE">
        <w:rPr>
          <w:rFonts w:cs="David"/>
          <w:rtl/>
        </w:rPr>
        <w:t xml:space="preserve">כאשר </w:t>
      </w:r>
      <w:r w:rsidR="00E8764E">
        <w:rPr>
          <w:rFonts w:cs="David"/>
          <w:rtl/>
        </w:rPr>
        <w:t>רק בחודש ינואר 2013 נודע למערער</w:t>
      </w:r>
      <w:r w:rsidRPr="00177169">
        <w:rPr>
          <w:rFonts w:cs="David"/>
          <w:rtl/>
        </w:rPr>
        <w:t xml:space="preserve"> לראשונה על גובה הגמלה שתשולם</w:t>
      </w:r>
      <w:r w:rsidRPr="00745FA4">
        <w:rPr>
          <w:rFonts w:cs="David"/>
          <w:rtl/>
        </w:rPr>
        <w:t xml:space="preserve"> לו (בחלקה רטרואקטיבית).</w:t>
      </w:r>
      <w:r w:rsidRPr="00AD5378">
        <w:rPr>
          <w:rFonts w:cs="David"/>
          <w:rtl/>
        </w:rPr>
        <w:t xml:space="preserve"> </w:t>
      </w:r>
    </w:p>
    <w:p w:rsidR="00BD33F3" w:rsidRPr="00E8764E" w:rsidRDefault="007A1B1C" w:rsidP="00E8764E">
      <w:pPr>
        <w:pStyle w:val="a8"/>
        <w:numPr>
          <w:ilvl w:val="0"/>
          <w:numId w:val="1"/>
        </w:numPr>
        <w:tabs>
          <w:tab w:val="left" w:pos="674"/>
        </w:tabs>
        <w:spacing w:after="240" w:line="360" w:lineRule="auto"/>
        <w:ind w:left="674" w:hanging="630"/>
      </w:pPr>
      <w:r w:rsidRPr="00E8764E">
        <w:rPr>
          <w:rFonts w:cs="David"/>
          <w:b/>
          <w:bCs/>
          <w:rtl/>
        </w:rPr>
        <w:t xml:space="preserve">מירוץ ההתיישנות להגשת התביעה מתחיל, אם כן, מהמועד בו קיבל המערער את הודעת הגורם המוסמך </w:t>
      </w:r>
      <w:r w:rsidR="00FE4943" w:rsidRPr="00E8764E">
        <w:rPr>
          <w:rFonts w:cs="David"/>
          <w:b/>
          <w:bCs/>
          <w:rtl/>
        </w:rPr>
        <w:t>היחיד</w:t>
      </w:r>
      <w:r w:rsidR="00A105BE" w:rsidRPr="00E8764E">
        <w:rPr>
          <w:rFonts w:cs="David"/>
          <w:b/>
          <w:bCs/>
          <w:rtl/>
        </w:rPr>
        <w:t xml:space="preserve"> להפסקת עבודתו - </w:t>
      </w:r>
      <w:r w:rsidRPr="00E8764E">
        <w:rPr>
          <w:rFonts w:cs="David"/>
          <w:b/>
          <w:bCs/>
          <w:rtl/>
        </w:rPr>
        <w:t>נציב שירות המדינה. קרי – חודש דצמבר 2012.</w:t>
      </w:r>
      <w:r w:rsidRPr="00E8764E">
        <w:rPr>
          <w:rFonts w:cs="David"/>
          <w:rtl/>
        </w:rPr>
        <w:t xml:space="preserve"> </w:t>
      </w:r>
      <w:r w:rsidR="0019517D" w:rsidRPr="00E8764E">
        <w:rPr>
          <w:rFonts w:cs="David"/>
          <w:rtl/>
        </w:rPr>
        <w:t xml:space="preserve">כזכור, התביעה הוגשה </w:t>
      </w:r>
      <w:r w:rsidR="0019517D" w:rsidRPr="00E8764E">
        <w:rPr>
          <w:rFonts w:cs="David"/>
          <w:b/>
          <w:bCs/>
          <w:rtl/>
        </w:rPr>
        <w:t>בחודש אוקטובר 2019,</w:t>
      </w:r>
      <w:r w:rsidR="0019517D" w:rsidRPr="00E8764E">
        <w:rPr>
          <w:rFonts w:cs="David"/>
          <w:rtl/>
        </w:rPr>
        <w:t xml:space="preserve"> פחות משבע שנים מהמועד בו קיבל </w:t>
      </w:r>
      <w:r w:rsidR="008D4BFC" w:rsidRPr="00E8764E">
        <w:rPr>
          <w:rFonts w:cs="David"/>
          <w:rtl/>
        </w:rPr>
        <w:t xml:space="preserve">המערער </w:t>
      </w:r>
      <w:r w:rsidR="0019517D" w:rsidRPr="00E8764E">
        <w:rPr>
          <w:rFonts w:cs="David"/>
          <w:rtl/>
        </w:rPr>
        <w:t xml:space="preserve">את החלטת </w:t>
      </w:r>
      <w:r w:rsidRPr="00E8764E">
        <w:rPr>
          <w:rFonts w:cs="David"/>
          <w:rtl/>
        </w:rPr>
        <w:t>נציב שירות המדינה</w:t>
      </w:r>
      <w:r w:rsidR="00E8764E">
        <w:rPr>
          <w:rFonts w:cs="David"/>
          <w:rtl/>
        </w:rPr>
        <w:t>, שהוא הגורם המוסמך היחידי להפסקת העסקתו</w:t>
      </w:r>
      <w:r w:rsidR="0019517D" w:rsidRPr="00E8764E">
        <w:rPr>
          <w:rFonts w:cs="David"/>
          <w:rtl/>
        </w:rPr>
        <w:t xml:space="preserve">. </w:t>
      </w:r>
    </w:p>
    <w:p w:rsidR="00C02D74" w:rsidRDefault="0087039B" w:rsidP="00A105BE">
      <w:pPr>
        <w:pStyle w:val="a8"/>
        <w:numPr>
          <w:ilvl w:val="0"/>
          <w:numId w:val="1"/>
        </w:numPr>
        <w:tabs>
          <w:tab w:val="left" w:pos="674"/>
        </w:tabs>
        <w:spacing w:after="240" w:line="360" w:lineRule="auto"/>
        <w:ind w:left="674" w:hanging="630"/>
        <w:rPr>
          <w:rFonts w:cs="David"/>
        </w:rPr>
      </w:pPr>
      <w:r w:rsidRPr="001D586F">
        <w:rPr>
          <w:rFonts w:cs="David"/>
          <w:rtl/>
        </w:rPr>
        <w:t xml:space="preserve">נקדים ונבהיר כי </w:t>
      </w:r>
      <w:r w:rsidR="00BD33F3" w:rsidRPr="001D586F">
        <w:rPr>
          <w:rFonts w:cs="David"/>
          <w:rtl/>
        </w:rPr>
        <w:t xml:space="preserve">המערער </w:t>
      </w:r>
      <w:r w:rsidRPr="001D586F">
        <w:rPr>
          <w:rFonts w:cs="David"/>
          <w:rtl/>
        </w:rPr>
        <w:t xml:space="preserve">ביקש להימנע מהגשת תביעה נגד המקום בו עבד למעלה מארבעים ושתיים שנים, וגם קיבל מסר ברור </w:t>
      </w:r>
      <w:r w:rsidR="00A105BE">
        <w:rPr>
          <w:rFonts w:cs="David"/>
          <w:rtl/>
        </w:rPr>
        <w:t xml:space="preserve">שלא להגיש תביעה, אלא לפנות לגורמים המוסמכים, וכך עשה. </w:t>
      </w:r>
    </w:p>
    <w:p w:rsidR="00C41E20" w:rsidRPr="001D586F" w:rsidRDefault="00BD33F3" w:rsidP="00C02D74">
      <w:pPr>
        <w:pStyle w:val="a8"/>
        <w:tabs>
          <w:tab w:val="left" w:pos="674"/>
        </w:tabs>
        <w:spacing w:after="240" w:line="360" w:lineRule="auto"/>
        <w:ind w:left="674"/>
        <w:rPr>
          <w:rFonts w:cs="David"/>
        </w:rPr>
      </w:pPr>
      <w:r w:rsidRPr="001D586F">
        <w:rPr>
          <w:rFonts w:cs="David"/>
          <w:rtl/>
        </w:rPr>
        <w:t xml:space="preserve">במשך מספר שנים השתהו המשיבות, או מי מהן, במתן תשובות לפניותיו, ונמנעו מהתייחסות עניינית לבקשותיו. </w:t>
      </w:r>
      <w:r w:rsidR="005D71AF" w:rsidRPr="001D586F">
        <w:rPr>
          <w:rFonts w:cs="David"/>
          <w:rtl/>
        </w:rPr>
        <w:t>פעמים רבות נאמר ונכתב</w:t>
      </w:r>
      <w:r w:rsidR="00752891" w:rsidRPr="001D586F">
        <w:rPr>
          <w:rFonts w:cs="David"/>
          <w:rtl/>
        </w:rPr>
        <w:t xml:space="preserve"> ל</w:t>
      </w:r>
      <w:r w:rsidR="00481166" w:rsidRPr="001D586F">
        <w:rPr>
          <w:rFonts w:cs="David"/>
          <w:rtl/>
        </w:rPr>
        <w:t>תובע שטיעוניו נבדקים וכי עליו להמתין</w:t>
      </w:r>
      <w:r w:rsidR="00E8764E">
        <w:rPr>
          <w:rFonts w:cs="David"/>
          <w:rtl/>
        </w:rPr>
        <w:t xml:space="preserve"> עד לסיום ברור הנושא ע"י המשיבות</w:t>
      </w:r>
      <w:r w:rsidR="00426F7E" w:rsidRPr="001D586F">
        <w:rPr>
          <w:rFonts w:cs="David"/>
          <w:rtl/>
        </w:rPr>
        <w:t>.</w:t>
      </w:r>
    </w:p>
    <w:p w:rsidR="00BD33F3" w:rsidRDefault="00BD33F3" w:rsidP="00E8764E">
      <w:pPr>
        <w:pStyle w:val="a8"/>
        <w:tabs>
          <w:tab w:val="left" w:pos="674"/>
        </w:tabs>
        <w:spacing w:after="240" w:line="360" w:lineRule="auto"/>
        <w:ind w:left="674"/>
        <w:rPr>
          <w:rFonts w:cs="David"/>
        </w:rPr>
      </w:pPr>
      <w:r w:rsidRPr="00985B99">
        <w:rPr>
          <w:rFonts w:cs="David"/>
          <w:rtl/>
        </w:rPr>
        <w:t xml:space="preserve">לבסוף, </w:t>
      </w:r>
      <w:r w:rsidRPr="00AD5378">
        <w:rPr>
          <w:rFonts w:cs="David"/>
          <w:b/>
          <w:bCs/>
          <w:rtl/>
        </w:rPr>
        <w:t>רק בחודש יוני 2018</w:t>
      </w:r>
      <w:r w:rsidR="00A105BE">
        <w:rPr>
          <w:rFonts w:cs="David"/>
          <w:b/>
          <w:bCs/>
          <w:rtl/>
        </w:rPr>
        <w:t>, בעקבות תלונה שהגיש על התנהלות המשיבות,</w:t>
      </w:r>
      <w:r w:rsidRPr="00985B99">
        <w:rPr>
          <w:rFonts w:cs="David"/>
          <w:rtl/>
        </w:rPr>
        <w:t xml:space="preserve"> קיבל </w:t>
      </w:r>
      <w:r>
        <w:rPr>
          <w:rFonts w:cs="David"/>
          <w:rtl/>
        </w:rPr>
        <w:t xml:space="preserve">המערער תשובה </w:t>
      </w:r>
      <w:r w:rsidR="00A105BE">
        <w:rPr>
          <w:rFonts w:cs="David"/>
          <w:rtl/>
        </w:rPr>
        <w:t xml:space="preserve">של נציב תלונות הציבור, </w:t>
      </w:r>
      <w:r w:rsidRPr="00BD33F3">
        <w:rPr>
          <w:rFonts w:cs="David"/>
          <w:b/>
          <w:bCs/>
          <w:rtl/>
        </w:rPr>
        <w:t>תשובה שנחתמה בהתנצלות על העיכו</w:t>
      </w:r>
      <w:r>
        <w:rPr>
          <w:rFonts w:cs="David"/>
          <w:b/>
          <w:bCs/>
          <w:rtl/>
        </w:rPr>
        <w:t>ב הממושך בטיפול בפנייתו של המערער</w:t>
      </w:r>
      <w:r>
        <w:rPr>
          <w:rFonts w:cs="David"/>
          <w:rtl/>
        </w:rPr>
        <w:t>.</w:t>
      </w:r>
      <w:r w:rsidR="00FE68F2">
        <w:rPr>
          <w:rFonts w:cs="David"/>
          <w:rtl/>
        </w:rPr>
        <w:t xml:space="preserve"> חשוב לציין כי גם כאשר פנה נציב תלונות הציבור למשיבות, ענו לו המשיבות כי ה</w:t>
      </w:r>
      <w:r w:rsidR="00E8764E">
        <w:rPr>
          <w:rFonts w:cs="David"/>
          <w:rtl/>
        </w:rPr>
        <w:t>ן בודקות</w:t>
      </w:r>
      <w:r w:rsidR="00FE68F2">
        <w:rPr>
          <w:rFonts w:cs="David"/>
          <w:rtl/>
        </w:rPr>
        <w:t xml:space="preserve"> את הנושא.</w:t>
      </w:r>
    </w:p>
    <w:p w:rsidR="0043225B" w:rsidRDefault="0019517D" w:rsidP="00E8764E">
      <w:pPr>
        <w:pStyle w:val="a8"/>
        <w:numPr>
          <w:ilvl w:val="0"/>
          <w:numId w:val="1"/>
        </w:numPr>
        <w:tabs>
          <w:tab w:val="left" w:pos="674"/>
        </w:tabs>
        <w:spacing w:after="240" w:line="360" w:lineRule="auto"/>
        <w:ind w:left="674" w:hanging="630"/>
        <w:rPr>
          <w:rFonts w:cs="David"/>
        </w:rPr>
      </w:pPr>
      <w:r>
        <w:rPr>
          <w:rFonts w:cs="David"/>
          <w:rtl/>
        </w:rPr>
        <w:t xml:space="preserve">כאמור לעיל, </w:t>
      </w:r>
      <w:r w:rsidR="00BD33F3">
        <w:rPr>
          <w:rFonts w:cs="David"/>
          <w:rtl/>
        </w:rPr>
        <w:t>ב</w:t>
      </w:r>
      <w:r w:rsidR="00A105BE">
        <w:rPr>
          <w:rFonts w:cs="David"/>
          <w:rtl/>
        </w:rPr>
        <w:t>יום 3.10.</w:t>
      </w:r>
      <w:r w:rsidR="00BD33F3">
        <w:rPr>
          <w:rFonts w:cs="David"/>
          <w:rtl/>
        </w:rPr>
        <w:t xml:space="preserve">2019, פחות משבע שנים לאחר שהמערער הופרש לגמלאות בהחלטה של </w:t>
      </w:r>
      <w:r w:rsidR="0087039B">
        <w:rPr>
          <w:rFonts w:cs="David"/>
          <w:rtl/>
        </w:rPr>
        <w:t>נציב שירות המדינה ואישור הגימלאות על ידי הממונה</w:t>
      </w:r>
      <w:r w:rsidR="00E8764E">
        <w:rPr>
          <w:rFonts w:cs="David"/>
          <w:rtl/>
        </w:rPr>
        <w:t xml:space="preserve"> (החלטה שניתנה בניגוד לדי</w:t>
      </w:r>
      <w:r w:rsidR="000A5CEB">
        <w:rPr>
          <w:rFonts w:cs="David"/>
          <w:rtl/>
        </w:rPr>
        <w:t>ן</w:t>
      </w:r>
      <w:r w:rsidR="00E8764E">
        <w:rPr>
          <w:rFonts w:cs="David"/>
          <w:rtl/>
        </w:rPr>
        <w:t>)</w:t>
      </w:r>
      <w:r w:rsidR="00BD33F3">
        <w:rPr>
          <w:rFonts w:cs="David"/>
          <w:rtl/>
        </w:rPr>
        <w:t xml:space="preserve">, ולאחר שהבין כי לא נותרה לו ברירה אחרת, מלבד פנייה לבית הדין, </w:t>
      </w:r>
      <w:r w:rsidR="00FD7E47" w:rsidRPr="000765DF">
        <w:rPr>
          <w:rFonts w:cs="David"/>
          <w:rtl/>
        </w:rPr>
        <w:t xml:space="preserve">הגיש </w:t>
      </w:r>
      <w:r w:rsidR="00BD33F3">
        <w:rPr>
          <w:rFonts w:cs="David"/>
          <w:rtl/>
        </w:rPr>
        <w:t xml:space="preserve">המערער </w:t>
      </w:r>
      <w:r w:rsidR="00FD7E47" w:rsidRPr="000765DF">
        <w:rPr>
          <w:rFonts w:cs="David"/>
          <w:rtl/>
        </w:rPr>
        <w:t>לבית הדין קמא תביעה בשלושה ראשים עיקריים</w:t>
      </w:r>
      <w:r w:rsidR="0043225B" w:rsidRPr="000765DF">
        <w:rPr>
          <w:rFonts w:cs="David"/>
          <w:rtl/>
        </w:rPr>
        <w:t xml:space="preserve">, אשר את שלושתם דחה או מחק בית הדין קמא, בכל הכבוד – </w:t>
      </w:r>
      <w:r w:rsidR="00E8764E">
        <w:rPr>
          <w:rFonts w:cs="David"/>
          <w:rtl/>
        </w:rPr>
        <w:t>בטעות</w:t>
      </w:r>
      <w:r w:rsidR="0043225B" w:rsidRPr="000765DF">
        <w:rPr>
          <w:rFonts w:cs="David"/>
          <w:rtl/>
        </w:rPr>
        <w:t>, כפי שנפרט להלן:</w:t>
      </w:r>
    </w:p>
    <w:p w:rsidR="00C02D74" w:rsidRDefault="00C02D74" w:rsidP="00C02D74">
      <w:pPr>
        <w:pStyle w:val="a8"/>
        <w:tabs>
          <w:tab w:val="left" w:pos="674"/>
        </w:tabs>
        <w:spacing w:after="240" w:line="360" w:lineRule="auto"/>
        <w:ind w:left="674"/>
        <w:rPr>
          <w:rFonts w:cs="David"/>
        </w:rPr>
      </w:pPr>
    </w:p>
    <w:p w:rsidR="002A1C7D" w:rsidRPr="00AD5378" w:rsidRDefault="002A1C7D" w:rsidP="00AD5378">
      <w:pPr>
        <w:pStyle w:val="a8"/>
        <w:numPr>
          <w:ilvl w:val="1"/>
          <w:numId w:val="1"/>
        </w:numPr>
        <w:tabs>
          <w:tab w:val="left" w:pos="1394"/>
        </w:tabs>
        <w:spacing w:after="120" w:line="360" w:lineRule="auto"/>
        <w:ind w:left="1394" w:hanging="630"/>
        <w:rPr>
          <w:rFonts w:cs="David"/>
        </w:rPr>
      </w:pPr>
      <w:r w:rsidRPr="00AD5378">
        <w:rPr>
          <w:rFonts w:cs="David"/>
          <w:u w:val="single"/>
          <w:rtl/>
        </w:rPr>
        <w:lastRenderedPageBreak/>
        <w:t>השלמת התקופה הקצובה בחוזה העבודה</w:t>
      </w:r>
      <w:r w:rsidRPr="00AD5378">
        <w:rPr>
          <w:rFonts w:cs="David"/>
          <w:rtl/>
        </w:rPr>
        <w:t xml:space="preserve"> – </w:t>
      </w:r>
    </w:p>
    <w:p w:rsidR="005D71AF" w:rsidRDefault="002A1C7D" w:rsidP="00AD5378">
      <w:pPr>
        <w:pStyle w:val="a8"/>
        <w:tabs>
          <w:tab w:val="left" w:pos="1394"/>
        </w:tabs>
        <w:spacing w:after="240" w:line="360" w:lineRule="auto"/>
        <w:ind w:left="1394"/>
        <w:rPr>
          <w:rFonts w:cs="David"/>
          <w:rtl/>
        </w:rPr>
      </w:pPr>
      <w:r w:rsidRPr="00AD5378">
        <w:rPr>
          <w:rFonts w:cs="David"/>
          <w:rtl/>
        </w:rPr>
        <w:t>המערער הגיש תביעה בעניין זכותו לעבוד עד תום תקופת החוזה עליו חתם, שהוא חוזה לתקופה קצובה, שתוקפו הוארך מעת לעת. המדינה הפסיקה חד-צדדית את תוקפו לאחר שהמערער הגיע לגיל פרישה</w:t>
      </w:r>
      <w:r w:rsidR="005D71AF">
        <w:rPr>
          <w:rFonts w:cs="David"/>
          <w:rtl/>
        </w:rPr>
        <w:t>, בניגוד לדרך הקבועה בחוזה</w:t>
      </w:r>
      <w:r w:rsidRPr="00AD5378">
        <w:rPr>
          <w:rFonts w:cs="David"/>
          <w:rtl/>
        </w:rPr>
        <w:t xml:space="preserve">. </w:t>
      </w:r>
    </w:p>
    <w:p w:rsidR="002A1C7D" w:rsidRPr="00AD5378" w:rsidRDefault="005D71AF" w:rsidP="00BA4FC6">
      <w:pPr>
        <w:pStyle w:val="a8"/>
        <w:tabs>
          <w:tab w:val="left" w:pos="1394"/>
        </w:tabs>
        <w:spacing w:after="240" w:line="360" w:lineRule="auto"/>
        <w:ind w:left="1394"/>
        <w:rPr>
          <w:rFonts w:cs="David"/>
          <w:rtl/>
        </w:rPr>
      </w:pPr>
      <w:r>
        <w:rPr>
          <w:rFonts w:cs="David"/>
          <w:rtl/>
        </w:rPr>
        <w:t>משמעות ה</w:t>
      </w:r>
      <w:r w:rsidR="002A1C7D" w:rsidRPr="00AD5378">
        <w:rPr>
          <w:rFonts w:cs="David"/>
          <w:rtl/>
        </w:rPr>
        <w:t xml:space="preserve">זכות </w:t>
      </w:r>
      <w:r>
        <w:rPr>
          <w:rFonts w:cs="David"/>
          <w:rtl/>
        </w:rPr>
        <w:t>להשלים את תקופת החוזה היא תשלום</w:t>
      </w:r>
      <w:r w:rsidR="002A1C7D" w:rsidRPr="00AD5378">
        <w:rPr>
          <w:rFonts w:cs="David"/>
          <w:rtl/>
        </w:rPr>
        <w:t xml:space="preserve"> שכר וזכויות שונות</w:t>
      </w:r>
      <w:r>
        <w:rPr>
          <w:rFonts w:cs="David"/>
          <w:rtl/>
        </w:rPr>
        <w:t xml:space="preserve">, </w:t>
      </w:r>
      <w:r w:rsidRPr="00EE5402">
        <w:rPr>
          <w:rFonts w:cs="David"/>
          <w:rtl/>
        </w:rPr>
        <w:t>אותם תבע המערער</w:t>
      </w:r>
      <w:r w:rsidR="002A1C7D" w:rsidRPr="00EE5402">
        <w:rPr>
          <w:rFonts w:cs="David"/>
          <w:rtl/>
        </w:rPr>
        <w:t>. המערער הצביע, בין היתר, על כך שהחוזה הוארך לארבע שנים</w:t>
      </w:r>
      <w:r w:rsidR="00426F7E" w:rsidRPr="00EE5402">
        <w:rPr>
          <w:rFonts w:cs="David"/>
          <w:rtl/>
        </w:rPr>
        <w:t xml:space="preserve"> מלאות</w:t>
      </w:r>
      <w:r w:rsidRPr="00AD5378">
        <w:rPr>
          <w:rFonts w:cs="David"/>
          <w:rtl/>
        </w:rPr>
        <w:t xml:space="preserve"> (</w:t>
      </w:r>
      <w:r w:rsidR="00426F7E" w:rsidRPr="00AD5378">
        <w:rPr>
          <w:rFonts w:cs="David"/>
          <w:rtl/>
        </w:rPr>
        <w:t xml:space="preserve">דהיינו </w:t>
      </w:r>
      <w:r w:rsidRPr="00AD5378">
        <w:rPr>
          <w:rFonts w:cs="David"/>
          <w:rtl/>
        </w:rPr>
        <w:t xml:space="preserve">– </w:t>
      </w:r>
      <w:r w:rsidR="00426F7E" w:rsidRPr="00AD5378">
        <w:rPr>
          <w:rFonts w:cs="David"/>
          <w:rtl/>
        </w:rPr>
        <w:t>עד</w:t>
      </w:r>
      <w:r w:rsidRPr="00AD5378">
        <w:rPr>
          <w:rFonts w:cs="David"/>
          <w:rtl/>
        </w:rPr>
        <w:t xml:space="preserve"> ליום</w:t>
      </w:r>
      <w:r w:rsidR="00426F7E" w:rsidRPr="00AD5378">
        <w:rPr>
          <w:rFonts w:cs="David"/>
          <w:rtl/>
        </w:rPr>
        <w:t xml:space="preserve"> 31.3.2014</w:t>
      </w:r>
      <w:r w:rsidRPr="00AD5378">
        <w:rPr>
          <w:rFonts w:cs="David"/>
          <w:rtl/>
        </w:rPr>
        <w:t>)</w:t>
      </w:r>
      <w:r w:rsidR="002A1C7D" w:rsidRPr="00AD5378">
        <w:rPr>
          <w:rFonts w:cs="David"/>
          <w:rtl/>
        </w:rPr>
        <w:t xml:space="preserve">, </w:t>
      </w:r>
      <w:r w:rsidR="00217E53">
        <w:rPr>
          <w:rFonts w:cs="David"/>
          <w:rtl/>
        </w:rPr>
        <w:t xml:space="preserve">ולא עד </w:t>
      </w:r>
      <w:r w:rsidR="002A1C7D" w:rsidRPr="00AD5378">
        <w:rPr>
          <w:rFonts w:cs="David"/>
          <w:rtl/>
        </w:rPr>
        <w:t xml:space="preserve">גיל הפרישה </w:t>
      </w:r>
      <w:r w:rsidR="00426F7E" w:rsidRPr="00AD5378">
        <w:rPr>
          <w:rFonts w:cs="David"/>
          <w:rtl/>
        </w:rPr>
        <w:t xml:space="preserve">(67) </w:t>
      </w:r>
      <w:r w:rsidR="002A1C7D" w:rsidRPr="00AD5378">
        <w:rPr>
          <w:rFonts w:cs="David"/>
          <w:rtl/>
        </w:rPr>
        <w:t>, אף ש</w:t>
      </w:r>
      <w:r w:rsidR="00217E53">
        <w:rPr>
          <w:rFonts w:cs="David"/>
          <w:rtl/>
        </w:rPr>
        <w:t xml:space="preserve">ברור כי </w:t>
      </w:r>
      <w:r w:rsidR="002A1C7D" w:rsidRPr="00AD5378">
        <w:rPr>
          <w:rFonts w:cs="David"/>
          <w:rtl/>
        </w:rPr>
        <w:t xml:space="preserve">גיל הפרישה של המערער היה ידוע </w:t>
      </w:r>
      <w:r w:rsidR="00BA4FC6">
        <w:rPr>
          <w:rFonts w:cs="David"/>
          <w:rtl/>
        </w:rPr>
        <w:t>בטרם התחדש החוזה</w:t>
      </w:r>
      <w:r w:rsidR="002A1C7D" w:rsidRPr="00AD5378">
        <w:rPr>
          <w:rFonts w:cs="David"/>
          <w:rtl/>
        </w:rPr>
        <w:t xml:space="preserve">. </w:t>
      </w:r>
    </w:p>
    <w:p w:rsidR="00783F42" w:rsidRPr="00AD5378" w:rsidRDefault="002A1C7D" w:rsidP="00FC5512">
      <w:pPr>
        <w:pStyle w:val="a8"/>
        <w:tabs>
          <w:tab w:val="left" w:pos="1394"/>
        </w:tabs>
        <w:spacing w:after="240" w:line="360" w:lineRule="auto"/>
        <w:ind w:left="1394"/>
        <w:rPr>
          <w:rFonts w:cs="David"/>
          <w:rtl/>
        </w:rPr>
      </w:pPr>
      <w:r w:rsidRPr="00AD5378">
        <w:rPr>
          <w:rFonts w:cs="David"/>
          <w:rtl/>
        </w:rPr>
        <w:t xml:space="preserve">כפי שהסברנו – </w:t>
      </w:r>
      <w:r w:rsidR="00CB79DF">
        <w:rPr>
          <w:rFonts w:cs="David"/>
          <w:rtl/>
        </w:rPr>
        <w:t xml:space="preserve"> </w:t>
      </w:r>
      <w:r w:rsidRPr="00AD5378">
        <w:rPr>
          <w:rFonts w:cs="David"/>
          <w:rtl/>
        </w:rPr>
        <w:t xml:space="preserve">המערער אמנם נדרש להפסיק לעבודה, </w:t>
      </w:r>
      <w:r w:rsidR="00A460C8">
        <w:rPr>
          <w:rFonts w:cs="David"/>
          <w:rtl/>
        </w:rPr>
        <w:t>וכן קיבל בחודש אוגוסט 2012 הודעה של</w:t>
      </w:r>
      <w:r w:rsidR="00C21354" w:rsidRPr="00AD5378">
        <w:rPr>
          <w:rFonts w:cs="David"/>
          <w:rtl/>
        </w:rPr>
        <w:t xml:space="preserve"> החשבת </w:t>
      </w:r>
      <w:r w:rsidR="00CB79DF">
        <w:rPr>
          <w:rFonts w:cs="David"/>
          <w:rtl/>
        </w:rPr>
        <w:t xml:space="preserve">הכללית </w:t>
      </w:r>
      <w:r w:rsidR="00C21354" w:rsidRPr="00AD5378">
        <w:rPr>
          <w:rFonts w:cs="David"/>
          <w:rtl/>
        </w:rPr>
        <w:t xml:space="preserve">במשרד האוצר – </w:t>
      </w:r>
      <w:r w:rsidR="00C21354" w:rsidRPr="00AD5378">
        <w:rPr>
          <w:rFonts w:cs="David"/>
          <w:b/>
          <w:bCs/>
          <w:u w:val="single"/>
          <w:rtl/>
        </w:rPr>
        <w:t>שאינה מוסמכת להפסיק את העסקתו</w:t>
      </w:r>
      <w:r w:rsidR="00A460C8" w:rsidRPr="009B1B4D">
        <w:rPr>
          <w:rFonts w:cs="David"/>
          <w:rtl/>
        </w:rPr>
        <w:t xml:space="preserve"> </w:t>
      </w:r>
      <w:r w:rsidR="00A460C8" w:rsidRPr="000C57EA">
        <w:rPr>
          <w:rFonts w:cs="David"/>
          <w:rtl/>
        </w:rPr>
        <w:t>–</w:t>
      </w:r>
      <w:r w:rsidR="00A460C8" w:rsidRPr="009B1B4D">
        <w:rPr>
          <w:rFonts w:cs="David"/>
          <w:rtl/>
        </w:rPr>
        <w:t xml:space="preserve"> על </w:t>
      </w:r>
      <w:r w:rsidR="00A460C8">
        <w:rPr>
          <w:rFonts w:cs="David"/>
          <w:rtl/>
        </w:rPr>
        <w:t>שלילת</w:t>
      </w:r>
      <w:r w:rsidR="00A460C8" w:rsidRPr="009B1B4D">
        <w:rPr>
          <w:rFonts w:cs="David"/>
          <w:rtl/>
        </w:rPr>
        <w:t xml:space="preserve"> סמכויותיו כחשב</w:t>
      </w:r>
      <w:r w:rsidR="00EE5402">
        <w:rPr>
          <w:rFonts w:cs="David"/>
          <w:rtl/>
        </w:rPr>
        <w:t>,</w:t>
      </w:r>
      <w:r w:rsidR="00FC5512">
        <w:rPr>
          <w:rFonts w:cs="David"/>
          <w:rtl/>
        </w:rPr>
        <w:t xml:space="preserve"> </w:t>
      </w:r>
      <w:r w:rsidRPr="00AD5378">
        <w:rPr>
          <w:rFonts w:cs="David"/>
          <w:rtl/>
        </w:rPr>
        <w:t xml:space="preserve">אך בפועל לא הופרש לגימלאות ולמעשה רק </w:t>
      </w:r>
      <w:r w:rsidRPr="00AD5378">
        <w:rPr>
          <w:rFonts w:cs="David"/>
          <w:b/>
          <w:bCs/>
          <w:u w:val="single"/>
          <w:rtl/>
        </w:rPr>
        <w:t>בחודש דצמבר 2012</w:t>
      </w:r>
      <w:r w:rsidRPr="00AD5378">
        <w:rPr>
          <w:rFonts w:cs="David"/>
          <w:b/>
          <w:bCs/>
          <w:rtl/>
        </w:rPr>
        <w:t xml:space="preserve"> קיבל </w:t>
      </w:r>
      <w:r w:rsidR="00CB79DF">
        <w:rPr>
          <w:rFonts w:cs="David"/>
          <w:b/>
          <w:bCs/>
          <w:rtl/>
        </w:rPr>
        <w:t xml:space="preserve">המערער </w:t>
      </w:r>
      <w:r w:rsidRPr="00AD5378">
        <w:rPr>
          <w:rFonts w:cs="David"/>
          <w:b/>
          <w:bCs/>
          <w:rtl/>
        </w:rPr>
        <w:t>את החלטת נציב השירות</w:t>
      </w:r>
      <w:r w:rsidR="00426F7E" w:rsidRPr="00AD5378">
        <w:rPr>
          <w:rFonts w:cs="David"/>
          <w:b/>
          <w:bCs/>
          <w:rtl/>
        </w:rPr>
        <w:t xml:space="preserve"> </w:t>
      </w:r>
      <w:r w:rsidRPr="00AD5378">
        <w:rPr>
          <w:rFonts w:cs="David"/>
          <w:b/>
          <w:bCs/>
          <w:rtl/>
        </w:rPr>
        <w:t>בעניינו</w:t>
      </w:r>
      <w:r w:rsidRPr="00AD5378">
        <w:rPr>
          <w:rFonts w:cs="David"/>
          <w:rtl/>
        </w:rPr>
        <w:t xml:space="preserve">. </w:t>
      </w:r>
      <w:r w:rsidR="00C21354">
        <w:rPr>
          <w:rFonts w:cs="David"/>
          <w:b/>
          <w:bCs/>
          <w:rtl/>
        </w:rPr>
        <w:t>ודוק -</w:t>
      </w:r>
      <w:r w:rsidR="00783F42" w:rsidRPr="00AD5378">
        <w:rPr>
          <w:rFonts w:cs="David"/>
          <w:b/>
          <w:bCs/>
          <w:rtl/>
        </w:rPr>
        <w:t xml:space="preserve"> </w:t>
      </w:r>
      <w:r w:rsidR="00783F42" w:rsidRPr="00AD5378">
        <w:rPr>
          <w:rFonts w:cs="David"/>
          <w:b/>
          <w:bCs/>
          <w:u w:val="single"/>
          <w:rtl/>
        </w:rPr>
        <w:t>נציב ש</w:t>
      </w:r>
      <w:r w:rsidR="00C21354">
        <w:rPr>
          <w:rFonts w:cs="David"/>
          <w:b/>
          <w:bCs/>
          <w:u w:val="single"/>
          <w:rtl/>
        </w:rPr>
        <w:t>י</w:t>
      </w:r>
      <w:r w:rsidR="00783F42" w:rsidRPr="00AD5378">
        <w:rPr>
          <w:rFonts w:cs="David"/>
          <w:b/>
          <w:bCs/>
          <w:u w:val="single"/>
          <w:rtl/>
        </w:rPr>
        <w:t xml:space="preserve">רות המדינה הוא היחיד המוסמך </w:t>
      </w:r>
      <w:r w:rsidR="00426F7E" w:rsidRPr="00AD5378">
        <w:rPr>
          <w:rFonts w:cs="David"/>
          <w:b/>
          <w:bCs/>
          <w:u w:val="single"/>
          <w:rtl/>
        </w:rPr>
        <w:t xml:space="preserve">להפסיק </w:t>
      </w:r>
      <w:r w:rsidR="00783F42" w:rsidRPr="00AD5378">
        <w:rPr>
          <w:rFonts w:cs="David"/>
          <w:b/>
          <w:bCs/>
          <w:u w:val="single"/>
          <w:rtl/>
        </w:rPr>
        <w:t>את העסקת התובע</w:t>
      </w:r>
      <w:r w:rsidR="00783F42" w:rsidRPr="00AD5378">
        <w:rPr>
          <w:rFonts w:cs="David"/>
          <w:b/>
          <w:bCs/>
          <w:rtl/>
        </w:rPr>
        <w:t xml:space="preserve"> </w:t>
      </w:r>
      <w:r w:rsidR="00426F7E" w:rsidRPr="00AD5378">
        <w:rPr>
          <w:rFonts w:cs="David"/>
          <w:b/>
          <w:bCs/>
          <w:rtl/>
        </w:rPr>
        <w:t>בתנאים המפורטים בחוזה</w:t>
      </w:r>
      <w:r w:rsidR="00783F42" w:rsidRPr="00AD5378">
        <w:rPr>
          <w:rFonts w:cs="David"/>
          <w:b/>
          <w:bCs/>
          <w:rtl/>
        </w:rPr>
        <w:t>.</w:t>
      </w:r>
      <w:r w:rsidR="00C21354">
        <w:rPr>
          <w:rFonts w:cs="David"/>
          <w:b/>
          <w:bCs/>
          <w:rtl/>
        </w:rPr>
        <w:t xml:space="preserve"> </w:t>
      </w:r>
      <w:r w:rsidR="00C21354">
        <w:rPr>
          <w:rFonts w:cs="David"/>
          <w:rtl/>
        </w:rPr>
        <w:t>לפיכך, עילת התביעה של המערער קמה בפועל אך ורק בחודש דצ</w:t>
      </w:r>
      <w:r w:rsidR="00FC5512">
        <w:rPr>
          <w:rFonts w:cs="David"/>
          <w:rtl/>
        </w:rPr>
        <w:t>מבר 2012, עם קבלת החלטתו של נציב</w:t>
      </w:r>
      <w:r w:rsidR="00C21354">
        <w:rPr>
          <w:rFonts w:cs="David"/>
          <w:rtl/>
        </w:rPr>
        <w:t xml:space="preserve"> השירות. </w:t>
      </w:r>
    </w:p>
    <w:p w:rsidR="00C21354" w:rsidRDefault="00426F7E" w:rsidP="00BA4FC6">
      <w:pPr>
        <w:pStyle w:val="a8"/>
        <w:tabs>
          <w:tab w:val="left" w:pos="1394"/>
        </w:tabs>
        <w:spacing w:after="240" w:line="360" w:lineRule="auto"/>
        <w:ind w:left="1394"/>
        <w:rPr>
          <w:rFonts w:cs="David"/>
          <w:rtl/>
        </w:rPr>
      </w:pPr>
      <w:r>
        <w:rPr>
          <w:rFonts w:cs="David"/>
          <w:b/>
          <w:bCs/>
          <w:rtl/>
        </w:rPr>
        <w:t xml:space="preserve"> </w:t>
      </w:r>
      <w:r w:rsidR="002A1C7D">
        <w:rPr>
          <w:rFonts w:cs="David"/>
          <w:rtl/>
        </w:rPr>
        <w:t xml:space="preserve">למרות זאת, </w:t>
      </w:r>
      <w:r w:rsidR="00C21354">
        <w:rPr>
          <w:rFonts w:cs="David"/>
          <w:rtl/>
        </w:rPr>
        <w:t xml:space="preserve">ובכל הכבוד, </w:t>
      </w:r>
      <w:r w:rsidR="002A1C7D">
        <w:rPr>
          <w:rFonts w:cs="David"/>
          <w:rtl/>
        </w:rPr>
        <w:t xml:space="preserve">בית הדין קמא נתפס לטעות מהותית, וחרף </w:t>
      </w:r>
      <w:r w:rsidR="00BA4FC6">
        <w:rPr>
          <w:rFonts w:cs="David"/>
          <w:rtl/>
        </w:rPr>
        <w:t>העובדה</w:t>
      </w:r>
      <w:r w:rsidR="002A1C7D">
        <w:rPr>
          <w:rFonts w:cs="David"/>
          <w:rtl/>
        </w:rPr>
        <w:t xml:space="preserve"> שהמערער הגיש תביעתו בחודש אוקטובר 2017, דחה אותו מחמת התיישנות</w:t>
      </w:r>
      <w:r w:rsidR="00C21354">
        <w:rPr>
          <w:rFonts w:cs="David"/>
          <w:rtl/>
        </w:rPr>
        <w:t>,</w:t>
      </w:r>
      <w:r w:rsidR="002A1C7D">
        <w:rPr>
          <w:rFonts w:cs="David"/>
          <w:rtl/>
        </w:rPr>
        <w:t xml:space="preserve"> </w:t>
      </w:r>
      <w:r w:rsidR="00C21354">
        <w:rPr>
          <w:rFonts w:cs="David"/>
          <w:rtl/>
        </w:rPr>
        <w:t xml:space="preserve">בנימוק השגוי </w:t>
      </w:r>
      <w:r w:rsidR="002A1C7D">
        <w:rPr>
          <w:rFonts w:cs="David"/>
          <w:rtl/>
        </w:rPr>
        <w:t>שהמערער נדרש להפסיק להגיע לעבודה בחודש אוגוסט 2012.</w:t>
      </w:r>
      <w:r w:rsidR="00C21354">
        <w:rPr>
          <w:rFonts w:cs="David"/>
          <w:rtl/>
        </w:rPr>
        <w:t xml:space="preserve"> </w:t>
      </w:r>
    </w:p>
    <w:p w:rsidR="002A1C7D" w:rsidRPr="00BD33F3" w:rsidRDefault="002A1C7D" w:rsidP="00AD5378">
      <w:pPr>
        <w:pStyle w:val="a8"/>
        <w:tabs>
          <w:tab w:val="left" w:pos="1394"/>
        </w:tabs>
        <w:spacing w:after="240" w:line="360" w:lineRule="auto"/>
        <w:ind w:left="1394"/>
        <w:rPr>
          <w:rFonts w:cs="David"/>
          <w:rtl/>
        </w:rPr>
      </w:pPr>
      <w:r>
        <w:rPr>
          <w:rFonts w:cs="David"/>
          <w:rtl/>
        </w:rPr>
        <w:t xml:space="preserve">ייאמר כבר עכשיו כי עד שהמערער לא קיבל הודעה פורמלית </w:t>
      </w:r>
      <w:r w:rsidR="00CE7BE8">
        <w:rPr>
          <w:rFonts w:cs="David"/>
          <w:rtl/>
        </w:rPr>
        <w:t>מהגורם המוסמך לכך</w:t>
      </w:r>
      <w:r>
        <w:rPr>
          <w:rFonts w:cs="David"/>
          <w:rtl/>
        </w:rPr>
        <w:t xml:space="preserve">, </w:t>
      </w:r>
      <w:r w:rsidR="00C21354">
        <w:rPr>
          <w:rFonts w:cs="David"/>
          <w:rtl/>
        </w:rPr>
        <w:t xml:space="preserve">על סיום העסקתו וקבלת הגמלה, </w:t>
      </w:r>
      <w:r>
        <w:rPr>
          <w:rFonts w:cs="David"/>
          <w:rtl/>
        </w:rPr>
        <w:t xml:space="preserve">מצבו היה כמי שלא סיים את העסקתו בשירות המדינה, ולכן טעה בית הדין </w:t>
      </w:r>
      <w:r w:rsidR="00BA4FC6">
        <w:rPr>
          <w:rFonts w:cs="David"/>
          <w:rtl/>
        </w:rPr>
        <w:t xml:space="preserve">הנכבד </w:t>
      </w:r>
      <w:r>
        <w:rPr>
          <w:rFonts w:cs="David"/>
          <w:rtl/>
        </w:rPr>
        <w:t>קמא טעות מהותית בעניין זה.</w:t>
      </w:r>
    </w:p>
    <w:p w:rsidR="0019517D" w:rsidRDefault="0043225B" w:rsidP="00AD5378">
      <w:pPr>
        <w:pStyle w:val="a8"/>
        <w:numPr>
          <w:ilvl w:val="1"/>
          <w:numId w:val="1"/>
        </w:numPr>
        <w:tabs>
          <w:tab w:val="left" w:pos="1394"/>
        </w:tabs>
        <w:spacing w:after="120" w:line="360" w:lineRule="auto"/>
        <w:ind w:left="1394" w:hanging="630"/>
        <w:rPr>
          <w:rFonts w:cs="David"/>
        </w:rPr>
      </w:pPr>
      <w:r>
        <w:rPr>
          <w:rFonts w:cs="David"/>
          <w:u w:val="single"/>
          <w:rtl/>
        </w:rPr>
        <w:t>גובה הגמלה המגיעה למערער</w:t>
      </w:r>
      <w:r>
        <w:rPr>
          <w:rFonts w:cs="David"/>
          <w:rtl/>
        </w:rPr>
        <w:t xml:space="preserve"> – </w:t>
      </w:r>
    </w:p>
    <w:p w:rsidR="0043225B" w:rsidRDefault="0043225B" w:rsidP="0019517D">
      <w:pPr>
        <w:pStyle w:val="a8"/>
        <w:tabs>
          <w:tab w:val="left" w:pos="1394"/>
        </w:tabs>
        <w:spacing w:after="240" w:line="360" w:lineRule="auto"/>
        <w:ind w:left="1394"/>
        <w:rPr>
          <w:rFonts w:cs="David"/>
        </w:rPr>
      </w:pPr>
      <w:r>
        <w:rPr>
          <w:rFonts w:cs="David"/>
          <w:rtl/>
        </w:rPr>
        <w:t xml:space="preserve">המערער הגיש </w:t>
      </w:r>
      <w:r w:rsidRPr="0043225B">
        <w:rPr>
          <w:rFonts w:cs="David"/>
          <w:rtl/>
        </w:rPr>
        <w:t xml:space="preserve">תביעה בעניין גובה הגמלה המשולמת לו, תביעה המורכבת ממספר טענות ביחס לגובה השכר הקובע והדרגה. המערער טען כי מאחר שהחוזה עליו חתם קובע </w:t>
      </w:r>
      <w:r w:rsidR="000765DF">
        <w:rPr>
          <w:rFonts w:cs="David"/>
          <w:rtl/>
        </w:rPr>
        <w:t xml:space="preserve">שחוק </w:t>
      </w:r>
      <w:r w:rsidR="00BD33F3">
        <w:rPr>
          <w:rFonts w:cs="David"/>
          <w:rtl/>
        </w:rPr>
        <w:t>הגימלאות</w:t>
      </w:r>
      <w:r w:rsidR="000765DF" w:rsidRPr="0043225B">
        <w:rPr>
          <w:rFonts w:cs="David"/>
          <w:rtl/>
        </w:rPr>
        <w:t xml:space="preserve"> </w:t>
      </w:r>
      <w:r w:rsidRPr="0043225B">
        <w:rPr>
          <w:rFonts w:cs="David"/>
          <w:rtl/>
        </w:rPr>
        <w:t>אינו חל עליו, הוא רשאי להגיש תביעה בעניין זה</w:t>
      </w:r>
      <w:r>
        <w:rPr>
          <w:rFonts w:cs="David"/>
          <w:rtl/>
        </w:rPr>
        <w:t xml:space="preserve"> עד שבע שנים ממועד סיום עבודתו.</w:t>
      </w:r>
    </w:p>
    <w:p w:rsidR="00783F42" w:rsidRPr="00AD5378" w:rsidRDefault="0019517D" w:rsidP="00783F42">
      <w:pPr>
        <w:pStyle w:val="a8"/>
        <w:tabs>
          <w:tab w:val="left" w:pos="1394"/>
        </w:tabs>
        <w:spacing w:after="240" w:line="360" w:lineRule="auto"/>
        <w:ind w:left="1394"/>
        <w:rPr>
          <w:rFonts w:cs="David"/>
          <w:b/>
          <w:bCs/>
          <w:rtl/>
        </w:rPr>
      </w:pPr>
      <w:r w:rsidRPr="00AD5378">
        <w:rPr>
          <w:rFonts w:cs="David"/>
          <w:rtl/>
        </w:rPr>
        <w:t xml:space="preserve">נציין כבר עתה כי חוזה הבכירים שניסחה המדינה, ועליו חתם המערער, קובע במפורש </w:t>
      </w:r>
      <w:r w:rsidRPr="00AD5378">
        <w:rPr>
          <w:rFonts w:cs="David"/>
          <w:b/>
          <w:bCs/>
          <w:rtl/>
        </w:rPr>
        <w:t>שחוק הגימלאות לא יחול על העסקתו, כולל התקופה בה הועסק בכתב מינוי, אלא במידה שנקבעה בחוזה.</w:t>
      </w:r>
    </w:p>
    <w:p w:rsidR="0019517D" w:rsidRDefault="0019517D" w:rsidP="00783F42">
      <w:pPr>
        <w:pStyle w:val="a8"/>
        <w:tabs>
          <w:tab w:val="left" w:pos="1394"/>
        </w:tabs>
        <w:spacing w:after="240" w:line="360" w:lineRule="auto"/>
        <w:ind w:left="1394"/>
        <w:rPr>
          <w:rFonts w:cs="David"/>
          <w:rtl/>
        </w:rPr>
      </w:pPr>
      <w:r w:rsidRPr="00AD5378">
        <w:rPr>
          <w:rFonts w:cs="David"/>
          <w:b/>
          <w:bCs/>
          <w:rtl/>
        </w:rPr>
        <w:t xml:space="preserve"> </w:t>
      </w:r>
      <w:r w:rsidR="00783F42" w:rsidRPr="00AD5378">
        <w:rPr>
          <w:rFonts w:cs="David"/>
          <w:rtl/>
        </w:rPr>
        <w:t>בנוסף לכך</w:t>
      </w:r>
      <w:r w:rsidRPr="00AD5378">
        <w:rPr>
          <w:rFonts w:cs="David"/>
          <w:rtl/>
        </w:rPr>
        <w:t xml:space="preserve"> קובע החוזה כי מדובר בחוזה יחידי לפי סעיף 107(א)(2) לחוק שירות המדינה (גימלאות) [נוסח משולב], התש"ל – 1970, הקובע כי הוראות החוק לא יחולו – "</w:t>
      </w:r>
      <w:r w:rsidRPr="00AD5378">
        <w:rPr>
          <w:rFonts w:cs="David"/>
          <w:b/>
          <w:bCs/>
          <w:i/>
          <w:iCs/>
          <w:u w:val="single"/>
          <w:rtl/>
        </w:rPr>
        <w:t>על עובד המדינה המועסק כדין על פי חוזה יחידי, אם כך נקבע</w:t>
      </w:r>
      <w:r>
        <w:rPr>
          <w:rFonts w:cs="David"/>
          <w:b/>
          <w:bCs/>
          <w:i/>
          <w:iCs/>
          <w:u w:val="single"/>
          <w:rtl/>
        </w:rPr>
        <w:t xml:space="preserve"> באותו חוזה ובמידה שנקבע</w:t>
      </w:r>
      <w:r>
        <w:rPr>
          <w:rFonts w:cs="David"/>
          <w:rtl/>
        </w:rPr>
        <w:t xml:space="preserve">;". </w:t>
      </w:r>
    </w:p>
    <w:p w:rsidR="0019517D" w:rsidRDefault="00117F2C" w:rsidP="0019517D">
      <w:pPr>
        <w:pStyle w:val="a8"/>
        <w:tabs>
          <w:tab w:val="left" w:pos="1394"/>
        </w:tabs>
        <w:spacing w:after="240" w:line="360" w:lineRule="auto"/>
        <w:ind w:left="1394"/>
        <w:rPr>
          <w:rFonts w:cs="David"/>
          <w:b/>
          <w:bCs/>
          <w:rtl/>
        </w:rPr>
      </w:pPr>
      <w:r w:rsidRPr="00117F2C">
        <w:rPr>
          <w:rFonts w:cs="David"/>
          <w:rtl/>
        </w:rPr>
        <w:t xml:space="preserve">כמו כן, </w:t>
      </w:r>
      <w:r w:rsidR="0019517D">
        <w:rPr>
          <w:rFonts w:cs="David"/>
          <w:b/>
          <w:bCs/>
          <w:rtl/>
        </w:rPr>
        <w:t xml:space="preserve">החוזה אינו כולל הוראה מפורשת לפיה סעיף 43 לחוק הגמלאות, הקובע את מועד הערעור, חל </w:t>
      </w:r>
      <w:r>
        <w:rPr>
          <w:rFonts w:cs="David"/>
          <w:b/>
          <w:bCs/>
          <w:rtl/>
        </w:rPr>
        <w:t xml:space="preserve">על המערער. </w:t>
      </w:r>
    </w:p>
    <w:p w:rsidR="0043225B" w:rsidRPr="00BD33F3" w:rsidRDefault="0019517D" w:rsidP="0019517D">
      <w:pPr>
        <w:pStyle w:val="a8"/>
        <w:tabs>
          <w:tab w:val="left" w:pos="1394"/>
        </w:tabs>
        <w:spacing w:after="240" w:line="360" w:lineRule="auto"/>
        <w:ind w:left="1394"/>
        <w:rPr>
          <w:rFonts w:cs="David"/>
          <w:rtl/>
        </w:rPr>
      </w:pPr>
      <w:r>
        <w:rPr>
          <w:rFonts w:cs="David"/>
          <w:rtl/>
        </w:rPr>
        <w:lastRenderedPageBreak/>
        <w:t xml:space="preserve">למרות האמור לעיל, </w:t>
      </w:r>
      <w:r w:rsidR="0043225B" w:rsidRPr="00BD33F3">
        <w:rPr>
          <w:rFonts w:cs="David"/>
          <w:rtl/>
        </w:rPr>
        <w:t>בית הדין קמא קיבל את טענת ה</w:t>
      </w:r>
      <w:r w:rsidR="00E8764E">
        <w:rPr>
          <w:rFonts w:cs="David"/>
          <w:rtl/>
        </w:rPr>
        <w:t>משיבות</w:t>
      </w:r>
      <w:r w:rsidR="0043225B" w:rsidRPr="00BD33F3">
        <w:rPr>
          <w:rFonts w:cs="David"/>
          <w:rtl/>
        </w:rPr>
        <w:t xml:space="preserve"> </w:t>
      </w:r>
      <w:r>
        <w:rPr>
          <w:rFonts w:cs="David"/>
          <w:rtl/>
        </w:rPr>
        <w:t>וקבע כי</w:t>
      </w:r>
      <w:r w:rsidR="0043225B" w:rsidRPr="00BD33F3">
        <w:rPr>
          <w:rFonts w:cs="David"/>
          <w:rtl/>
        </w:rPr>
        <w:t xml:space="preserve"> </w:t>
      </w:r>
      <w:r w:rsidR="000765DF" w:rsidRPr="00BD33F3">
        <w:rPr>
          <w:rFonts w:cs="David"/>
          <w:rtl/>
        </w:rPr>
        <w:t>היה על המערער להגיש תביעתו בהתאם ללוח הזמנים הקבוע בחוק הגימלאות, ומאחר שלא עשה כן – הוא דחה את תביעתו.</w:t>
      </w:r>
    </w:p>
    <w:p w:rsidR="000765DF" w:rsidRPr="00BD33F3" w:rsidRDefault="000765DF" w:rsidP="00AD5378">
      <w:pPr>
        <w:pStyle w:val="a8"/>
        <w:tabs>
          <w:tab w:val="left" w:pos="1394"/>
        </w:tabs>
        <w:spacing w:after="240" w:line="360" w:lineRule="auto"/>
        <w:ind w:left="1394"/>
        <w:rPr>
          <w:rFonts w:cs="David"/>
          <w:rtl/>
        </w:rPr>
      </w:pPr>
      <w:r w:rsidRPr="00BD33F3">
        <w:rPr>
          <w:rFonts w:cs="David"/>
          <w:rtl/>
        </w:rPr>
        <w:t xml:space="preserve">כאמור לעיל, פסק הדין הולך בעניין זה בניגוד להוראות </w:t>
      </w:r>
      <w:r w:rsidR="0019517D">
        <w:rPr>
          <w:rFonts w:cs="David"/>
          <w:rtl/>
        </w:rPr>
        <w:t>חוזה הבכירים</w:t>
      </w:r>
      <w:r w:rsidRPr="00BD33F3">
        <w:rPr>
          <w:rFonts w:cs="David"/>
          <w:rtl/>
        </w:rPr>
        <w:t>, ו</w:t>
      </w:r>
      <w:r w:rsidR="00446765">
        <w:rPr>
          <w:rFonts w:cs="David"/>
          <w:rtl/>
        </w:rPr>
        <w:t xml:space="preserve">כמו כן </w:t>
      </w:r>
      <w:r w:rsidRPr="00BD33F3">
        <w:rPr>
          <w:rFonts w:cs="David"/>
          <w:rtl/>
        </w:rPr>
        <w:t>סותר פסיקה אחרת של בית דין אזורי לעבודה. המערער יטען, בכל הכבוד, וכפי שנפרט להלן, כי פסק הדין שגוי מיסודו , ולמעשה מכניס לתוך החוזה תניות ומלים שאין בו</w:t>
      </w:r>
      <w:r w:rsidR="008D3073">
        <w:rPr>
          <w:rFonts w:cs="David"/>
          <w:rtl/>
        </w:rPr>
        <w:t xml:space="preserve"> – בניגוד לכללי פרשנות החוזים</w:t>
      </w:r>
      <w:r w:rsidRPr="00BD33F3">
        <w:rPr>
          <w:rFonts w:cs="David"/>
          <w:rtl/>
        </w:rPr>
        <w:t>, על מנת להגיע לתוצאה שדוחה את התביעה.</w:t>
      </w:r>
    </w:p>
    <w:p w:rsidR="00117F2C" w:rsidRDefault="00FD7E47" w:rsidP="00AD5378">
      <w:pPr>
        <w:pStyle w:val="a8"/>
        <w:numPr>
          <w:ilvl w:val="1"/>
          <w:numId w:val="1"/>
        </w:numPr>
        <w:tabs>
          <w:tab w:val="left" w:pos="1394"/>
        </w:tabs>
        <w:spacing w:after="120" w:line="360" w:lineRule="auto"/>
        <w:ind w:left="1394" w:hanging="630"/>
        <w:rPr>
          <w:rFonts w:cs="David"/>
        </w:rPr>
      </w:pPr>
      <w:r w:rsidRPr="00BD33F3">
        <w:rPr>
          <w:rFonts w:cs="David"/>
          <w:u w:val="single"/>
          <w:rtl/>
        </w:rPr>
        <w:t>תביעה בגין נזקים לא ממוניים</w:t>
      </w:r>
      <w:r w:rsidRPr="00BD33F3">
        <w:rPr>
          <w:rFonts w:cs="David"/>
          <w:rtl/>
        </w:rPr>
        <w:t xml:space="preserve"> </w:t>
      </w:r>
      <w:r w:rsidR="00BD33F3">
        <w:rPr>
          <w:rFonts w:cs="David"/>
          <w:rtl/>
        </w:rPr>
        <w:t xml:space="preserve">– </w:t>
      </w:r>
    </w:p>
    <w:p w:rsidR="00F20667" w:rsidRDefault="00BD33F3" w:rsidP="00FC1D83">
      <w:pPr>
        <w:pStyle w:val="a8"/>
        <w:tabs>
          <w:tab w:val="left" w:pos="1394"/>
        </w:tabs>
        <w:spacing w:after="240" w:line="360" w:lineRule="auto"/>
        <w:ind w:left="1394"/>
        <w:rPr>
          <w:rFonts w:cs="David"/>
          <w:rtl/>
        </w:rPr>
      </w:pPr>
      <w:r>
        <w:rPr>
          <w:rFonts w:cs="David"/>
          <w:rtl/>
        </w:rPr>
        <w:t xml:space="preserve">ראש </w:t>
      </w:r>
      <w:r w:rsidR="00FD7E47" w:rsidRPr="00BD33F3">
        <w:rPr>
          <w:rFonts w:cs="David"/>
          <w:rtl/>
        </w:rPr>
        <w:t xml:space="preserve">תביעה </w:t>
      </w:r>
      <w:r>
        <w:rPr>
          <w:rFonts w:cs="David"/>
          <w:rtl/>
        </w:rPr>
        <w:t>זה נובע מהתנהלותן המבישה של המשיבות</w:t>
      </w:r>
      <w:r w:rsidR="00EC0AC2">
        <w:rPr>
          <w:rFonts w:cs="David"/>
          <w:rtl/>
        </w:rPr>
        <w:t xml:space="preserve"> כלפיי המערער</w:t>
      </w:r>
      <w:r w:rsidR="00FD7E47" w:rsidRPr="00BD33F3">
        <w:rPr>
          <w:rFonts w:cs="David"/>
          <w:rtl/>
        </w:rPr>
        <w:t xml:space="preserve"> ועגמת הנפש הרבה שגרמו לו.</w:t>
      </w:r>
      <w:r w:rsidR="00C41E20">
        <w:rPr>
          <w:rFonts w:cs="David"/>
          <w:rtl/>
        </w:rPr>
        <w:t xml:space="preserve"> בית הדין קמא קבע כי תביעה זאת בעינה עומדת, אך מחק אותה – למרות קביעתו שכלל לא הוגשה בקשה בנושא – מאחר שלא היתה מפורטת, לא הוצגו אסמכתאות והיא לא כומתה. </w:t>
      </w:r>
    </w:p>
    <w:p w:rsidR="00C41E20" w:rsidRPr="00C41E20" w:rsidRDefault="00C41E20" w:rsidP="00FC1D83">
      <w:pPr>
        <w:pStyle w:val="a8"/>
        <w:tabs>
          <w:tab w:val="left" w:pos="1394"/>
        </w:tabs>
        <w:spacing w:after="240" w:line="360" w:lineRule="auto"/>
        <w:ind w:left="1394"/>
        <w:rPr>
          <w:rFonts w:cs="David"/>
        </w:rPr>
      </w:pPr>
      <w:r w:rsidRPr="00C41E20">
        <w:rPr>
          <w:rFonts w:cs="David"/>
          <w:rtl/>
        </w:rPr>
        <w:t xml:space="preserve">כפי שנפרט להלן, כל נימוקיו של בית הדין </w:t>
      </w:r>
      <w:r w:rsidR="00446765">
        <w:rPr>
          <w:rFonts w:cs="David"/>
          <w:rtl/>
        </w:rPr>
        <w:t xml:space="preserve">הנכבד </w:t>
      </w:r>
      <w:r w:rsidRPr="00C41E20">
        <w:rPr>
          <w:rFonts w:cs="David"/>
          <w:rtl/>
        </w:rPr>
        <w:t>קמא היו שגויים, וממילא לא היה מקום לצעד דרסטי של מחיקת תביעה מנימוקים אלה, אף אם היה בהם ממש.</w:t>
      </w:r>
    </w:p>
    <w:p w:rsidR="0043225B" w:rsidRDefault="00E4071C" w:rsidP="00E4071C">
      <w:pPr>
        <w:pStyle w:val="a8"/>
        <w:spacing w:after="240" w:line="360" w:lineRule="auto"/>
        <w:rPr>
          <w:rFonts w:cs="David"/>
          <w:b/>
          <w:bCs/>
          <w:rtl/>
        </w:rPr>
      </w:pPr>
      <w:r>
        <w:rPr>
          <w:rFonts w:cs="David"/>
          <w:b/>
          <w:bCs/>
          <w:rtl/>
        </w:rPr>
        <w:t>המערער יביא להלן את פירוט טענותיו, וכן את עיקרי הדברים.</w:t>
      </w:r>
    </w:p>
    <w:p w:rsidR="00C21354" w:rsidRPr="00AD5378" w:rsidRDefault="00C21354" w:rsidP="00FC1D83">
      <w:pPr>
        <w:pStyle w:val="a8"/>
        <w:spacing w:after="0" w:line="360" w:lineRule="auto"/>
        <w:ind w:left="674"/>
        <w:rPr>
          <w:rFonts w:cs="David"/>
          <w:b/>
          <w:bCs/>
        </w:rPr>
      </w:pPr>
    </w:p>
    <w:p w:rsidR="008C7365" w:rsidRPr="008C7365" w:rsidRDefault="008C7365" w:rsidP="00FC1D83">
      <w:pPr>
        <w:pStyle w:val="7"/>
        <w:numPr>
          <w:ilvl w:val="0"/>
          <w:numId w:val="3"/>
        </w:numPr>
        <w:spacing w:after="120" w:line="360" w:lineRule="auto"/>
        <w:ind w:left="674" w:hanging="630"/>
        <w:rPr>
          <w:rFonts w:cs="David"/>
          <w:sz w:val="26"/>
          <w:szCs w:val="26"/>
          <w:rtl/>
        </w:rPr>
      </w:pPr>
      <w:r w:rsidRPr="008C7365">
        <w:rPr>
          <w:rFonts w:cs="David"/>
          <w:sz w:val="26"/>
          <w:szCs w:val="26"/>
          <w:rtl/>
        </w:rPr>
        <w:t>עיקרי הדברים</w:t>
      </w:r>
    </w:p>
    <w:p w:rsidR="00F20667" w:rsidRDefault="00F20667" w:rsidP="00E4071C">
      <w:pPr>
        <w:pStyle w:val="a8"/>
        <w:tabs>
          <w:tab w:val="left" w:pos="674"/>
        </w:tabs>
        <w:spacing w:after="240" w:line="360" w:lineRule="auto"/>
        <w:rPr>
          <w:rStyle w:val="emailstyle17"/>
          <w:rFonts w:cs="David"/>
          <w:sz w:val="22"/>
        </w:rPr>
      </w:pPr>
      <w:r>
        <w:rPr>
          <w:rStyle w:val="emailstyle17"/>
          <w:rFonts w:cs="David"/>
          <w:sz w:val="22"/>
          <w:rtl/>
        </w:rPr>
        <w:t xml:space="preserve">להלן </w:t>
      </w:r>
      <w:r w:rsidR="00E4071C">
        <w:rPr>
          <w:rStyle w:val="emailstyle17"/>
          <w:rFonts w:cs="David"/>
          <w:sz w:val="22"/>
          <w:rtl/>
        </w:rPr>
        <w:t>יפורטו</w:t>
      </w:r>
      <w:r>
        <w:rPr>
          <w:rStyle w:val="emailstyle17"/>
          <w:rFonts w:cs="David"/>
          <w:sz w:val="22"/>
          <w:rtl/>
        </w:rPr>
        <w:t xml:space="preserve"> עיקרי הדברים הרלבנטיים לערעור זה. לתמונה מלאה יותר של העובדות הרלבנטיות יפנה המערער לכתב התביעה (שאף הוא משקף את עיקרי הדברים בלבד, כנדרש).</w:t>
      </w:r>
    </w:p>
    <w:p w:rsidR="00D32336" w:rsidRPr="001836D7" w:rsidRDefault="00D32336" w:rsidP="00D32336">
      <w:pPr>
        <w:pStyle w:val="a8"/>
        <w:tabs>
          <w:tab w:val="left" w:pos="674"/>
        </w:tabs>
        <w:spacing w:after="240" w:line="360" w:lineRule="auto"/>
        <w:rPr>
          <w:rStyle w:val="emailstyle17"/>
          <w:rFonts w:ascii="Times New Roman" w:hAnsi="Times New Roman" w:cs="David"/>
          <w:b/>
          <w:bCs/>
          <w:color w:val="auto"/>
          <w:sz w:val="24"/>
          <w:u w:val="single"/>
        </w:rPr>
      </w:pPr>
      <w:r w:rsidRPr="001836D7">
        <w:rPr>
          <w:rStyle w:val="emailstyle17"/>
          <w:rFonts w:ascii="Times New Roman" w:hAnsi="Times New Roman" w:cs="David"/>
          <w:b/>
          <w:bCs/>
          <w:color w:val="auto"/>
          <w:sz w:val="24"/>
          <w:u w:val="single"/>
          <w:rtl/>
        </w:rPr>
        <w:t>חוזה העבודה של ה</w:t>
      </w:r>
      <w:r>
        <w:rPr>
          <w:rStyle w:val="emailstyle17"/>
          <w:rFonts w:ascii="Times New Roman" w:hAnsi="Times New Roman" w:cs="David"/>
          <w:b/>
          <w:bCs/>
          <w:color w:val="auto"/>
          <w:sz w:val="24"/>
          <w:u w:val="single"/>
          <w:rtl/>
        </w:rPr>
        <w:t>מערער</w:t>
      </w:r>
      <w:r w:rsidRPr="001836D7">
        <w:rPr>
          <w:rStyle w:val="emailstyle17"/>
          <w:rFonts w:ascii="Times New Roman" w:hAnsi="Times New Roman" w:cs="David"/>
          <w:b/>
          <w:bCs/>
          <w:color w:val="auto"/>
          <w:sz w:val="24"/>
          <w:u w:val="single"/>
          <w:rtl/>
        </w:rPr>
        <w:t xml:space="preserve"> והארכת תוקפו במהלך השנים</w:t>
      </w:r>
    </w:p>
    <w:p w:rsidR="001836D7" w:rsidRPr="001836D7" w:rsidRDefault="001836D7" w:rsidP="00F756EA">
      <w:pPr>
        <w:pStyle w:val="a8"/>
        <w:numPr>
          <w:ilvl w:val="0"/>
          <w:numId w:val="1"/>
        </w:numPr>
        <w:tabs>
          <w:tab w:val="left" w:pos="674"/>
        </w:tabs>
        <w:spacing w:after="240" w:line="360" w:lineRule="auto"/>
        <w:ind w:left="674" w:hanging="630"/>
        <w:rPr>
          <w:rStyle w:val="emailstyle17"/>
          <w:rFonts w:cs="David"/>
          <w:sz w:val="22"/>
          <w:rtl/>
        </w:rPr>
      </w:pPr>
      <w:r w:rsidRPr="001836D7">
        <w:rPr>
          <w:rStyle w:val="emailstyle17"/>
          <w:rFonts w:cs="David"/>
          <w:sz w:val="22"/>
          <w:rtl/>
        </w:rPr>
        <w:t>המערער החל לעבוד במדינה כ"עובד ארעי" בשנת 1964 לתקופה של שמונה חודשים. תקופת עבודתו כ"עובד ארעי" צורפה בהמשך לתקופת עבודתו ע"פ כתב מינוי, לאחר שה</w:t>
      </w:r>
      <w:r w:rsidR="00F66FAD">
        <w:rPr>
          <w:rStyle w:val="emailstyle17"/>
          <w:rFonts w:cs="David"/>
          <w:sz w:val="22"/>
          <w:rtl/>
        </w:rPr>
        <w:t>מערער</w:t>
      </w:r>
      <w:r w:rsidRPr="001836D7">
        <w:rPr>
          <w:rStyle w:val="emailstyle17"/>
          <w:rFonts w:cs="David"/>
          <w:sz w:val="22"/>
          <w:rtl/>
        </w:rPr>
        <w:t xml:space="preserve"> העביר לרשות המדינה את זכויותיו בקרן הפנסיה שהצטברו בתקופת עבודתו כ"עובד ארעי". </w:t>
      </w:r>
    </w:p>
    <w:p w:rsidR="001836D7" w:rsidRPr="00F66FAD" w:rsidRDefault="001836D7" w:rsidP="00FC5512">
      <w:pPr>
        <w:pStyle w:val="a8"/>
        <w:tabs>
          <w:tab w:val="left" w:pos="674"/>
        </w:tabs>
        <w:spacing w:after="240" w:line="360" w:lineRule="auto"/>
        <w:ind w:left="674"/>
        <w:rPr>
          <w:rStyle w:val="emailstyle17"/>
          <w:rFonts w:cs="David"/>
          <w:sz w:val="22"/>
        </w:rPr>
      </w:pPr>
      <w:r w:rsidRPr="00F66FAD">
        <w:rPr>
          <w:rStyle w:val="emailstyle17"/>
          <w:rFonts w:cs="David"/>
          <w:b/>
          <w:bCs/>
          <w:sz w:val="22"/>
          <w:rtl/>
        </w:rPr>
        <w:t>ה</w:t>
      </w:r>
      <w:r w:rsidR="00F66FAD">
        <w:rPr>
          <w:rStyle w:val="emailstyle17"/>
          <w:rFonts w:cs="David"/>
          <w:b/>
          <w:bCs/>
          <w:sz w:val="22"/>
          <w:rtl/>
        </w:rPr>
        <w:t>מערער</w:t>
      </w:r>
      <w:r w:rsidRPr="00F66FAD">
        <w:rPr>
          <w:rStyle w:val="emailstyle17"/>
          <w:rFonts w:cs="David"/>
          <w:b/>
          <w:bCs/>
          <w:sz w:val="22"/>
          <w:rtl/>
        </w:rPr>
        <w:t xml:space="preserve"> העביר זכויותיו אלו למדינה רק לאחר שהובהר לו  כי העברה זו </w:t>
      </w:r>
      <w:r w:rsidRPr="00783F42">
        <w:rPr>
          <w:rStyle w:val="emailstyle17"/>
          <w:rFonts w:cs="David"/>
          <w:b/>
          <w:bCs/>
          <w:sz w:val="22"/>
          <w:u w:val="single"/>
          <w:rtl/>
        </w:rPr>
        <w:t>תגדיל</w:t>
      </w:r>
      <w:r w:rsidRPr="00F66FAD">
        <w:rPr>
          <w:rStyle w:val="emailstyle17"/>
          <w:rFonts w:cs="David"/>
          <w:b/>
          <w:bCs/>
          <w:sz w:val="22"/>
          <w:rtl/>
        </w:rPr>
        <w:t xml:space="preserve"> את גימלתו בגין תקופת כתב המינוי ב-1.33%</w:t>
      </w:r>
      <w:r w:rsidRPr="00F66FAD">
        <w:rPr>
          <w:rStyle w:val="emailstyle17"/>
          <w:rFonts w:cs="David"/>
          <w:sz w:val="22"/>
          <w:rtl/>
        </w:rPr>
        <w:t xml:space="preserve"> (לפי 2% לשנה עבור 8 חודשי עבודה כארעי). </w:t>
      </w:r>
      <w:r w:rsidRPr="00F66FAD">
        <w:rPr>
          <w:rStyle w:val="emailstyle17"/>
          <w:rFonts w:cs="David"/>
          <w:b/>
          <w:bCs/>
          <w:sz w:val="22"/>
          <w:rtl/>
        </w:rPr>
        <w:t>בפועל, שיטת חישוב הפנסיה</w:t>
      </w:r>
      <w:r w:rsidR="00FC5512">
        <w:rPr>
          <w:rStyle w:val="emailstyle17"/>
          <w:rFonts w:cs="David"/>
          <w:b/>
          <w:bCs/>
          <w:sz w:val="22"/>
          <w:rtl/>
        </w:rPr>
        <w:t>,</w:t>
      </w:r>
      <w:r w:rsidRPr="00F66FAD">
        <w:rPr>
          <w:rStyle w:val="emailstyle17"/>
          <w:rFonts w:cs="David"/>
          <w:b/>
          <w:bCs/>
          <w:sz w:val="22"/>
          <w:rtl/>
        </w:rPr>
        <w:t xml:space="preserve"> שהמדינה </w:t>
      </w:r>
      <w:r w:rsidR="00FC5512">
        <w:rPr>
          <w:rStyle w:val="emailstyle17"/>
          <w:rFonts w:cs="David"/>
          <w:b/>
          <w:bCs/>
          <w:sz w:val="22"/>
          <w:rtl/>
        </w:rPr>
        <w:t xml:space="preserve">אישרה למערער, </w:t>
      </w:r>
      <w:r w:rsidRPr="00F66FAD">
        <w:rPr>
          <w:rStyle w:val="emailstyle17"/>
          <w:rFonts w:cs="David"/>
          <w:b/>
          <w:bCs/>
          <w:sz w:val="22"/>
          <w:rtl/>
        </w:rPr>
        <w:t xml:space="preserve">הביאה לכך שרכישת הזכויות כאמור הביאה </w:t>
      </w:r>
      <w:r w:rsidRPr="008B4055">
        <w:rPr>
          <w:rStyle w:val="emailstyle17"/>
          <w:rFonts w:cs="David"/>
          <w:b/>
          <w:bCs/>
          <w:sz w:val="22"/>
          <w:u w:val="single"/>
          <w:rtl/>
        </w:rPr>
        <w:t>להקטנת</w:t>
      </w:r>
      <w:r w:rsidRPr="00F66FAD">
        <w:rPr>
          <w:rStyle w:val="emailstyle17"/>
          <w:rFonts w:cs="David"/>
          <w:b/>
          <w:bCs/>
          <w:sz w:val="22"/>
          <w:rtl/>
        </w:rPr>
        <w:t xml:space="preserve"> הגימלה שמקבל ה</w:t>
      </w:r>
      <w:r w:rsidR="00F66FAD">
        <w:rPr>
          <w:rStyle w:val="emailstyle17"/>
          <w:rFonts w:cs="David"/>
          <w:b/>
          <w:bCs/>
          <w:sz w:val="22"/>
          <w:rtl/>
        </w:rPr>
        <w:t>מערער</w:t>
      </w:r>
      <w:r w:rsidRPr="00F66FAD">
        <w:rPr>
          <w:rStyle w:val="emailstyle17"/>
          <w:rFonts w:cs="David"/>
          <w:sz w:val="22"/>
          <w:rtl/>
        </w:rPr>
        <w:t xml:space="preserve">. ברור כי לו ידע המערער על כוונת המדינה הוא לא היה מעביר את זכויותיו בקרן הפנסיה ורוכש זכויות </w:t>
      </w:r>
      <w:r w:rsidR="00F66FAD" w:rsidRPr="00F66FAD">
        <w:rPr>
          <w:rStyle w:val="emailstyle17"/>
          <w:rFonts w:cs="David"/>
          <w:sz w:val="22"/>
          <w:rtl/>
        </w:rPr>
        <w:t>של פנסיה תקציבית.</w:t>
      </w:r>
      <w:r w:rsidR="00171BD6">
        <w:rPr>
          <w:rStyle w:val="ac"/>
          <w:rFonts w:ascii="Arial" w:hAnsi="Arial"/>
          <w:color w:val="000000"/>
          <w:sz w:val="22"/>
          <w:rtl/>
        </w:rPr>
        <w:footnoteReference w:id="1"/>
      </w:r>
    </w:p>
    <w:p w:rsidR="00FD7E47" w:rsidRDefault="001836D7" w:rsidP="00F756EA">
      <w:pPr>
        <w:pStyle w:val="a8"/>
        <w:numPr>
          <w:ilvl w:val="0"/>
          <w:numId w:val="1"/>
        </w:numPr>
        <w:tabs>
          <w:tab w:val="left" w:pos="674"/>
        </w:tabs>
        <w:spacing w:after="240" w:line="360" w:lineRule="auto"/>
        <w:ind w:left="674" w:hanging="630"/>
        <w:rPr>
          <w:rFonts w:cs="David"/>
        </w:rPr>
      </w:pPr>
      <w:r>
        <w:rPr>
          <w:rStyle w:val="emailstyle17"/>
          <w:rFonts w:cs="David"/>
          <w:sz w:val="22"/>
          <w:rtl/>
        </w:rPr>
        <w:lastRenderedPageBreak/>
        <w:t xml:space="preserve">החל משנת 1970 חזר המערער לעבודה במדינה, במשרד האוצר, ועבד במשרד האוצר במשך </w:t>
      </w:r>
      <w:r>
        <w:rPr>
          <w:rFonts w:cs="David"/>
          <w:rtl/>
        </w:rPr>
        <w:t>כ- 42 שנים</w:t>
      </w:r>
      <w:r w:rsidR="00FD7E47" w:rsidRPr="00FD7E47">
        <w:rPr>
          <w:rFonts w:cs="David"/>
          <w:rtl/>
        </w:rPr>
        <w:t>, תחת שני חוזי התקשרות</w:t>
      </w:r>
      <w:r>
        <w:rPr>
          <w:rFonts w:cs="David"/>
          <w:rtl/>
        </w:rPr>
        <w:t xml:space="preserve"> עיקריים</w:t>
      </w:r>
      <w:r w:rsidR="003765C7">
        <w:rPr>
          <w:rStyle w:val="ac"/>
          <w:rtl/>
        </w:rPr>
        <w:footnoteReference w:id="2"/>
      </w:r>
      <w:r w:rsidR="00D32336">
        <w:rPr>
          <w:rFonts w:cs="David"/>
          <w:rtl/>
        </w:rPr>
        <w:t>:</w:t>
      </w:r>
    </w:p>
    <w:p w:rsidR="00FD7E47" w:rsidRPr="00901A33" w:rsidRDefault="00FD7E47" w:rsidP="00FD7E47">
      <w:pPr>
        <w:pStyle w:val="12"/>
        <w:tabs>
          <w:tab w:val="left" w:pos="1160"/>
        </w:tabs>
        <w:spacing w:before="0" w:after="120" w:line="360" w:lineRule="auto"/>
        <w:ind w:left="1160" w:hanging="450"/>
      </w:pPr>
      <w:r w:rsidRPr="00901A33">
        <w:t>(I</w:t>
      </w:r>
      <w:r w:rsidRPr="00901A33">
        <w:tab/>
      </w:r>
      <w:r w:rsidRPr="00901A33">
        <w:rPr>
          <w:b/>
          <w:bCs/>
          <w:rtl/>
        </w:rPr>
        <w:t>בתקופה שבין שנת 1970 ועד לשנת 1990 הועסק ה</w:t>
      </w:r>
      <w:r w:rsidR="00F66FAD">
        <w:rPr>
          <w:b/>
          <w:bCs/>
          <w:rtl/>
        </w:rPr>
        <w:t>מערער</w:t>
      </w:r>
      <w:r w:rsidRPr="00901A33">
        <w:rPr>
          <w:b/>
          <w:bCs/>
          <w:rtl/>
        </w:rPr>
        <w:t xml:space="preserve"> תחת כתב מינוי</w:t>
      </w:r>
      <w:r w:rsidRPr="00901A33">
        <w:rPr>
          <w:rtl/>
        </w:rPr>
        <w:t>;</w:t>
      </w:r>
    </w:p>
    <w:p w:rsidR="00FD7E47" w:rsidRPr="00901A33" w:rsidRDefault="00FD7E47" w:rsidP="0057045E">
      <w:pPr>
        <w:pStyle w:val="12"/>
        <w:tabs>
          <w:tab w:val="left" w:pos="1160"/>
        </w:tabs>
        <w:spacing w:before="0" w:after="240" w:line="360" w:lineRule="auto"/>
        <w:ind w:left="1160" w:hanging="450"/>
      </w:pPr>
      <w:r w:rsidRPr="00901A33">
        <w:rPr>
          <w:u w:val="single"/>
        </w:rPr>
        <w:t>II</w:t>
      </w:r>
      <w:r w:rsidRPr="00901A33">
        <w:rPr>
          <w:rtl/>
        </w:rPr>
        <w:t>)</w:t>
      </w:r>
      <w:r w:rsidRPr="00901A33">
        <w:rPr>
          <w:rtl/>
        </w:rPr>
        <w:tab/>
      </w:r>
      <w:r w:rsidR="001836D7">
        <w:rPr>
          <w:rtl/>
        </w:rPr>
        <w:t xml:space="preserve">לבקשת המדינה, </w:t>
      </w:r>
      <w:r w:rsidRPr="00901A33">
        <w:rPr>
          <w:b/>
          <w:bCs/>
          <w:rtl/>
        </w:rPr>
        <w:t>החל משנת 1990 ועד לסיום עבודתו הכפוי של ה</w:t>
      </w:r>
      <w:r w:rsidR="00F66FAD">
        <w:rPr>
          <w:b/>
          <w:bCs/>
          <w:rtl/>
        </w:rPr>
        <w:t>מערער</w:t>
      </w:r>
      <w:r w:rsidRPr="00901A33">
        <w:rPr>
          <w:b/>
          <w:bCs/>
          <w:rtl/>
        </w:rPr>
        <w:t xml:space="preserve"> בשנת 2012, עבד ה</w:t>
      </w:r>
      <w:r w:rsidR="00F66FAD">
        <w:rPr>
          <w:b/>
          <w:bCs/>
          <w:rtl/>
        </w:rPr>
        <w:t>מערער</w:t>
      </w:r>
      <w:r w:rsidRPr="00901A33">
        <w:rPr>
          <w:b/>
          <w:bCs/>
          <w:rtl/>
        </w:rPr>
        <w:t xml:space="preserve"> בחוזה אישי </w:t>
      </w:r>
      <w:r w:rsidRPr="00901A33">
        <w:rPr>
          <w:rtl/>
        </w:rPr>
        <w:t>("</w:t>
      </w:r>
      <w:r w:rsidRPr="00901A33">
        <w:rPr>
          <w:b/>
          <w:bCs/>
          <w:rtl/>
        </w:rPr>
        <w:t>חוזה הבכירים</w:t>
      </w:r>
      <w:r w:rsidRPr="00901A33">
        <w:rPr>
          <w:rtl/>
        </w:rPr>
        <w:t xml:space="preserve">"), שנחתם לתקופה </w:t>
      </w:r>
      <w:r w:rsidR="00D32336">
        <w:rPr>
          <w:rtl/>
        </w:rPr>
        <w:t xml:space="preserve">של </w:t>
      </w:r>
      <w:r w:rsidR="0057045E">
        <w:rPr>
          <w:rtl/>
        </w:rPr>
        <w:t>ארבע</w:t>
      </w:r>
      <w:r w:rsidR="00D32336">
        <w:rPr>
          <w:rtl/>
        </w:rPr>
        <w:t xml:space="preserve"> שנים, והתחדש מדי ארבע שנים</w:t>
      </w:r>
      <w:r w:rsidRPr="00901A33">
        <w:rPr>
          <w:rtl/>
        </w:rPr>
        <w:t xml:space="preserve">. </w:t>
      </w:r>
    </w:p>
    <w:p w:rsidR="00EC0AC2" w:rsidRPr="00F66FAD" w:rsidRDefault="00D32336" w:rsidP="00F756EA">
      <w:pPr>
        <w:pStyle w:val="a8"/>
        <w:numPr>
          <w:ilvl w:val="0"/>
          <w:numId w:val="1"/>
        </w:numPr>
        <w:spacing w:after="240" w:line="360" w:lineRule="auto"/>
        <w:ind w:left="674" w:hanging="630"/>
        <w:rPr>
          <w:rStyle w:val="emailstyle17"/>
          <w:rFonts w:ascii="Times New Roman" w:hAnsi="Times New Roman" w:cs="David"/>
        </w:rPr>
      </w:pPr>
      <w:r>
        <w:rPr>
          <w:rFonts w:ascii="David" w:hAnsi="David" w:cs="David"/>
          <w:rtl/>
        </w:rPr>
        <w:t xml:space="preserve">כאמור לעיל, </w:t>
      </w:r>
      <w:r w:rsidR="00F66FAD" w:rsidRPr="00F66FAD">
        <w:rPr>
          <w:rFonts w:ascii="David" w:hAnsi="David" w:cs="David"/>
          <w:rtl/>
        </w:rPr>
        <w:t>ב</w:t>
      </w:r>
      <w:r w:rsidR="00EC0AC2" w:rsidRPr="00F66FAD">
        <w:rPr>
          <w:rStyle w:val="emailstyle17"/>
          <w:rFonts w:cs="David"/>
          <w:sz w:val="22"/>
          <w:rtl/>
        </w:rPr>
        <w:t>מהלך שנת 1990, בעת העסקתו כחשב בכיר של משרד המשפטים, ביקשה המדינה מה</w:t>
      </w:r>
      <w:r w:rsidR="00F66FAD" w:rsidRPr="00F66FAD">
        <w:rPr>
          <w:rStyle w:val="emailstyle17"/>
          <w:rFonts w:cs="David"/>
          <w:sz w:val="22"/>
          <w:rtl/>
        </w:rPr>
        <w:t>מערער</w:t>
      </w:r>
      <w:r w:rsidR="00EC0AC2" w:rsidRPr="00F66FAD">
        <w:rPr>
          <w:rStyle w:val="emailstyle17"/>
          <w:rFonts w:cs="David"/>
          <w:sz w:val="22"/>
          <w:rtl/>
        </w:rPr>
        <w:t xml:space="preserve"> ומעובדים בכירים בשירותה,</w:t>
      </w:r>
      <w:r w:rsidR="00EC0AC2" w:rsidRPr="00F66FAD">
        <w:rPr>
          <w:rStyle w:val="emailstyle17"/>
          <w:rFonts w:cs="David"/>
          <w:bCs/>
          <w:sz w:val="22"/>
          <w:rtl/>
        </w:rPr>
        <w:t xml:space="preserve"> לוותר על הקביעות ממנה נהנים עובדים בכתב מינוי</w:t>
      </w:r>
      <w:r w:rsidR="00EC0AC2" w:rsidRPr="00F66FAD">
        <w:rPr>
          <w:rStyle w:val="emailstyle17"/>
          <w:rFonts w:ascii="Times New Roman" w:hAnsi="Times New Roman" w:cs="David"/>
          <w:rtl/>
        </w:rPr>
        <w:t>,</w:t>
      </w:r>
      <w:r w:rsidR="00EC0AC2" w:rsidRPr="00F66FAD">
        <w:rPr>
          <w:rStyle w:val="emailstyle17"/>
          <w:rFonts w:cs="David"/>
          <w:sz w:val="22"/>
          <w:rtl/>
        </w:rPr>
        <w:t xml:space="preserve"> ולהעסיקם </w:t>
      </w:r>
      <w:r w:rsidR="00EC0AC2" w:rsidRPr="00F66FAD">
        <w:rPr>
          <w:rStyle w:val="emailstyle17"/>
          <w:rFonts w:cs="David"/>
          <w:bCs/>
          <w:sz w:val="22"/>
          <w:rtl/>
        </w:rPr>
        <w:t>בתנאי שכר ותנאי פרישה משופרים</w:t>
      </w:r>
      <w:r w:rsidR="00EC0AC2" w:rsidRPr="00F66FAD">
        <w:rPr>
          <w:rStyle w:val="emailstyle17"/>
          <w:rFonts w:cs="David"/>
          <w:sz w:val="22"/>
          <w:rtl/>
        </w:rPr>
        <w:t xml:space="preserve">, בחוזה אישי </w:t>
      </w:r>
      <w:r w:rsidR="00EC0AC2" w:rsidRPr="00F66FAD">
        <w:rPr>
          <w:rStyle w:val="emailstyle17"/>
          <w:rFonts w:cs="David"/>
          <w:bCs/>
          <w:sz w:val="22"/>
          <w:rtl/>
        </w:rPr>
        <w:t>לתקופה קצובה</w:t>
      </w:r>
      <w:r w:rsidR="00EC0AC2" w:rsidRPr="00F66FAD">
        <w:rPr>
          <w:rStyle w:val="emailstyle17"/>
          <w:rFonts w:cs="David"/>
          <w:sz w:val="22"/>
          <w:rtl/>
        </w:rPr>
        <w:t>, שיחודש מדי 4 שנים.</w:t>
      </w:r>
    </w:p>
    <w:p w:rsidR="000A5CEB" w:rsidRDefault="00EC0AC2" w:rsidP="009B1B4D">
      <w:pPr>
        <w:pStyle w:val="12"/>
        <w:spacing w:before="0" w:after="240" w:line="360" w:lineRule="auto"/>
        <w:ind w:left="674" w:firstLine="0"/>
        <w:rPr>
          <w:rStyle w:val="emailstyle17"/>
          <w:sz w:val="22"/>
          <w:rtl/>
        </w:rPr>
      </w:pPr>
      <w:r w:rsidRPr="00901A33">
        <w:rPr>
          <w:rStyle w:val="emailstyle17"/>
          <w:sz w:val="22"/>
          <w:rtl/>
        </w:rPr>
        <w:t xml:space="preserve">על אף הסיכונים שהיו גלומים בוויתור על הקביעות, במיוחד לעובדים שאינם קרובים לגיל הפרישה, (שבעטיים נמנעו </w:t>
      </w:r>
      <w:r w:rsidRPr="00BB673A">
        <w:rPr>
          <w:rStyle w:val="emailstyle17"/>
          <w:sz w:val="22"/>
          <w:rtl/>
        </w:rPr>
        <w:t>בזמנו רבים – בעיקר הצעירים יחסית - מלחתום על החוזה המוצע), הסכים ה</w:t>
      </w:r>
      <w:r w:rsidR="00F66FAD" w:rsidRPr="00BB673A">
        <w:rPr>
          <w:rStyle w:val="emailstyle17"/>
          <w:sz w:val="22"/>
          <w:rtl/>
        </w:rPr>
        <w:t>מערער</w:t>
      </w:r>
      <w:r w:rsidRPr="00BB673A">
        <w:rPr>
          <w:rStyle w:val="emailstyle17"/>
          <w:sz w:val="22"/>
          <w:rtl/>
        </w:rPr>
        <w:t xml:space="preserve"> (שהיה בן 45 </w:t>
      </w:r>
      <w:r w:rsidR="003D4838" w:rsidRPr="00BB673A">
        <w:rPr>
          <w:rStyle w:val="emailstyle17"/>
          <w:sz w:val="22"/>
          <w:rtl/>
        </w:rPr>
        <w:t>באותה עת</w:t>
      </w:r>
      <w:r w:rsidRPr="00A460C8">
        <w:rPr>
          <w:rStyle w:val="emailstyle17"/>
          <w:sz w:val="22"/>
          <w:rtl/>
        </w:rPr>
        <w:t xml:space="preserve">) </w:t>
      </w:r>
      <w:r w:rsidRPr="009B1B4D">
        <w:rPr>
          <w:rStyle w:val="emailstyle17"/>
          <w:sz w:val="22"/>
          <w:rtl/>
        </w:rPr>
        <w:t>להפסקת ש</w:t>
      </w:r>
      <w:r w:rsidR="003D4838" w:rsidRPr="009B1B4D">
        <w:rPr>
          <w:rStyle w:val="emailstyle17"/>
          <w:sz w:val="22"/>
          <w:rtl/>
        </w:rPr>
        <w:t>י</w:t>
      </w:r>
      <w:r w:rsidRPr="009B1B4D">
        <w:rPr>
          <w:rStyle w:val="emailstyle17"/>
          <w:sz w:val="22"/>
          <w:rtl/>
        </w:rPr>
        <w:t xml:space="preserve">רותו בכתב מינוי, ולחתום על חוזה הבכירים. </w:t>
      </w:r>
    </w:p>
    <w:p w:rsidR="000A5CEB" w:rsidRPr="00901A33" w:rsidRDefault="000A5CEB" w:rsidP="000A5CEB">
      <w:pPr>
        <w:pStyle w:val="12"/>
        <w:spacing w:before="0" w:after="240" w:line="360" w:lineRule="auto"/>
        <w:ind w:left="674" w:firstLine="0"/>
        <w:rPr>
          <w:rStyle w:val="emailstyle17"/>
          <w:sz w:val="22"/>
          <w:rtl/>
        </w:rPr>
      </w:pPr>
      <w:r w:rsidRPr="00901A33">
        <w:rPr>
          <w:rStyle w:val="emailstyle17"/>
          <w:sz w:val="22"/>
          <w:rtl/>
        </w:rPr>
        <w:t>ה</w:t>
      </w:r>
      <w:r>
        <w:rPr>
          <w:rStyle w:val="emailstyle17"/>
          <w:sz w:val="22"/>
          <w:rtl/>
        </w:rPr>
        <w:t>מערער</w:t>
      </w:r>
      <w:r w:rsidRPr="00901A33">
        <w:rPr>
          <w:rStyle w:val="emailstyle17"/>
          <w:sz w:val="22"/>
          <w:rtl/>
        </w:rPr>
        <w:t xml:space="preserve"> חתם על החוזה </w:t>
      </w:r>
      <w:r w:rsidRPr="00901A33">
        <w:rPr>
          <w:rStyle w:val="emailstyle17"/>
          <w:bCs/>
          <w:sz w:val="22"/>
          <w:rtl/>
        </w:rPr>
        <w:t xml:space="preserve">מתוך אמון ביכולותיו האישיות, ובין היתר גם בהתחשב בסעיף 17 לחוזה המבהיר שככל שיהיו שינויים </w:t>
      </w:r>
      <w:r w:rsidRPr="003D4838">
        <w:rPr>
          <w:rStyle w:val="emailstyle17"/>
          <w:bCs/>
          <w:sz w:val="22"/>
          <w:u w:val="single"/>
          <w:rtl/>
        </w:rPr>
        <w:t>לטובת העובדים</w:t>
      </w:r>
      <w:r w:rsidRPr="00901A33">
        <w:rPr>
          <w:rStyle w:val="emailstyle17"/>
          <w:bCs/>
          <w:sz w:val="22"/>
          <w:rtl/>
        </w:rPr>
        <w:t xml:space="preserve"> בתנאים מיוחדים, באותו מעמד, הם יחולו גם עליו</w:t>
      </w:r>
      <w:r w:rsidRPr="00901A33">
        <w:rPr>
          <w:rStyle w:val="emailstyle17"/>
          <w:sz w:val="22"/>
          <w:rtl/>
        </w:rPr>
        <w:t xml:space="preserve">. </w:t>
      </w:r>
    </w:p>
    <w:p w:rsidR="00EC0AC2" w:rsidRPr="00901A33" w:rsidRDefault="009D29E6" w:rsidP="009B1B4D">
      <w:pPr>
        <w:pStyle w:val="12"/>
        <w:spacing w:before="0" w:after="240" w:line="360" w:lineRule="auto"/>
        <w:ind w:left="674" w:firstLine="0"/>
        <w:rPr>
          <w:rStyle w:val="emailstyle17"/>
          <w:sz w:val="22"/>
          <w:rtl/>
        </w:rPr>
      </w:pPr>
      <w:r w:rsidRPr="009B1B4D">
        <w:rPr>
          <w:rStyle w:val="emailstyle17"/>
          <w:sz w:val="22"/>
          <w:rtl/>
        </w:rPr>
        <w:t xml:space="preserve">חוזה הבכירים </w:t>
      </w:r>
      <w:r w:rsidRPr="00592C88">
        <w:rPr>
          <w:rStyle w:val="emailstyle17"/>
          <w:sz w:val="22"/>
          <w:rtl/>
        </w:rPr>
        <w:t xml:space="preserve">נכנס לתוקף </w:t>
      </w:r>
      <w:r w:rsidRPr="00177169">
        <w:rPr>
          <w:rStyle w:val="emailstyle17"/>
          <w:bCs/>
          <w:sz w:val="22"/>
          <w:rtl/>
        </w:rPr>
        <w:t>ביום 1.4.1990</w:t>
      </w:r>
      <w:r w:rsidRPr="00745FA4">
        <w:rPr>
          <w:rStyle w:val="emailstyle17"/>
          <w:sz w:val="22"/>
          <w:rtl/>
        </w:rPr>
        <w:t>, מועד שבו הועסק המערער כחשב בכיר במשרד המשפטים כשדרגתו היא 12 בדירוג המח"ר</w:t>
      </w:r>
      <w:r w:rsidR="009B1B4D" w:rsidRPr="00164CDC">
        <w:rPr>
          <w:rStyle w:val="emailstyle17"/>
          <w:sz w:val="22"/>
          <w:rtl/>
        </w:rPr>
        <w:t>,</w:t>
      </w:r>
      <w:r w:rsidR="00BB673A" w:rsidRPr="00164CDC">
        <w:rPr>
          <w:rStyle w:val="emailstyle17"/>
          <w:sz w:val="22"/>
          <w:rtl/>
        </w:rPr>
        <w:t xml:space="preserve"> </w:t>
      </w:r>
      <w:r w:rsidR="00BB673A" w:rsidRPr="00164CDC">
        <w:rPr>
          <w:rStyle w:val="emailstyle17"/>
          <w:color w:val="auto"/>
          <w:sz w:val="22"/>
          <w:rtl/>
        </w:rPr>
        <w:t>דרגה אחת מתחת לדרגת השיא בסולם דרגות המח"ר</w:t>
      </w:r>
      <w:r w:rsidRPr="009B1B4D">
        <w:rPr>
          <w:rStyle w:val="emailstyle17"/>
          <w:sz w:val="22"/>
          <w:rtl/>
        </w:rPr>
        <w:t>.</w:t>
      </w:r>
      <w:r w:rsidRPr="009B1B4D">
        <w:rPr>
          <w:rStyle w:val="ac"/>
          <w:rFonts w:ascii="Arial" w:hAnsi="Arial" w:cs="David"/>
          <w:color w:val="000000"/>
          <w:sz w:val="22"/>
          <w:rtl/>
        </w:rPr>
        <w:t xml:space="preserve"> </w:t>
      </w:r>
      <w:r w:rsidRPr="009B1B4D">
        <w:rPr>
          <w:rStyle w:val="ac"/>
          <w:rFonts w:ascii="Arial" w:hAnsi="Arial" w:cs="David"/>
          <w:color w:val="000000"/>
          <w:sz w:val="22"/>
          <w:rtl/>
        </w:rPr>
        <w:footnoteReference w:id="3"/>
      </w:r>
      <w:r w:rsidR="00BB673A">
        <w:rPr>
          <w:rFonts w:ascii="Arial" w:hAnsi="Arial"/>
          <w:color w:val="000000"/>
          <w:sz w:val="22"/>
          <w:rtl/>
        </w:rPr>
        <w:t xml:space="preserve"> </w:t>
      </w:r>
    </w:p>
    <w:p w:rsidR="00EC0AC2" w:rsidRDefault="00EC0AC2" w:rsidP="00F756EA">
      <w:pPr>
        <w:pStyle w:val="a8"/>
        <w:numPr>
          <w:ilvl w:val="0"/>
          <w:numId w:val="1"/>
        </w:numPr>
        <w:tabs>
          <w:tab w:val="left" w:pos="674"/>
        </w:tabs>
        <w:spacing w:after="240" w:line="360" w:lineRule="auto"/>
        <w:ind w:left="674" w:hanging="630"/>
        <w:rPr>
          <w:rFonts w:ascii="David" w:hAnsi="David" w:cs="David"/>
        </w:rPr>
      </w:pPr>
      <w:r w:rsidRPr="003D4838">
        <w:rPr>
          <w:rFonts w:ascii="David" w:hAnsi="David" w:cs="David"/>
          <w:rtl/>
        </w:rPr>
        <w:t>חוזה הבכירים עליו חתם ה</w:t>
      </w:r>
      <w:r w:rsidR="00F66FAD" w:rsidRPr="003D4838">
        <w:rPr>
          <w:rFonts w:ascii="David" w:hAnsi="David" w:cs="David"/>
          <w:rtl/>
        </w:rPr>
        <w:t>מערער</w:t>
      </w:r>
      <w:r w:rsidRPr="003D4838">
        <w:rPr>
          <w:rFonts w:ascii="David" w:hAnsi="David" w:cs="David"/>
          <w:rtl/>
        </w:rPr>
        <w:t xml:space="preserve"> ושעליו הוחתמו העובדים הבכירים באותה עת הוא חוזה סטנדרטי ואחיד המכונה -"חוזה מיוחד להעסקת עובד", שנערך בהתאם להוראות תקנות שירות המדינה (מינויים) (חוזה מיוחד), התש"ך – 1960, ונסמן 16.414 בתקשי"ר, </w:t>
      </w:r>
      <w:r w:rsidRPr="003D4838">
        <w:rPr>
          <w:rFonts w:ascii="David" w:hAnsi="David" w:cs="David"/>
          <w:b/>
          <w:bCs/>
          <w:rtl/>
        </w:rPr>
        <w:t>ואשר תנאיו נוסחו ונקבעו בלעדית על ידי המדינה, בהתאם לצרכיה ורצונותיה</w:t>
      </w:r>
      <w:r w:rsidRPr="003D4838">
        <w:rPr>
          <w:rFonts w:ascii="David" w:hAnsi="David" w:cs="David"/>
          <w:rtl/>
        </w:rPr>
        <w:t xml:space="preserve">. </w:t>
      </w:r>
    </w:p>
    <w:p w:rsidR="004E27A6" w:rsidRDefault="004E27A6" w:rsidP="00446765">
      <w:pPr>
        <w:pStyle w:val="a8"/>
        <w:numPr>
          <w:ilvl w:val="0"/>
          <w:numId w:val="1"/>
        </w:numPr>
        <w:tabs>
          <w:tab w:val="left" w:pos="674"/>
        </w:tabs>
        <w:spacing w:after="240" w:line="360" w:lineRule="auto"/>
        <w:ind w:left="674" w:hanging="630"/>
        <w:rPr>
          <w:rFonts w:ascii="David" w:hAnsi="David" w:cs="David"/>
        </w:rPr>
      </w:pPr>
      <w:r>
        <w:rPr>
          <w:rFonts w:ascii="David" w:hAnsi="David" w:cs="David"/>
          <w:rtl/>
        </w:rPr>
        <w:t xml:space="preserve">יצוין כבר עתה כי החוזה קובע מנגנון להפסקת החוזה במהלך תקופת החוזה. בסעיף 2 לפסק הדין מצטט בית הדין קמא חלק ממנגנון זה, כאשר ציטוט חלקי זה יוצר את הרושם כי די בהחלטת נציב שירות המדינה </w:t>
      </w:r>
      <w:r w:rsidR="00446765">
        <w:rPr>
          <w:rFonts w:ascii="David" w:hAnsi="David" w:cs="David"/>
          <w:rtl/>
        </w:rPr>
        <w:t xml:space="preserve">– שניתנה כזכור רק בחודש דצמבר 2012 - </w:t>
      </w:r>
      <w:r>
        <w:rPr>
          <w:rFonts w:ascii="David" w:hAnsi="David" w:cs="David"/>
          <w:rtl/>
        </w:rPr>
        <w:t>כדי להביא להפסקת תוקפו של ההסכם, שעה שהחוזה קובע תנאים נוספים ואחרים.</w:t>
      </w:r>
    </w:p>
    <w:p w:rsidR="000A5CEB" w:rsidRDefault="004E27A6" w:rsidP="000A5CEB">
      <w:pPr>
        <w:pStyle w:val="a8"/>
        <w:tabs>
          <w:tab w:val="left" w:pos="674"/>
        </w:tabs>
        <w:spacing w:after="240" w:line="360" w:lineRule="auto"/>
        <w:ind w:left="674"/>
        <w:rPr>
          <w:rFonts w:ascii="David" w:hAnsi="David" w:cs="David"/>
          <w:rtl/>
        </w:rPr>
      </w:pPr>
      <w:r>
        <w:rPr>
          <w:rFonts w:ascii="David" w:hAnsi="David" w:cs="David"/>
          <w:rtl/>
        </w:rPr>
        <w:t>סעיף 4.ב. סיפא לחוזה – סעיף ממנו התעלם בית הדין קמא לחלוטין, באופן שהביא אותו להסקת מסקנות שגויות – קובע כי – "</w:t>
      </w:r>
      <w:r>
        <w:rPr>
          <w:rFonts w:ascii="David" w:hAnsi="David" w:cs="David"/>
          <w:b/>
          <w:bCs/>
          <w:i/>
          <w:iCs/>
          <w:rtl/>
        </w:rPr>
        <w:t>לא תופסק עבודתו של עובד אלא רק לאחר פניה מנומקת של מנכ"ל המשרד לנציב שירות המדינה, ואישור הנציב וועדת השירות</w:t>
      </w:r>
      <w:r>
        <w:rPr>
          <w:rFonts w:ascii="David" w:hAnsi="David" w:cs="David"/>
          <w:rtl/>
        </w:rPr>
        <w:t xml:space="preserve">". </w:t>
      </w:r>
    </w:p>
    <w:p w:rsidR="000A5CEB" w:rsidRDefault="000A5CEB" w:rsidP="000A5CEB">
      <w:pPr>
        <w:pStyle w:val="a8"/>
        <w:tabs>
          <w:tab w:val="left" w:pos="674"/>
        </w:tabs>
        <w:spacing w:after="240" w:line="360" w:lineRule="auto"/>
        <w:ind w:left="674"/>
        <w:rPr>
          <w:rFonts w:ascii="David" w:hAnsi="David" w:cs="David"/>
          <w:rtl/>
        </w:rPr>
      </w:pPr>
    </w:p>
    <w:p w:rsidR="00E4071C" w:rsidRDefault="004E27A6" w:rsidP="000A5CEB">
      <w:pPr>
        <w:pStyle w:val="a8"/>
        <w:tabs>
          <w:tab w:val="left" w:pos="674"/>
        </w:tabs>
        <w:spacing w:after="240" w:line="360" w:lineRule="auto"/>
        <w:ind w:left="674"/>
        <w:rPr>
          <w:rFonts w:ascii="David" w:hAnsi="David" w:cs="David"/>
          <w:rtl/>
        </w:rPr>
      </w:pPr>
      <w:r>
        <w:rPr>
          <w:rFonts w:ascii="David" w:hAnsi="David" w:cs="David"/>
          <w:rtl/>
        </w:rPr>
        <w:lastRenderedPageBreak/>
        <w:t>המשיבות לא נקטו בפרוצדורה הנדרשת</w:t>
      </w:r>
      <w:r w:rsidR="00E4071C">
        <w:rPr>
          <w:rFonts w:ascii="David" w:hAnsi="David" w:cs="David"/>
          <w:rtl/>
        </w:rPr>
        <w:t xml:space="preserve"> לסיום העסקתו של המערער</w:t>
      </w:r>
      <w:r>
        <w:rPr>
          <w:rFonts w:ascii="David" w:hAnsi="David" w:cs="David"/>
          <w:rtl/>
        </w:rPr>
        <w:t>, ועל כן פיטוריו נעשו בניגוד לדין (בניגוד להנחה של בית הדין קמא כי ניתן היה להפסיק את תוקפו של ההסכם בהחלטת נציב</w:t>
      </w:r>
      <w:r w:rsidR="00E4071C">
        <w:rPr>
          <w:rFonts w:ascii="David" w:hAnsi="David" w:cs="David"/>
          <w:rtl/>
        </w:rPr>
        <w:t xml:space="preserve"> שירות המדינה</w:t>
      </w:r>
      <w:r>
        <w:rPr>
          <w:rFonts w:ascii="David" w:hAnsi="David" w:cs="David"/>
          <w:rtl/>
        </w:rPr>
        <w:t>).</w:t>
      </w:r>
      <w:r w:rsidR="00E4071C">
        <w:rPr>
          <w:rFonts w:ascii="David" w:hAnsi="David" w:cs="David"/>
          <w:rtl/>
        </w:rPr>
        <w:t xml:space="preserve"> מאחר שאין זה נושא הערעור, לא נכביר מלים בעניין זה, ונפנה את בית הדין הנכבד לאמור בכתב התביעה, ככל שיבקש להעמיק בנושא זה.</w:t>
      </w:r>
    </w:p>
    <w:p w:rsidR="00E4071C" w:rsidRDefault="00E4071C" w:rsidP="003D4838">
      <w:pPr>
        <w:pStyle w:val="a8"/>
        <w:tabs>
          <w:tab w:val="left" w:pos="674"/>
        </w:tabs>
        <w:spacing w:after="240" w:line="360" w:lineRule="auto"/>
        <w:ind w:left="44"/>
        <w:rPr>
          <w:rStyle w:val="emailstyle17"/>
          <w:rFonts w:ascii="Times New Roman" w:hAnsi="Times New Roman" w:cs="David"/>
          <w:b/>
          <w:bCs/>
          <w:color w:val="auto"/>
          <w:sz w:val="24"/>
          <w:u w:val="single"/>
          <w:rtl/>
        </w:rPr>
      </w:pPr>
    </w:p>
    <w:p w:rsidR="00EC0AC2" w:rsidRPr="003D4838" w:rsidRDefault="00EC0AC2" w:rsidP="00E4071C">
      <w:pPr>
        <w:pStyle w:val="a8"/>
        <w:tabs>
          <w:tab w:val="left" w:pos="674"/>
        </w:tabs>
        <w:spacing w:after="120" w:line="360" w:lineRule="auto"/>
        <w:ind w:left="44"/>
        <w:rPr>
          <w:rStyle w:val="emailstyle17"/>
          <w:rFonts w:ascii="Times New Roman" w:hAnsi="Times New Roman" w:cs="David"/>
          <w:b/>
          <w:bCs/>
          <w:color w:val="auto"/>
          <w:sz w:val="24"/>
          <w:u w:val="single"/>
        </w:rPr>
      </w:pPr>
      <w:r w:rsidRPr="003D4838">
        <w:rPr>
          <w:rStyle w:val="emailstyle17"/>
          <w:rFonts w:ascii="Times New Roman" w:hAnsi="Times New Roman" w:cs="David"/>
          <w:b/>
          <w:bCs/>
          <w:color w:val="auto"/>
          <w:sz w:val="24"/>
          <w:u w:val="single"/>
          <w:rtl/>
        </w:rPr>
        <w:t>התנהלות הצדדים במהלך השנים</w:t>
      </w:r>
    </w:p>
    <w:p w:rsidR="003D4838" w:rsidRDefault="00EC0AC2" w:rsidP="00F756EA">
      <w:pPr>
        <w:pStyle w:val="a8"/>
        <w:numPr>
          <w:ilvl w:val="0"/>
          <w:numId w:val="1"/>
        </w:numPr>
        <w:tabs>
          <w:tab w:val="left" w:pos="674"/>
        </w:tabs>
        <w:spacing w:after="240" w:line="360" w:lineRule="auto"/>
        <w:ind w:left="674" w:hanging="630"/>
        <w:rPr>
          <w:rFonts w:ascii="David" w:hAnsi="David" w:cs="David"/>
        </w:rPr>
      </w:pPr>
      <w:r w:rsidRPr="003D4838">
        <w:rPr>
          <w:rFonts w:ascii="David" w:hAnsi="David" w:cs="David"/>
          <w:rtl/>
        </w:rPr>
        <w:t>כאמור במנגנון הקבוע בחוזה, בכל ארבע שנים, מאז תום תקופת החוזה הראשונה בשנת 1994, ובהיעדר הודעה מראש של אחד מהצדדים על אי רצונו להאריך את החוזה, הוארך החוזה מאליו פעם אחר פעם, לארבע שנים נוספות כל פעם</w:t>
      </w:r>
      <w:r w:rsidR="003D4838">
        <w:rPr>
          <w:rFonts w:ascii="David" w:hAnsi="David" w:cs="David"/>
          <w:rtl/>
        </w:rPr>
        <w:t>, ובסך הכל – חמש פעמים</w:t>
      </w:r>
      <w:r w:rsidRPr="003D4838">
        <w:rPr>
          <w:rFonts w:ascii="David" w:hAnsi="David" w:cs="David"/>
          <w:rtl/>
        </w:rPr>
        <w:t xml:space="preserve">. </w:t>
      </w:r>
    </w:p>
    <w:p w:rsidR="003D4838" w:rsidRDefault="003D4838" w:rsidP="00935657">
      <w:pPr>
        <w:pStyle w:val="a8"/>
        <w:numPr>
          <w:ilvl w:val="0"/>
          <w:numId w:val="1"/>
        </w:numPr>
        <w:tabs>
          <w:tab w:val="left" w:pos="674"/>
        </w:tabs>
        <w:spacing w:after="240" w:line="360" w:lineRule="auto"/>
        <w:ind w:left="674" w:hanging="630"/>
        <w:rPr>
          <w:rFonts w:ascii="David" w:hAnsi="David" w:cs="David"/>
        </w:rPr>
      </w:pPr>
      <w:r>
        <w:rPr>
          <w:rFonts w:ascii="David" w:hAnsi="David" w:cs="David"/>
          <w:rtl/>
        </w:rPr>
        <w:t>במהלך</w:t>
      </w:r>
      <w:r w:rsidR="00EC0AC2" w:rsidRPr="003D4838">
        <w:rPr>
          <w:rFonts w:ascii="David" w:hAnsi="David" w:cs="David"/>
          <w:rtl/>
        </w:rPr>
        <w:t xml:space="preserve"> שנות התשעים שינתה </w:t>
      </w:r>
      <w:r w:rsidR="00935657">
        <w:rPr>
          <w:rFonts w:ascii="David" w:hAnsi="David" w:cs="David"/>
          <w:rtl/>
        </w:rPr>
        <w:t xml:space="preserve">נציבות שירות המדינה, </w:t>
      </w:r>
      <w:r w:rsidR="00F66FAD" w:rsidRPr="003D4838">
        <w:rPr>
          <w:rFonts w:ascii="David" w:hAnsi="David" w:cs="David"/>
          <w:rtl/>
        </w:rPr>
        <w:t>משיבה</w:t>
      </w:r>
      <w:r w:rsidR="00EC0AC2" w:rsidRPr="003D4838">
        <w:rPr>
          <w:rFonts w:ascii="David" w:hAnsi="David" w:cs="David"/>
          <w:rtl/>
        </w:rPr>
        <w:t xml:space="preserve"> </w:t>
      </w:r>
      <w:r w:rsidR="00935657">
        <w:rPr>
          <w:rFonts w:ascii="David" w:hAnsi="David" w:cs="David"/>
          <w:rtl/>
        </w:rPr>
        <w:t>1,</w:t>
      </w:r>
      <w:r w:rsidR="00935657" w:rsidRPr="003D4838">
        <w:rPr>
          <w:rFonts w:ascii="David" w:hAnsi="David" w:cs="David"/>
          <w:rtl/>
        </w:rPr>
        <w:t xml:space="preserve"> </w:t>
      </w:r>
      <w:r w:rsidR="00EC0AC2" w:rsidRPr="003D4838">
        <w:rPr>
          <w:rFonts w:ascii="David" w:hAnsi="David" w:cs="David"/>
          <w:rtl/>
        </w:rPr>
        <w:t>את נוסח החוזה שהוצע לעובדים אחרים במעמד דומה לזה של ה</w:t>
      </w:r>
      <w:r w:rsidR="00F66FAD" w:rsidRPr="003D4838">
        <w:rPr>
          <w:rFonts w:ascii="David" w:hAnsi="David" w:cs="David"/>
          <w:rtl/>
        </w:rPr>
        <w:t>מערער</w:t>
      </w:r>
      <w:r>
        <w:rPr>
          <w:rFonts w:ascii="David" w:hAnsi="David" w:cs="David"/>
          <w:rtl/>
        </w:rPr>
        <w:t>,</w:t>
      </w:r>
      <w:r w:rsidR="00EC0AC2" w:rsidRPr="003D4838">
        <w:rPr>
          <w:rFonts w:ascii="David" w:hAnsi="David" w:cs="David"/>
          <w:rtl/>
        </w:rPr>
        <w:t xml:space="preserve"> כך שהארכת החוזה בתום תוקפו לא תהיה "מאליו" אלא רק לאחר קבלת המלצת הממונה הישיר. </w:t>
      </w:r>
    </w:p>
    <w:p w:rsidR="00EC0AC2" w:rsidRPr="003D4838" w:rsidRDefault="00EC0AC2" w:rsidP="003D4838">
      <w:pPr>
        <w:pStyle w:val="a8"/>
        <w:tabs>
          <w:tab w:val="left" w:pos="674"/>
        </w:tabs>
        <w:spacing w:after="240" w:line="360" w:lineRule="auto"/>
        <w:ind w:left="674"/>
        <w:rPr>
          <w:rFonts w:ascii="David" w:hAnsi="David" w:cs="David"/>
        </w:rPr>
      </w:pPr>
      <w:r w:rsidRPr="003D4838">
        <w:rPr>
          <w:rFonts w:ascii="David" w:hAnsi="David" w:cs="David"/>
          <w:rtl/>
        </w:rPr>
        <w:t>בעקבות זאת פנה סגן נציב שרות המדינה בשנת 1995 ל</w:t>
      </w:r>
      <w:r w:rsidR="00F66FAD" w:rsidRPr="003D4838">
        <w:rPr>
          <w:rFonts w:ascii="David" w:hAnsi="David" w:cs="David"/>
          <w:rtl/>
        </w:rPr>
        <w:t>מערער</w:t>
      </w:r>
      <w:r w:rsidRPr="003D4838">
        <w:rPr>
          <w:rFonts w:ascii="David" w:hAnsi="David" w:cs="David"/>
          <w:rtl/>
        </w:rPr>
        <w:t>, וביקש לשנות את מנגנון הארכת תוקפו של החוזה שבידו, כך שתידרש המלצת הממונה להארכת תוקפו של החוזה (בדומה לנוסח של החוזים החדשים  לעובדים בכירים), בתמורה לשינוי תנאי הפרישה (כך ש - 50% מהפנסיה תחושב תמיד לפי משכורת החוזה הגבוהה, גם אם תקופת העבודה בחוזה הבכירים תהיה פחות ממחצית תקופת השרות הכוללת</w:t>
      </w:r>
      <w:r w:rsidR="003D4838">
        <w:rPr>
          <w:rFonts w:ascii="David" w:hAnsi="David" w:cs="David"/>
          <w:rtl/>
        </w:rPr>
        <w:t xml:space="preserve"> – מתכונת חוזה המכונה 50 - 50</w:t>
      </w:r>
      <w:r w:rsidRPr="003D4838">
        <w:rPr>
          <w:rFonts w:ascii="David" w:hAnsi="David" w:cs="David"/>
          <w:rtl/>
        </w:rPr>
        <w:t>).</w:t>
      </w:r>
    </w:p>
    <w:p w:rsidR="00EC0AC2" w:rsidRPr="003D4838" w:rsidRDefault="00EC0AC2" w:rsidP="00AD5378">
      <w:pPr>
        <w:pStyle w:val="a8"/>
        <w:tabs>
          <w:tab w:val="left" w:pos="674"/>
        </w:tabs>
        <w:spacing w:after="240" w:line="360" w:lineRule="auto"/>
        <w:ind w:left="674"/>
        <w:rPr>
          <w:rFonts w:ascii="David" w:hAnsi="David" w:cs="David"/>
          <w:rtl/>
        </w:rPr>
      </w:pPr>
      <w:r w:rsidRPr="00D32336">
        <w:rPr>
          <w:rFonts w:ascii="David" w:hAnsi="David" w:cs="David"/>
          <w:b/>
          <w:bCs/>
          <w:rtl/>
        </w:rPr>
        <w:t>ה</w:t>
      </w:r>
      <w:r w:rsidR="00F66FAD" w:rsidRPr="00D32336">
        <w:rPr>
          <w:rFonts w:ascii="David" w:hAnsi="David" w:cs="David"/>
          <w:b/>
          <w:bCs/>
          <w:rtl/>
        </w:rPr>
        <w:t>מערער</w:t>
      </w:r>
      <w:r w:rsidRPr="00D32336">
        <w:rPr>
          <w:rFonts w:ascii="David" w:hAnsi="David" w:cs="David"/>
          <w:b/>
          <w:bCs/>
          <w:rtl/>
        </w:rPr>
        <w:t xml:space="preserve"> סירב לשינוי מהותי זה</w:t>
      </w:r>
      <w:r w:rsidRPr="003D4838">
        <w:rPr>
          <w:rFonts w:ascii="David" w:hAnsi="David" w:cs="David"/>
          <w:rtl/>
        </w:rPr>
        <w:t>, בין היתר מאחר שהוא ציפה לקריירה ארוכת שנים, שתביא לכך שתקופת עבודתו בחוזה בכירים תהיה ארוכה יותר מתקופת עבודתו בכתב מינוי. במקרה כזה –כפי שאכן התרחש בפועל - ה"שיפור" המוצע (50</w:t>
      </w:r>
      <w:r w:rsidR="00F97A11">
        <w:rPr>
          <w:rFonts w:ascii="David" w:hAnsi="David" w:cs="David"/>
          <w:rtl/>
        </w:rPr>
        <w:t xml:space="preserve"> - </w:t>
      </w:r>
      <w:r w:rsidRPr="003D4838">
        <w:rPr>
          <w:rFonts w:ascii="David" w:hAnsi="David" w:cs="David"/>
          <w:rtl/>
        </w:rPr>
        <w:t>50) היה מקטין את הפנסיה של ה</w:t>
      </w:r>
      <w:r w:rsidR="00F66FAD" w:rsidRPr="003D4838">
        <w:rPr>
          <w:rFonts w:ascii="David" w:hAnsi="David" w:cs="David"/>
          <w:rtl/>
        </w:rPr>
        <w:t>מערער</w:t>
      </w:r>
      <w:r w:rsidRPr="003D4838">
        <w:rPr>
          <w:rFonts w:ascii="David" w:hAnsi="David" w:cs="David"/>
          <w:rtl/>
        </w:rPr>
        <w:t xml:space="preserve"> (מאחר שה</w:t>
      </w:r>
      <w:r w:rsidR="00F66FAD" w:rsidRPr="003D4838">
        <w:rPr>
          <w:rFonts w:ascii="David" w:hAnsi="David" w:cs="David"/>
          <w:rtl/>
        </w:rPr>
        <w:t>מערער</w:t>
      </w:r>
      <w:r w:rsidRPr="003D4838">
        <w:rPr>
          <w:rFonts w:ascii="David" w:hAnsi="David" w:cs="David"/>
          <w:rtl/>
        </w:rPr>
        <w:t xml:space="preserve"> עבד תקופה ארוכה יותר בחוזה בכירים מהתקופה בה עבד על פי כתב מינוי).</w:t>
      </w:r>
      <w:r w:rsidR="009D29E6">
        <w:rPr>
          <w:rStyle w:val="ac"/>
          <w:rFonts w:ascii="David" w:hAnsi="David"/>
          <w:rtl/>
        </w:rPr>
        <w:footnoteReference w:id="4"/>
      </w:r>
    </w:p>
    <w:p w:rsidR="00EC0AC2" w:rsidRDefault="00EC0AC2" w:rsidP="00F756EA">
      <w:pPr>
        <w:pStyle w:val="a8"/>
        <w:numPr>
          <w:ilvl w:val="0"/>
          <w:numId w:val="1"/>
        </w:numPr>
        <w:tabs>
          <w:tab w:val="left" w:pos="674"/>
        </w:tabs>
        <w:spacing w:after="240" w:line="360" w:lineRule="auto"/>
        <w:ind w:left="674" w:hanging="630"/>
        <w:rPr>
          <w:rFonts w:ascii="David" w:hAnsi="David" w:cs="David"/>
        </w:rPr>
      </w:pPr>
      <w:r w:rsidRPr="003D4838">
        <w:rPr>
          <w:rFonts w:ascii="David" w:hAnsi="David" w:cs="David"/>
          <w:rtl/>
        </w:rPr>
        <w:t>ה</w:t>
      </w:r>
      <w:r w:rsidR="00F66FAD" w:rsidRPr="003D4838">
        <w:rPr>
          <w:rFonts w:ascii="David" w:hAnsi="David" w:cs="David"/>
          <w:rtl/>
        </w:rPr>
        <w:t>משיבה</w:t>
      </w:r>
      <w:r w:rsidRPr="003D4838">
        <w:rPr>
          <w:rFonts w:ascii="David" w:hAnsi="David" w:cs="David"/>
          <w:rtl/>
        </w:rPr>
        <w:t xml:space="preserve"> חזרה והציעה את השינוי הנ"ל בשנת 1997, וה</w:t>
      </w:r>
      <w:r w:rsidR="00F66FAD" w:rsidRPr="003D4838">
        <w:rPr>
          <w:rFonts w:ascii="David" w:hAnsi="David" w:cs="David"/>
          <w:rtl/>
        </w:rPr>
        <w:t>מערער</w:t>
      </w:r>
      <w:r w:rsidRPr="003D4838">
        <w:rPr>
          <w:rFonts w:ascii="David" w:hAnsi="David" w:cs="David"/>
          <w:rtl/>
        </w:rPr>
        <w:t xml:space="preserve"> לא הסכים לכך פעם נוספת. </w:t>
      </w:r>
    </w:p>
    <w:p w:rsidR="00E4071C" w:rsidRDefault="003D4838" w:rsidP="00AD5378">
      <w:pPr>
        <w:pStyle w:val="a8"/>
        <w:numPr>
          <w:ilvl w:val="0"/>
          <w:numId w:val="1"/>
        </w:numPr>
        <w:tabs>
          <w:tab w:val="left" w:pos="674"/>
        </w:tabs>
        <w:spacing w:after="240" w:line="360" w:lineRule="auto"/>
        <w:ind w:left="674" w:hanging="630"/>
        <w:rPr>
          <w:rFonts w:ascii="David" w:hAnsi="David" w:cs="David"/>
        </w:rPr>
      </w:pPr>
      <w:r w:rsidRPr="00F97A11">
        <w:rPr>
          <w:rFonts w:ascii="David" w:hAnsi="David" w:cs="David"/>
          <w:rtl/>
        </w:rPr>
        <w:t xml:space="preserve">יתרה מכך, לאחר שעלתה במשרד האוצר השאלה האם הארכת החוזה האוטומטית משנת 2002 תקפה ללא חתימה על חוזה הארכה, כתב המשנה לנציב שרות המדינה למערער, באמצעות סמנכ"ל </w:t>
      </w:r>
      <w:r w:rsidR="00D22B2F">
        <w:rPr>
          <w:rFonts w:ascii="David" w:hAnsi="David" w:cs="David"/>
          <w:rtl/>
        </w:rPr>
        <w:t xml:space="preserve">משרד </w:t>
      </w:r>
      <w:r w:rsidRPr="00F97A11">
        <w:rPr>
          <w:rFonts w:ascii="David" w:hAnsi="David" w:cs="David"/>
          <w:rtl/>
        </w:rPr>
        <w:t>האוצר,  ביום 8.5.2005, כי מאחר שהמערער לא הסכים לשינוי החוזה, הרי ש-"</w:t>
      </w:r>
      <w:r w:rsidRPr="00F97A11">
        <w:rPr>
          <w:rFonts w:ascii="David" w:hAnsi="David" w:cs="David"/>
          <w:b/>
          <w:bCs/>
          <w:i/>
          <w:iCs/>
          <w:rtl/>
        </w:rPr>
        <w:t>החוזה המקורי ממשיך בתוקפו</w:t>
      </w:r>
      <w:r w:rsidRPr="00F97A11">
        <w:rPr>
          <w:rFonts w:ascii="David" w:hAnsi="David" w:cs="David"/>
          <w:rtl/>
        </w:rPr>
        <w:t>" ללא שינוי.</w:t>
      </w:r>
      <w:r w:rsidR="00D32336">
        <w:rPr>
          <w:rStyle w:val="ac"/>
          <w:rFonts w:ascii="David" w:hAnsi="David" w:cs="David"/>
          <w:rtl/>
        </w:rPr>
        <w:footnoteReference w:id="5"/>
      </w:r>
      <w:r w:rsidR="00F97A11" w:rsidRPr="00F97A11">
        <w:rPr>
          <w:rFonts w:ascii="David" w:hAnsi="David" w:cs="David"/>
          <w:rtl/>
        </w:rPr>
        <w:t xml:space="preserve"> </w:t>
      </w:r>
    </w:p>
    <w:p w:rsidR="00EC0AC2" w:rsidRPr="00F97A11" w:rsidRDefault="00EC0AC2" w:rsidP="00446765">
      <w:pPr>
        <w:pStyle w:val="a8"/>
        <w:tabs>
          <w:tab w:val="left" w:pos="674"/>
        </w:tabs>
        <w:spacing w:after="240" w:line="360" w:lineRule="auto"/>
        <w:ind w:left="674"/>
        <w:rPr>
          <w:rFonts w:ascii="David" w:hAnsi="David" w:cs="David"/>
        </w:rPr>
      </w:pPr>
      <w:r w:rsidRPr="00F97A11">
        <w:rPr>
          <w:rFonts w:ascii="David" w:hAnsi="David" w:cs="David"/>
          <w:rtl/>
        </w:rPr>
        <w:t xml:space="preserve">על כן, </w:t>
      </w:r>
      <w:r w:rsidRPr="00F97A11">
        <w:rPr>
          <w:rFonts w:ascii="David" w:hAnsi="David" w:cs="David"/>
          <w:b/>
          <w:bCs/>
          <w:rtl/>
        </w:rPr>
        <w:t xml:space="preserve">החוזה נשאר בנוסחו המקורי – </w:t>
      </w:r>
      <w:r w:rsidRPr="00F97A11">
        <w:rPr>
          <w:rFonts w:ascii="David" w:hAnsi="David" w:cs="David"/>
          <w:b/>
          <w:bCs/>
          <w:u w:val="single"/>
          <w:rtl/>
        </w:rPr>
        <w:t>ללא</w:t>
      </w:r>
      <w:r w:rsidRPr="00F97A11">
        <w:rPr>
          <w:rFonts w:ascii="David" w:hAnsi="David" w:cs="David"/>
          <w:b/>
          <w:bCs/>
          <w:rtl/>
        </w:rPr>
        <w:t xml:space="preserve"> צורך בהמלצת הממונה להארכת תוקפו של החוזה</w:t>
      </w:r>
      <w:r w:rsidR="00446765">
        <w:rPr>
          <w:rFonts w:ascii="David" w:hAnsi="David" w:cs="David"/>
          <w:b/>
          <w:bCs/>
          <w:rtl/>
        </w:rPr>
        <w:t>, והוא שב והתחדש מדי ארבע שנים</w:t>
      </w:r>
      <w:r w:rsidRPr="00F97A11">
        <w:rPr>
          <w:rFonts w:ascii="David" w:hAnsi="David" w:cs="David"/>
          <w:rtl/>
        </w:rPr>
        <w:t xml:space="preserve">. </w:t>
      </w:r>
    </w:p>
    <w:p w:rsidR="00EC0AC2" w:rsidRDefault="00EC0AC2" w:rsidP="00EC0AC2">
      <w:pPr>
        <w:pStyle w:val="12"/>
        <w:tabs>
          <w:tab w:val="left" w:pos="530"/>
        </w:tabs>
        <w:spacing w:before="0" w:line="360" w:lineRule="auto"/>
        <w:ind w:left="530" w:right="360" w:firstLine="0"/>
        <w:rPr>
          <w:rStyle w:val="emailstyle17"/>
          <w:rFonts w:ascii="Times New Roman" w:hAnsi="Times New Roman"/>
          <w:rtl/>
        </w:rPr>
      </w:pPr>
    </w:p>
    <w:p w:rsidR="000A5CEB" w:rsidRPr="00901A33" w:rsidRDefault="000A5CEB" w:rsidP="00EC0AC2">
      <w:pPr>
        <w:pStyle w:val="12"/>
        <w:tabs>
          <w:tab w:val="left" w:pos="530"/>
        </w:tabs>
        <w:spacing w:before="0" w:line="360" w:lineRule="auto"/>
        <w:ind w:left="530" w:right="360" w:firstLine="0"/>
        <w:rPr>
          <w:rStyle w:val="emailstyle17"/>
          <w:rFonts w:ascii="Times New Roman" w:hAnsi="Times New Roman"/>
        </w:rPr>
      </w:pPr>
    </w:p>
    <w:p w:rsidR="00EC0AC2" w:rsidRPr="003D4838" w:rsidRDefault="00EC0AC2" w:rsidP="00E4071C">
      <w:pPr>
        <w:pStyle w:val="a8"/>
        <w:tabs>
          <w:tab w:val="left" w:pos="674"/>
        </w:tabs>
        <w:spacing w:after="240" w:line="360" w:lineRule="auto"/>
        <w:ind w:left="44"/>
        <w:rPr>
          <w:rStyle w:val="emailstyle17"/>
          <w:rFonts w:ascii="Times New Roman" w:hAnsi="Times New Roman" w:cs="David"/>
          <w:b/>
          <w:bCs/>
          <w:color w:val="auto"/>
          <w:sz w:val="24"/>
          <w:u w:val="single"/>
        </w:rPr>
      </w:pPr>
      <w:r w:rsidRPr="003D4838">
        <w:rPr>
          <w:rStyle w:val="emailstyle17"/>
          <w:rFonts w:ascii="Times New Roman" w:hAnsi="Times New Roman" w:cs="David"/>
          <w:b/>
          <w:bCs/>
          <w:color w:val="auto"/>
          <w:sz w:val="24"/>
          <w:u w:val="single"/>
          <w:rtl/>
        </w:rPr>
        <w:lastRenderedPageBreak/>
        <w:t>חידוש תוקפו של החוזה עד ליום 31.3.2014</w:t>
      </w:r>
    </w:p>
    <w:p w:rsidR="000A5CEB" w:rsidRDefault="003D4838" w:rsidP="009D6D94">
      <w:pPr>
        <w:pStyle w:val="a8"/>
        <w:numPr>
          <w:ilvl w:val="0"/>
          <w:numId w:val="1"/>
        </w:numPr>
        <w:tabs>
          <w:tab w:val="left" w:pos="674"/>
        </w:tabs>
        <w:spacing w:after="240" w:line="360" w:lineRule="auto"/>
        <w:ind w:left="674" w:hanging="630"/>
        <w:rPr>
          <w:rFonts w:ascii="David" w:hAnsi="David" w:cs="David"/>
        </w:rPr>
      </w:pPr>
      <w:r w:rsidRPr="00E4071C">
        <w:rPr>
          <w:rFonts w:ascii="David" w:hAnsi="David" w:cs="David"/>
          <w:rtl/>
        </w:rPr>
        <w:t>ביום 1.4.2010</w:t>
      </w:r>
      <w:r w:rsidR="00EC0AC2" w:rsidRPr="00E4071C">
        <w:rPr>
          <w:rFonts w:ascii="David" w:hAnsi="David" w:cs="David"/>
          <w:rtl/>
        </w:rPr>
        <w:t xml:space="preserve"> התחדש תוקפו של החוזה</w:t>
      </w:r>
      <w:r w:rsidR="00F97A11" w:rsidRPr="00E4071C">
        <w:rPr>
          <w:rFonts w:ascii="David" w:hAnsi="David" w:cs="David"/>
          <w:rtl/>
        </w:rPr>
        <w:t>, בפעם החמישית ברציפות,</w:t>
      </w:r>
      <w:r w:rsidR="00EC0AC2" w:rsidRPr="00E4071C">
        <w:rPr>
          <w:rFonts w:ascii="David" w:hAnsi="David" w:cs="David"/>
          <w:rtl/>
        </w:rPr>
        <w:t xml:space="preserve"> לתקופה של 4 שנים נוספות, עד ליום 31.3.2014</w:t>
      </w:r>
      <w:r w:rsidRPr="00E4071C">
        <w:rPr>
          <w:rFonts w:ascii="David" w:hAnsi="David" w:cs="David"/>
          <w:rtl/>
        </w:rPr>
        <w:t xml:space="preserve">. יודגש כי </w:t>
      </w:r>
      <w:r w:rsidRPr="00E4071C">
        <w:rPr>
          <w:rFonts w:ascii="David" w:hAnsi="David" w:cs="David"/>
          <w:b/>
          <w:bCs/>
          <w:rtl/>
        </w:rPr>
        <w:t xml:space="preserve">המשיבה </w:t>
      </w:r>
      <w:r w:rsidRPr="00E4071C">
        <w:rPr>
          <w:rFonts w:ascii="David" w:hAnsi="David" w:cs="David"/>
          <w:b/>
          <w:bCs/>
          <w:u w:val="single"/>
          <w:rtl/>
        </w:rPr>
        <w:t>לא</w:t>
      </w:r>
      <w:r w:rsidRPr="00E4071C">
        <w:rPr>
          <w:rFonts w:ascii="David" w:hAnsi="David" w:cs="David"/>
          <w:b/>
          <w:bCs/>
          <w:rtl/>
        </w:rPr>
        <w:t xml:space="preserve"> הודיעה למערער </w:t>
      </w:r>
      <w:r w:rsidR="00752891" w:rsidRPr="00E4071C">
        <w:rPr>
          <w:rFonts w:ascii="David" w:hAnsi="David" w:cs="David"/>
          <w:b/>
          <w:bCs/>
          <w:rtl/>
        </w:rPr>
        <w:t>לפני ש</w:t>
      </w:r>
      <w:r w:rsidR="00A12BDE" w:rsidRPr="00E4071C">
        <w:rPr>
          <w:rFonts w:ascii="David" w:hAnsi="David" w:cs="David"/>
          <w:b/>
          <w:bCs/>
          <w:rtl/>
        </w:rPr>
        <w:t>הארכת החוזה נכנסה לתוקף</w:t>
      </w:r>
      <w:r w:rsidR="00A12BDE" w:rsidRPr="00E4071C">
        <w:rPr>
          <w:rFonts w:ascii="David" w:hAnsi="David" w:cs="David"/>
          <w:b/>
          <w:bCs/>
          <w:color w:val="002060"/>
          <w:rtl/>
        </w:rPr>
        <w:t xml:space="preserve"> </w:t>
      </w:r>
      <w:r w:rsidRPr="00E4071C">
        <w:rPr>
          <w:rFonts w:ascii="David" w:hAnsi="David" w:cs="David"/>
          <w:b/>
          <w:bCs/>
          <w:rtl/>
        </w:rPr>
        <w:t xml:space="preserve">על רצונה בשינוי החוזה ולא הודיעה לו על כוונתה לסיים את החוזה בגיל הפרישה </w:t>
      </w:r>
      <w:r w:rsidR="00A12BDE" w:rsidRPr="00E4071C">
        <w:rPr>
          <w:rFonts w:ascii="David" w:hAnsi="David" w:cs="David"/>
          <w:b/>
          <w:bCs/>
          <w:rtl/>
        </w:rPr>
        <w:t>של התובע</w:t>
      </w:r>
      <w:r w:rsidR="00A12BDE" w:rsidRPr="00E4071C">
        <w:rPr>
          <w:rFonts w:ascii="David" w:hAnsi="David" w:cs="David"/>
          <w:rtl/>
        </w:rPr>
        <w:t xml:space="preserve"> </w:t>
      </w:r>
      <w:r w:rsidRPr="00E4071C">
        <w:rPr>
          <w:rFonts w:ascii="David" w:hAnsi="David" w:cs="David"/>
          <w:rtl/>
        </w:rPr>
        <w:t>(שחל בשנת 2012 – באמצע תקופת החוזה).</w:t>
      </w:r>
      <w:r w:rsidR="00E4071C" w:rsidRPr="00E4071C">
        <w:rPr>
          <w:rFonts w:ascii="David" w:hAnsi="David" w:cs="David"/>
          <w:rtl/>
        </w:rPr>
        <w:t xml:space="preserve"> </w:t>
      </w:r>
    </w:p>
    <w:p w:rsidR="00EC0AC2" w:rsidRPr="00E4071C" w:rsidRDefault="003D4838" w:rsidP="000A5CEB">
      <w:pPr>
        <w:pStyle w:val="a8"/>
        <w:tabs>
          <w:tab w:val="left" w:pos="674"/>
        </w:tabs>
        <w:spacing w:after="240" w:line="360" w:lineRule="auto"/>
        <w:ind w:left="674"/>
        <w:rPr>
          <w:rFonts w:ascii="David" w:hAnsi="David" w:cs="David"/>
        </w:rPr>
      </w:pPr>
      <w:r w:rsidRPr="00E4071C">
        <w:rPr>
          <w:rFonts w:ascii="David" w:hAnsi="David" w:cs="David"/>
          <w:rtl/>
        </w:rPr>
        <w:t>המערער יטען כי</w:t>
      </w:r>
      <w:r w:rsidR="00EC0AC2" w:rsidRPr="00E4071C">
        <w:rPr>
          <w:rFonts w:ascii="David" w:hAnsi="David" w:cs="David"/>
          <w:rtl/>
        </w:rPr>
        <w:t xml:space="preserve"> </w:t>
      </w:r>
      <w:r w:rsidR="00EC0AC2" w:rsidRPr="00E4071C">
        <w:rPr>
          <w:rFonts w:ascii="David" w:hAnsi="David" w:cs="David"/>
          <w:b/>
          <w:bCs/>
          <w:rtl/>
        </w:rPr>
        <w:t>בהיעדר הודעה אחרת, ובהתאם להוראות החוזה</w:t>
      </w:r>
      <w:r w:rsidR="00A12BDE" w:rsidRPr="00E4071C">
        <w:rPr>
          <w:rFonts w:ascii="David" w:hAnsi="David" w:cs="David"/>
          <w:b/>
          <w:bCs/>
          <w:rtl/>
        </w:rPr>
        <w:t>,</w:t>
      </w:r>
      <w:r w:rsidR="00EC0AC2" w:rsidRPr="00E4071C">
        <w:rPr>
          <w:rFonts w:ascii="David" w:hAnsi="David" w:cs="David"/>
          <w:b/>
          <w:bCs/>
          <w:rtl/>
        </w:rPr>
        <w:t xml:space="preserve"> וההתנהלות בפועל של הצדדים בכל הפעמים הקודמות, הוארך כאמור תוקף החוזה של ה</w:t>
      </w:r>
      <w:r w:rsidR="00F66FAD" w:rsidRPr="00E4071C">
        <w:rPr>
          <w:rFonts w:ascii="David" w:hAnsi="David" w:cs="David"/>
          <w:b/>
          <w:bCs/>
          <w:rtl/>
        </w:rPr>
        <w:t>מערער</w:t>
      </w:r>
      <w:r w:rsidR="00EC0AC2" w:rsidRPr="00E4071C">
        <w:rPr>
          <w:rFonts w:ascii="David" w:hAnsi="David" w:cs="David"/>
          <w:b/>
          <w:bCs/>
          <w:rtl/>
        </w:rPr>
        <w:t xml:space="preserve"> מיום 1.4.2010 עד ליום 31.3.2014.</w:t>
      </w:r>
      <w:r w:rsidR="00EC0AC2" w:rsidRPr="00E4071C">
        <w:rPr>
          <w:rFonts w:ascii="David" w:hAnsi="David" w:cs="David"/>
          <w:rtl/>
        </w:rPr>
        <w:t xml:space="preserve"> </w:t>
      </w:r>
    </w:p>
    <w:p w:rsidR="00EC0AC2" w:rsidRPr="00AD5378" w:rsidRDefault="00EC0AC2" w:rsidP="00446765">
      <w:pPr>
        <w:pStyle w:val="a8"/>
        <w:numPr>
          <w:ilvl w:val="0"/>
          <w:numId w:val="1"/>
        </w:numPr>
        <w:spacing w:after="240" w:line="360" w:lineRule="auto"/>
        <w:ind w:left="674" w:hanging="630"/>
        <w:rPr>
          <w:rFonts w:ascii="David" w:hAnsi="David" w:cs="David"/>
        </w:rPr>
      </w:pPr>
      <w:r w:rsidRPr="00AD5378">
        <w:rPr>
          <w:rFonts w:ascii="David" w:hAnsi="David" w:cs="David"/>
          <w:rtl/>
        </w:rPr>
        <w:t xml:space="preserve">בדיעבד, </w:t>
      </w:r>
      <w:r w:rsidRPr="00AD5378">
        <w:rPr>
          <w:rFonts w:ascii="David" w:hAnsi="David" w:cs="David"/>
          <w:b/>
          <w:bCs/>
          <w:rtl/>
        </w:rPr>
        <w:t>ורק לאחר פיטוריו</w:t>
      </w:r>
      <w:r w:rsidR="00171BD6">
        <w:rPr>
          <w:rFonts w:ascii="David" w:hAnsi="David" w:cs="David"/>
          <w:rtl/>
        </w:rPr>
        <w:t xml:space="preserve">, </w:t>
      </w:r>
      <w:r w:rsidR="00171BD6" w:rsidRPr="00AD5378">
        <w:rPr>
          <w:rFonts w:ascii="David" w:hAnsi="David" w:cs="David"/>
          <w:b/>
          <w:bCs/>
          <w:rtl/>
        </w:rPr>
        <w:t xml:space="preserve">לאחר </w:t>
      </w:r>
      <w:r w:rsidR="00A12BDE" w:rsidRPr="00AD5378">
        <w:rPr>
          <w:rFonts w:ascii="David" w:hAnsi="David" w:cs="David"/>
          <w:b/>
          <w:bCs/>
          <w:rtl/>
        </w:rPr>
        <w:t xml:space="preserve">שעבודתו הופסקה </w:t>
      </w:r>
      <w:r w:rsidRPr="00AD5378">
        <w:rPr>
          <w:rFonts w:ascii="David" w:hAnsi="David" w:cs="David"/>
          <w:b/>
          <w:bCs/>
          <w:rtl/>
        </w:rPr>
        <w:t>ביום 5.8.2012</w:t>
      </w:r>
      <w:r w:rsidRPr="00AD5378">
        <w:rPr>
          <w:rFonts w:ascii="David" w:hAnsi="David" w:cs="David"/>
          <w:rtl/>
        </w:rPr>
        <w:t xml:space="preserve">, </w:t>
      </w:r>
      <w:r w:rsidR="00171BD6" w:rsidRPr="00AD5378">
        <w:rPr>
          <w:rFonts w:ascii="David" w:hAnsi="David" w:cs="David"/>
          <w:b/>
          <w:bCs/>
          <w:rtl/>
        </w:rPr>
        <w:t>לאחר שהחוזה הוארך בפועל</w:t>
      </w:r>
      <w:r w:rsidR="00171BD6">
        <w:rPr>
          <w:rFonts w:ascii="David" w:hAnsi="David" w:cs="David"/>
          <w:rtl/>
        </w:rPr>
        <w:t xml:space="preserve">, </w:t>
      </w:r>
      <w:r w:rsidRPr="00AD5378">
        <w:rPr>
          <w:rFonts w:ascii="David" w:hAnsi="David" w:cs="David"/>
          <w:rtl/>
        </w:rPr>
        <w:t>נאמר ל</w:t>
      </w:r>
      <w:r w:rsidR="00F66FAD" w:rsidRPr="00AD5378">
        <w:rPr>
          <w:rFonts w:ascii="David" w:hAnsi="David" w:cs="David"/>
          <w:rtl/>
        </w:rPr>
        <w:t>מערער</w:t>
      </w:r>
      <w:r w:rsidRPr="00AD5378">
        <w:rPr>
          <w:rFonts w:ascii="David" w:hAnsi="David" w:cs="David"/>
          <w:rtl/>
        </w:rPr>
        <w:t xml:space="preserve"> כי בשנת 2010</w:t>
      </w:r>
      <w:r w:rsidR="00A12BDE" w:rsidRPr="00AD5378">
        <w:rPr>
          <w:rFonts w:ascii="David" w:hAnsi="David" w:cs="David"/>
          <w:rtl/>
        </w:rPr>
        <w:t>,</w:t>
      </w:r>
      <w:r w:rsidRPr="00AD5378">
        <w:rPr>
          <w:rFonts w:ascii="David" w:hAnsi="David" w:cs="David"/>
          <w:rtl/>
        </w:rPr>
        <w:t xml:space="preserve"> סמוך </w:t>
      </w:r>
      <w:r w:rsidR="00A12BDE" w:rsidRPr="00AD5378">
        <w:rPr>
          <w:rFonts w:ascii="David" w:hAnsi="David" w:cs="David"/>
          <w:rtl/>
        </w:rPr>
        <w:t>ו</w:t>
      </w:r>
      <w:r w:rsidR="00A12BDE" w:rsidRPr="00AD5378">
        <w:rPr>
          <w:rFonts w:ascii="David" w:hAnsi="David" w:cs="David"/>
          <w:b/>
          <w:bCs/>
          <w:u w:val="single"/>
          <w:rtl/>
        </w:rPr>
        <w:t>לאחר</w:t>
      </w:r>
      <w:r w:rsidR="00A12BDE" w:rsidRPr="00AD5378">
        <w:rPr>
          <w:rFonts w:ascii="David" w:hAnsi="David" w:cs="David"/>
          <w:rtl/>
        </w:rPr>
        <w:t xml:space="preserve"> </w:t>
      </w:r>
      <w:r w:rsidRPr="00AD5378">
        <w:rPr>
          <w:rFonts w:ascii="David" w:hAnsi="David" w:cs="David"/>
          <w:rtl/>
        </w:rPr>
        <w:t>מועד הארכת החוזה - התקיים דין ודברים בין הנציבות שרות המדינה למשרד האוצר, והוחלפו, ביניהם בלבד, מסמכים שונים, הקובעים כי יש לדאוג לכך שתקופת העסקתו תסתיים בגיל הפרישה.</w:t>
      </w:r>
      <w:r w:rsidR="00F97A11" w:rsidRPr="00AD5378">
        <w:rPr>
          <w:rStyle w:val="ac"/>
          <w:rFonts w:ascii="David" w:hAnsi="David" w:cs="David"/>
          <w:rtl/>
        </w:rPr>
        <w:footnoteReference w:id="6"/>
      </w:r>
      <w:r w:rsidRPr="00AD5378">
        <w:rPr>
          <w:rFonts w:ascii="David" w:hAnsi="David" w:cs="David"/>
          <w:rtl/>
        </w:rPr>
        <w:t xml:space="preserve"> </w:t>
      </w:r>
    </w:p>
    <w:p w:rsidR="00F97A11" w:rsidRDefault="00EC0AC2" w:rsidP="00F97A11">
      <w:pPr>
        <w:pStyle w:val="12"/>
        <w:tabs>
          <w:tab w:val="left" w:pos="566"/>
        </w:tabs>
        <w:spacing w:before="0" w:after="240" w:line="360" w:lineRule="auto"/>
        <w:ind w:left="674" w:firstLine="0"/>
        <w:rPr>
          <w:b/>
          <w:bCs/>
          <w:rtl/>
        </w:rPr>
      </w:pPr>
      <w:r w:rsidRPr="00901A33">
        <w:rPr>
          <w:b/>
          <w:bCs/>
          <w:rtl/>
        </w:rPr>
        <w:t xml:space="preserve">מסמכים אלה </w:t>
      </w:r>
      <w:r w:rsidRPr="00901A33">
        <w:rPr>
          <w:b/>
          <w:bCs/>
          <w:u w:val="single"/>
          <w:rtl/>
        </w:rPr>
        <w:t>לא</w:t>
      </w:r>
      <w:r w:rsidRPr="00901A33">
        <w:rPr>
          <w:b/>
          <w:bCs/>
          <w:rtl/>
        </w:rPr>
        <w:t xml:space="preserve"> הוצגו ל</w:t>
      </w:r>
      <w:r w:rsidR="00F66FAD">
        <w:rPr>
          <w:b/>
          <w:bCs/>
          <w:rtl/>
        </w:rPr>
        <w:t>מערער</w:t>
      </w:r>
      <w:r w:rsidRPr="00901A33">
        <w:rPr>
          <w:b/>
          <w:bCs/>
          <w:rtl/>
        </w:rPr>
        <w:t xml:space="preserve"> בזמן אמת, </w:t>
      </w:r>
      <w:r w:rsidRPr="00901A33">
        <w:rPr>
          <w:b/>
          <w:bCs/>
          <w:u w:val="single"/>
          <w:rtl/>
        </w:rPr>
        <w:t>לא</w:t>
      </w:r>
      <w:r w:rsidRPr="00901A33">
        <w:rPr>
          <w:b/>
          <w:bCs/>
          <w:rtl/>
        </w:rPr>
        <w:t xml:space="preserve"> התבקשה הסכמתו ו/או עמדתו לעניין תוכנם, </w:t>
      </w:r>
      <w:r w:rsidR="00F97A11" w:rsidRPr="00F97A11">
        <w:rPr>
          <w:b/>
          <w:bCs/>
          <w:u w:val="single"/>
          <w:rtl/>
        </w:rPr>
        <w:t xml:space="preserve">לא </w:t>
      </w:r>
      <w:r w:rsidR="00F97A11">
        <w:rPr>
          <w:b/>
          <w:bCs/>
          <w:rtl/>
        </w:rPr>
        <w:t xml:space="preserve">נערך לו שימוע לקבלת עמדתו, והוא </w:t>
      </w:r>
      <w:r w:rsidR="00F97A11" w:rsidRPr="00F97A11">
        <w:rPr>
          <w:b/>
          <w:bCs/>
          <w:u w:val="single"/>
          <w:rtl/>
        </w:rPr>
        <w:t>לא</w:t>
      </w:r>
      <w:r w:rsidR="00F97A11">
        <w:rPr>
          <w:b/>
          <w:bCs/>
          <w:rtl/>
        </w:rPr>
        <w:t xml:space="preserve"> חתם על מסמך כלשהו שמעגן את </w:t>
      </w:r>
      <w:r w:rsidR="00171BD6">
        <w:rPr>
          <w:b/>
          <w:bCs/>
          <w:rtl/>
        </w:rPr>
        <w:t>"</w:t>
      </w:r>
      <w:r w:rsidR="00F97A11">
        <w:rPr>
          <w:b/>
          <w:bCs/>
          <w:rtl/>
        </w:rPr>
        <w:t>הסכמתו</w:t>
      </w:r>
      <w:r w:rsidR="00171BD6">
        <w:rPr>
          <w:b/>
          <w:bCs/>
          <w:rtl/>
        </w:rPr>
        <w:t>"</w:t>
      </w:r>
      <w:r w:rsidR="00F97A11">
        <w:rPr>
          <w:b/>
          <w:bCs/>
          <w:rtl/>
        </w:rPr>
        <w:t xml:space="preserve"> לשינוי החוזה</w:t>
      </w:r>
      <w:r w:rsidRPr="00901A33">
        <w:rPr>
          <w:b/>
          <w:bCs/>
          <w:rtl/>
        </w:rPr>
        <w:t xml:space="preserve">. </w:t>
      </w:r>
    </w:p>
    <w:p w:rsidR="00EC0AC2" w:rsidRPr="00AD5378" w:rsidRDefault="00F97A11" w:rsidP="00AD5378">
      <w:pPr>
        <w:pStyle w:val="12"/>
        <w:tabs>
          <w:tab w:val="left" w:pos="566"/>
        </w:tabs>
        <w:spacing w:before="0" w:after="240" w:line="360" w:lineRule="auto"/>
        <w:ind w:left="674" w:firstLine="0"/>
        <w:rPr>
          <w:rtl/>
        </w:rPr>
      </w:pPr>
      <w:r>
        <w:rPr>
          <w:b/>
          <w:bCs/>
          <w:rtl/>
        </w:rPr>
        <w:t xml:space="preserve">על כן, ברי כי </w:t>
      </w:r>
      <w:r w:rsidR="00EC0AC2" w:rsidRPr="00901A33">
        <w:rPr>
          <w:b/>
          <w:bCs/>
          <w:rtl/>
        </w:rPr>
        <w:t>הארכת החוזה לא נעשתה בהתאם למסמכים אלה, וכאמור לעיל –</w:t>
      </w:r>
      <w:r>
        <w:rPr>
          <w:b/>
          <w:bCs/>
          <w:rtl/>
        </w:rPr>
        <w:t xml:space="preserve"> בוודאי שהמדינה</w:t>
      </w:r>
      <w:r w:rsidR="00EC0AC2" w:rsidRPr="00901A33">
        <w:rPr>
          <w:b/>
          <w:bCs/>
          <w:rtl/>
        </w:rPr>
        <w:t xml:space="preserve"> </w:t>
      </w:r>
      <w:r w:rsidR="00EC0AC2" w:rsidRPr="00901A33">
        <w:rPr>
          <w:b/>
          <w:bCs/>
          <w:u w:val="single"/>
          <w:rtl/>
        </w:rPr>
        <w:t>לא</w:t>
      </w:r>
      <w:r w:rsidR="00EC0AC2" w:rsidRPr="00901A33">
        <w:rPr>
          <w:b/>
          <w:bCs/>
          <w:rtl/>
        </w:rPr>
        <w:t xml:space="preserve"> נקטה </w:t>
      </w:r>
      <w:r>
        <w:rPr>
          <w:b/>
          <w:bCs/>
          <w:rtl/>
        </w:rPr>
        <w:t xml:space="preserve">את </w:t>
      </w:r>
      <w:r w:rsidR="00EC0AC2" w:rsidRPr="00901A33">
        <w:rPr>
          <w:b/>
          <w:bCs/>
          <w:rtl/>
        </w:rPr>
        <w:t>הפרוצדורה הדרושה לשם אי הארכת החוזה לארבע שנים מלאות.</w:t>
      </w:r>
      <w:r w:rsidR="00171BD6">
        <w:rPr>
          <w:b/>
          <w:bCs/>
          <w:rtl/>
        </w:rPr>
        <w:t xml:space="preserve"> </w:t>
      </w:r>
      <w:r w:rsidR="00171BD6">
        <w:rPr>
          <w:rtl/>
        </w:rPr>
        <w:t>לכל היותר ניתן לראות את המדינה כמי שפעלה מאחורי גבו של עובד מדינה בכיר, על מנת להטעות אותו בזמן אמת ולגרום לו לחשוב שהחוזה הוארך בארבע שנים נוספות.</w:t>
      </w:r>
      <w:r w:rsidR="00BE19AD">
        <w:rPr>
          <w:rStyle w:val="ac"/>
          <w:rtl/>
        </w:rPr>
        <w:footnoteReference w:id="7"/>
      </w:r>
    </w:p>
    <w:p w:rsidR="00EC0AC2" w:rsidRPr="003D4838" w:rsidRDefault="00EC0AC2" w:rsidP="00F756EA">
      <w:pPr>
        <w:pStyle w:val="a8"/>
        <w:numPr>
          <w:ilvl w:val="0"/>
          <w:numId w:val="1"/>
        </w:numPr>
        <w:tabs>
          <w:tab w:val="left" w:pos="674"/>
        </w:tabs>
        <w:spacing w:after="240" w:line="360" w:lineRule="auto"/>
        <w:ind w:left="674" w:hanging="630"/>
        <w:rPr>
          <w:rFonts w:ascii="David" w:hAnsi="David" w:cs="David"/>
        </w:rPr>
      </w:pPr>
      <w:r w:rsidRPr="00F97A11">
        <w:rPr>
          <w:rFonts w:ascii="David" w:hAnsi="David" w:cs="David"/>
          <w:b/>
          <w:bCs/>
          <w:rtl/>
        </w:rPr>
        <w:t>בהיעדר הודעה ובהיעדר פעולה גלויה וידועה אחרת מצדן של ה</w:t>
      </w:r>
      <w:r w:rsidR="00F66FAD" w:rsidRPr="00F97A11">
        <w:rPr>
          <w:rFonts w:ascii="David" w:hAnsi="David" w:cs="David"/>
          <w:b/>
          <w:bCs/>
          <w:rtl/>
        </w:rPr>
        <w:t>משיבות</w:t>
      </w:r>
      <w:r w:rsidRPr="00F97A11">
        <w:rPr>
          <w:rFonts w:ascii="David" w:hAnsi="David" w:cs="David"/>
          <w:b/>
          <w:bCs/>
          <w:rtl/>
        </w:rPr>
        <w:t xml:space="preserve">, או מי מהן, תוקף החוזה הוארך, כפי שהיה בפעמים קודמות בעבר, </w:t>
      </w:r>
      <w:r w:rsidRPr="00446765">
        <w:rPr>
          <w:rFonts w:ascii="David" w:hAnsi="David" w:cs="David"/>
          <w:b/>
          <w:bCs/>
          <w:u w:val="single"/>
          <w:rtl/>
        </w:rPr>
        <w:t>לתקופה של ארבע שנים נוספות</w:t>
      </w:r>
      <w:r w:rsidRPr="00F97A11">
        <w:rPr>
          <w:rFonts w:ascii="David" w:hAnsi="David" w:cs="David"/>
          <w:b/>
          <w:bCs/>
          <w:rtl/>
        </w:rPr>
        <w:t xml:space="preserve">, וזאת עד ליום </w:t>
      </w:r>
      <w:r w:rsidRPr="00446765">
        <w:rPr>
          <w:rFonts w:ascii="David" w:hAnsi="David" w:cs="David"/>
          <w:b/>
          <w:bCs/>
          <w:u w:val="single"/>
          <w:rtl/>
        </w:rPr>
        <w:t>31.3.2014</w:t>
      </w:r>
      <w:r w:rsidRPr="00F97A11">
        <w:rPr>
          <w:rFonts w:ascii="David" w:hAnsi="David" w:cs="David"/>
          <w:b/>
          <w:bCs/>
          <w:rtl/>
        </w:rPr>
        <w:t>, וכך ראה והבין זאת ה</w:t>
      </w:r>
      <w:r w:rsidR="00F66FAD" w:rsidRPr="00F97A11">
        <w:rPr>
          <w:rFonts w:ascii="David" w:hAnsi="David" w:cs="David"/>
          <w:b/>
          <w:bCs/>
          <w:rtl/>
        </w:rPr>
        <w:t>מערער</w:t>
      </w:r>
      <w:r w:rsidRPr="003D4838">
        <w:rPr>
          <w:rFonts w:ascii="David" w:hAnsi="David" w:cs="David"/>
          <w:rtl/>
        </w:rPr>
        <w:t>.</w:t>
      </w:r>
    </w:p>
    <w:p w:rsidR="00EC0AC2" w:rsidRPr="00901A33" w:rsidRDefault="00EC0AC2" w:rsidP="00EC0AC2">
      <w:pPr>
        <w:pStyle w:val="12"/>
        <w:tabs>
          <w:tab w:val="left" w:pos="566"/>
        </w:tabs>
        <w:spacing w:before="0" w:line="360" w:lineRule="auto"/>
        <w:ind w:left="566" w:right="360" w:firstLine="0"/>
        <w:rPr>
          <w:b/>
          <w:bCs/>
        </w:rPr>
      </w:pPr>
    </w:p>
    <w:p w:rsidR="00EC0AC2" w:rsidRPr="003D4838" w:rsidRDefault="00EC0AC2" w:rsidP="003D4838">
      <w:pPr>
        <w:pStyle w:val="a8"/>
        <w:tabs>
          <w:tab w:val="left" w:pos="674"/>
        </w:tabs>
        <w:spacing w:after="240" w:line="360" w:lineRule="auto"/>
        <w:ind w:left="44"/>
        <w:rPr>
          <w:rStyle w:val="emailstyle17"/>
          <w:rFonts w:ascii="Times New Roman" w:hAnsi="Times New Roman" w:cs="David"/>
          <w:b/>
          <w:bCs/>
          <w:color w:val="auto"/>
          <w:sz w:val="24"/>
          <w:u w:val="single"/>
        </w:rPr>
      </w:pPr>
      <w:r w:rsidRPr="003D4838">
        <w:rPr>
          <w:rStyle w:val="emailstyle17"/>
          <w:rFonts w:ascii="Times New Roman" w:hAnsi="Times New Roman" w:cs="David"/>
          <w:b/>
          <w:bCs/>
          <w:color w:val="auto"/>
          <w:sz w:val="24"/>
          <w:u w:val="single"/>
          <w:rtl/>
        </w:rPr>
        <w:t>הפסקת עבודה מבישה ומבזה</w:t>
      </w:r>
    </w:p>
    <w:p w:rsidR="000A5CEB" w:rsidRDefault="00EC0AC2" w:rsidP="00F756EA">
      <w:pPr>
        <w:pStyle w:val="a8"/>
        <w:numPr>
          <w:ilvl w:val="0"/>
          <w:numId w:val="1"/>
        </w:numPr>
        <w:tabs>
          <w:tab w:val="left" w:pos="674"/>
        </w:tabs>
        <w:spacing w:after="240" w:line="360" w:lineRule="auto"/>
        <w:ind w:left="674" w:hanging="630"/>
        <w:rPr>
          <w:rFonts w:ascii="David" w:hAnsi="David" w:cs="David"/>
        </w:rPr>
      </w:pPr>
      <w:r w:rsidRPr="003D4838">
        <w:rPr>
          <w:rFonts w:ascii="David" w:hAnsi="David" w:cs="David"/>
          <w:rtl/>
        </w:rPr>
        <w:t>בשלהי שנת 2011 בעת ביקור עבודה במשרד האוצר פגשה פקידה מהיחידה למשאבי אנוש במשרד האוצר באקראי את ה</w:t>
      </w:r>
      <w:r w:rsidR="00F66FAD" w:rsidRPr="003D4838">
        <w:rPr>
          <w:rFonts w:ascii="David" w:hAnsi="David" w:cs="David"/>
          <w:rtl/>
        </w:rPr>
        <w:t>מערער</w:t>
      </w:r>
      <w:r w:rsidRPr="003D4838">
        <w:rPr>
          <w:rFonts w:ascii="David" w:hAnsi="David" w:cs="David"/>
          <w:rtl/>
        </w:rPr>
        <w:t xml:space="preserve"> בפרוזדור המשרד, וביקשה ממנו לסור למשרדה ולחתום על פרטים שהיא מילאה בטופס סטנדרטי של "ריכוז נתוני עובד/פורש". </w:t>
      </w:r>
    </w:p>
    <w:p w:rsidR="00EC0AC2" w:rsidRPr="003D4838" w:rsidRDefault="00EC0AC2" w:rsidP="000A5CEB">
      <w:pPr>
        <w:pStyle w:val="a8"/>
        <w:tabs>
          <w:tab w:val="left" w:pos="674"/>
        </w:tabs>
        <w:spacing w:after="240" w:line="360" w:lineRule="auto"/>
        <w:ind w:left="674"/>
        <w:rPr>
          <w:rFonts w:ascii="David" w:hAnsi="David" w:cs="David"/>
        </w:rPr>
      </w:pPr>
      <w:r w:rsidRPr="003D4838">
        <w:rPr>
          <w:rFonts w:ascii="David" w:hAnsi="David" w:cs="David"/>
          <w:rtl/>
        </w:rPr>
        <w:t>ה</w:t>
      </w:r>
      <w:r w:rsidR="00F66FAD" w:rsidRPr="003D4838">
        <w:rPr>
          <w:rFonts w:ascii="David" w:hAnsi="David" w:cs="David"/>
          <w:rtl/>
        </w:rPr>
        <w:t>מערער</w:t>
      </w:r>
      <w:r w:rsidRPr="003D4838">
        <w:rPr>
          <w:rFonts w:ascii="David" w:hAnsi="David" w:cs="David"/>
          <w:rtl/>
        </w:rPr>
        <w:t xml:space="preserve"> נענה לבקשה, בהנחה שמדובר בטופס שגרתי שעל כל עובד ו/או פורש למלא. להפתעתו הוא נתבקש מיד אחרי כן על ידי הפקידה למלא ולחתום על טופס לבקשת גמלה שהיא הציגה בפניו. </w:t>
      </w:r>
      <w:r w:rsidRPr="00F97A11">
        <w:rPr>
          <w:rFonts w:ascii="David" w:hAnsi="David" w:cs="David"/>
          <w:b/>
          <w:bCs/>
          <w:rtl/>
        </w:rPr>
        <w:t>לכך ה</w:t>
      </w:r>
      <w:r w:rsidR="00F66FAD" w:rsidRPr="00F97A11">
        <w:rPr>
          <w:rFonts w:ascii="David" w:hAnsi="David" w:cs="David"/>
          <w:b/>
          <w:bCs/>
          <w:rtl/>
        </w:rPr>
        <w:t>מערער</w:t>
      </w:r>
      <w:r w:rsidRPr="00F97A11">
        <w:rPr>
          <w:rFonts w:ascii="David" w:hAnsi="David" w:cs="David"/>
          <w:b/>
          <w:bCs/>
          <w:rtl/>
        </w:rPr>
        <w:t xml:space="preserve"> סירב</w:t>
      </w:r>
      <w:r w:rsidRPr="003D4838">
        <w:rPr>
          <w:rFonts w:ascii="David" w:hAnsi="David" w:cs="David"/>
          <w:rtl/>
        </w:rPr>
        <w:t>.</w:t>
      </w:r>
    </w:p>
    <w:p w:rsidR="00EC0AC2" w:rsidRDefault="00EC0AC2" w:rsidP="00F756EA">
      <w:pPr>
        <w:pStyle w:val="a8"/>
        <w:numPr>
          <w:ilvl w:val="0"/>
          <w:numId w:val="1"/>
        </w:numPr>
        <w:spacing w:after="240" w:line="360" w:lineRule="auto"/>
        <w:ind w:left="674" w:hanging="630"/>
        <w:rPr>
          <w:rFonts w:ascii="David" w:hAnsi="David" w:cs="David"/>
        </w:rPr>
      </w:pPr>
      <w:r w:rsidRPr="003D4838">
        <w:rPr>
          <w:rFonts w:ascii="David" w:hAnsi="David" w:cs="David"/>
          <w:rtl/>
        </w:rPr>
        <w:lastRenderedPageBreak/>
        <w:t>ה</w:t>
      </w:r>
      <w:r w:rsidR="00F66FAD" w:rsidRPr="003D4838">
        <w:rPr>
          <w:rFonts w:ascii="David" w:hAnsi="David" w:cs="David"/>
          <w:rtl/>
        </w:rPr>
        <w:t>מערער</w:t>
      </w:r>
      <w:r w:rsidRPr="003D4838">
        <w:rPr>
          <w:rFonts w:ascii="David" w:hAnsi="David" w:cs="David"/>
          <w:rtl/>
        </w:rPr>
        <w:t xml:space="preserve"> הניח כי הפקידה, שמטבע הדברים אינה מודעת לתנאי החוזה שלו, מבצעת פרוצדורות סטנדרטיות לגבי כלל עובדי האוצר המתקרבים לגיל פרישה. הוא הניח שאם יש כוונה להפסיק את עבודתו בחודשים הקרובים, הרי שהמשרד יפעל בהתאם למנגנון הקבוע בחוזה בין הצדדים להפסקת ההתקשרות (פניית הממונה, קרי: החשבת הכללית, למנכ"ל האוצר, פנית המנכ"ל לנציב שרות המדינה, קבלת אישור ועדת השרות וכו'), וממילא – אם יש כוונה להפרישו מהשירות - יפנו אליו בעניין הטופס עליו סירב לחתום.</w:t>
      </w:r>
    </w:p>
    <w:p w:rsidR="00EC0AC2" w:rsidRPr="00260ECB" w:rsidRDefault="00EC0AC2" w:rsidP="00F97A11">
      <w:pPr>
        <w:pStyle w:val="12"/>
        <w:spacing w:before="0" w:after="240" w:line="360" w:lineRule="auto"/>
        <w:ind w:left="674" w:firstLine="0"/>
        <w:rPr>
          <w:rStyle w:val="emailstyle17"/>
          <w:rFonts w:ascii="Times New Roman" w:hAnsi="Times New Roman"/>
          <w:rtl/>
        </w:rPr>
      </w:pPr>
      <w:r w:rsidRPr="00901A33">
        <w:rPr>
          <w:b/>
          <w:bCs/>
          <w:rtl/>
        </w:rPr>
        <w:t>בפועל לא נעשה עם ה</w:t>
      </w:r>
      <w:r w:rsidR="00F66FAD">
        <w:rPr>
          <w:b/>
          <w:bCs/>
          <w:rtl/>
        </w:rPr>
        <w:t>מערער</w:t>
      </w:r>
      <w:r w:rsidRPr="00901A33">
        <w:rPr>
          <w:b/>
          <w:bCs/>
          <w:rtl/>
        </w:rPr>
        <w:t xml:space="preserve"> בירור בעניין הטופס עליו סירב לחתום, ולא נעשתה מולו כל פעולה </w:t>
      </w:r>
      <w:r w:rsidRPr="006B6F0B">
        <w:rPr>
          <w:b/>
          <w:bCs/>
          <w:rtl/>
        </w:rPr>
        <w:t>אחרת  לביטול תוקפו של החוזה במהלך שנת 2012</w:t>
      </w:r>
      <w:r w:rsidRPr="00260ECB">
        <w:rPr>
          <w:rStyle w:val="emailstyle17"/>
          <w:rFonts w:ascii="Times New Roman" w:hAnsi="Times New Roman"/>
          <w:rtl/>
        </w:rPr>
        <w:t>.</w:t>
      </w:r>
    </w:p>
    <w:p w:rsidR="00EC0AC2" w:rsidRPr="000A5CEB" w:rsidRDefault="000A5CEB" w:rsidP="000A5CEB">
      <w:pPr>
        <w:pStyle w:val="a8"/>
        <w:numPr>
          <w:ilvl w:val="0"/>
          <w:numId w:val="1"/>
        </w:numPr>
        <w:spacing w:after="240" w:line="360" w:lineRule="auto"/>
        <w:ind w:left="674" w:hanging="630"/>
        <w:rPr>
          <w:rFonts w:ascii="David" w:hAnsi="David" w:cs="David"/>
          <w:rtl/>
        </w:rPr>
      </w:pPr>
      <w:r w:rsidRPr="000A5CEB">
        <w:rPr>
          <w:rFonts w:ascii="David" w:hAnsi="David" w:cs="David"/>
          <w:rtl/>
        </w:rPr>
        <w:t>ב</w:t>
      </w:r>
      <w:r w:rsidR="00AD5378" w:rsidRPr="000A5CEB">
        <w:rPr>
          <w:rFonts w:ascii="David" w:hAnsi="David" w:cs="David"/>
          <w:rtl/>
        </w:rPr>
        <w:t xml:space="preserve">מקביל, ועל מנת להתכונן לכל אפשרות, יצא המערער לקורס פרישה, בקורס לקראת פרישה עליו קיבל המלצה חמה. </w:t>
      </w:r>
      <w:r w:rsidR="00EC0AC2" w:rsidRPr="000A5CEB">
        <w:rPr>
          <w:rFonts w:ascii="David" w:hAnsi="David" w:cs="David"/>
          <w:rtl/>
        </w:rPr>
        <w:t xml:space="preserve">הפקידה </w:t>
      </w:r>
      <w:r w:rsidR="00AD5378" w:rsidRPr="000A5CEB">
        <w:rPr>
          <w:rFonts w:ascii="David" w:hAnsi="David" w:cs="David"/>
          <w:rtl/>
        </w:rPr>
        <w:t xml:space="preserve">שהמליצה על הקורס </w:t>
      </w:r>
      <w:r w:rsidR="00EC0AC2" w:rsidRPr="000A5CEB">
        <w:rPr>
          <w:rFonts w:ascii="David" w:hAnsi="David" w:cs="David"/>
          <w:rtl/>
        </w:rPr>
        <w:t>אמרה ל</w:t>
      </w:r>
      <w:r w:rsidR="00F66FAD" w:rsidRPr="000A5CEB">
        <w:rPr>
          <w:rFonts w:ascii="David" w:hAnsi="David" w:cs="David"/>
          <w:rtl/>
        </w:rPr>
        <w:t>מערער</w:t>
      </w:r>
      <w:r w:rsidR="00EC0AC2" w:rsidRPr="000A5CEB">
        <w:rPr>
          <w:rFonts w:ascii="David" w:hAnsi="David" w:cs="David"/>
          <w:rtl/>
        </w:rPr>
        <w:t xml:space="preserve"> כי אין לדעת מתי שוב יתקיים קורס כזה, וכדאי מאד לנצל את ההזדמנות ולהשתתף בקורס זה מוקדם ככל האפשר כדי להיערך כראוי לפרישה וללמוד על זכויות שונות של גימלאים, שניתן לממשם רק לפני הפרישה, מה עוד שהקורס נערך ע"ח ימי העבודה, והוא אף מוכר לצורך גמול השתלמות.</w:t>
      </w:r>
      <w:r w:rsidR="00BE19AD" w:rsidRPr="000A5CEB">
        <w:rPr>
          <w:rStyle w:val="ac"/>
          <w:rFonts w:ascii="David" w:hAnsi="David"/>
          <w:sz w:val="20"/>
          <w:szCs w:val="20"/>
          <w:rtl/>
        </w:rPr>
        <w:footnoteReference w:id="8"/>
      </w:r>
      <w:r w:rsidR="00EC0AC2" w:rsidRPr="000A5CEB">
        <w:rPr>
          <w:rFonts w:ascii="David" w:hAnsi="David" w:cs="David"/>
          <w:sz w:val="20"/>
          <w:szCs w:val="20"/>
          <w:rtl/>
        </w:rPr>
        <w:t xml:space="preserve"> </w:t>
      </w:r>
    </w:p>
    <w:p w:rsidR="00E4071C" w:rsidRDefault="00EC0AC2" w:rsidP="00BB673A">
      <w:pPr>
        <w:pStyle w:val="a8"/>
        <w:numPr>
          <w:ilvl w:val="0"/>
          <w:numId w:val="1"/>
        </w:numPr>
        <w:tabs>
          <w:tab w:val="left" w:pos="674"/>
        </w:tabs>
        <w:spacing w:after="240" w:line="360" w:lineRule="auto"/>
        <w:ind w:left="674" w:hanging="630"/>
        <w:rPr>
          <w:rFonts w:ascii="David" w:hAnsi="David" w:cs="David"/>
        </w:rPr>
      </w:pPr>
      <w:r w:rsidRPr="00EF4AD4">
        <w:rPr>
          <w:rFonts w:ascii="David" w:hAnsi="David" w:cs="David"/>
          <w:rtl/>
        </w:rPr>
        <w:t xml:space="preserve">ביום 4.7.2012 – פחות מחודש לפני המועד שבו </w:t>
      </w:r>
      <w:r w:rsidR="00BB673A" w:rsidRPr="005352AE">
        <w:rPr>
          <w:rFonts w:ascii="David" w:hAnsi="David" w:cs="David"/>
          <w:rtl/>
        </w:rPr>
        <w:t>סולק מעבודתו</w:t>
      </w:r>
      <w:r w:rsidRPr="005352AE">
        <w:rPr>
          <w:rFonts w:ascii="David" w:hAnsi="David" w:cs="David"/>
          <w:rtl/>
        </w:rPr>
        <w:t xml:space="preserve"> - קיבל ה</w:t>
      </w:r>
      <w:r w:rsidR="00F66FAD" w:rsidRPr="000C57EA">
        <w:rPr>
          <w:rFonts w:ascii="David" w:hAnsi="David" w:cs="David"/>
          <w:rtl/>
        </w:rPr>
        <w:t>מערער</w:t>
      </w:r>
      <w:r w:rsidRPr="000C57EA">
        <w:rPr>
          <w:rFonts w:ascii="David" w:hAnsi="David" w:cs="David"/>
          <w:rtl/>
        </w:rPr>
        <w:t xml:space="preserve"> בדואר האלקטרוני מכתב, בחתימת מנהלת אגף ב' משאבי אנוש במשרד האוצר, גב' רבקה כלב, המודיע לו בפע</w:t>
      </w:r>
      <w:r w:rsidRPr="009B1B4D">
        <w:rPr>
          <w:rFonts w:ascii="David" w:hAnsi="David" w:cs="David"/>
          <w:rtl/>
        </w:rPr>
        <w:t xml:space="preserve">ם הראשונה כי העסקתו תסתיים ביום 31.7.2012. </w:t>
      </w:r>
    </w:p>
    <w:p w:rsidR="00EC0AC2" w:rsidRPr="009B1B4D" w:rsidRDefault="00EC0AC2" w:rsidP="00E4071C">
      <w:pPr>
        <w:pStyle w:val="a8"/>
        <w:tabs>
          <w:tab w:val="left" w:pos="674"/>
        </w:tabs>
        <w:spacing w:after="240" w:line="360" w:lineRule="auto"/>
        <w:ind w:left="674"/>
        <w:rPr>
          <w:rFonts w:ascii="David" w:hAnsi="David" w:cs="David"/>
        </w:rPr>
      </w:pPr>
      <w:r w:rsidRPr="009B1B4D">
        <w:rPr>
          <w:rFonts w:ascii="David" w:hAnsi="David" w:cs="David"/>
          <w:b/>
          <w:bCs/>
          <w:rtl/>
        </w:rPr>
        <w:t>ה</w:t>
      </w:r>
      <w:r w:rsidR="00F66FAD" w:rsidRPr="009B1B4D">
        <w:rPr>
          <w:rFonts w:ascii="David" w:hAnsi="David" w:cs="David"/>
          <w:b/>
          <w:bCs/>
          <w:rtl/>
        </w:rPr>
        <w:t>מערער</w:t>
      </w:r>
      <w:r w:rsidRPr="009B1B4D">
        <w:rPr>
          <w:rFonts w:ascii="David" w:hAnsi="David" w:cs="David"/>
          <w:b/>
          <w:bCs/>
          <w:rtl/>
        </w:rPr>
        <w:t xml:space="preserve"> השיב לה, בו ביום, שמדובר בטעות, נוכח הוראות החוזה.</w:t>
      </w:r>
      <w:r w:rsidRPr="009B1B4D">
        <w:rPr>
          <w:rFonts w:ascii="David" w:hAnsi="David" w:cs="David"/>
          <w:rtl/>
        </w:rPr>
        <w:t xml:space="preserve"> בין הצדדים החלה התכתבות בעניין זה.</w:t>
      </w:r>
      <w:r w:rsidR="00F97A11" w:rsidRPr="00BB673A">
        <w:rPr>
          <w:rStyle w:val="ac"/>
          <w:rFonts w:ascii="David" w:hAnsi="David" w:cs="David"/>
          <w:rtl/>
        </w:rPr>
        <w:footnoteReference w:id="9"/>
      </w:r>
      <w:r w:rsidR="00400661" w:rsidRPr="00BB673A">
        <w:rPr>
          <w:rFonts w:ascii="David" w:hAnsi="David" w:cs="David"/>
          <w:rtl/>
        </w:rPr>
        <w:t xml:space="preserve"> </w:t>
      </w:r>
    </w:p>
    <w:p w:rsidR="00EC0AC2" w:rsidRPr="009B1B4D" w:rsidRDefault="00EC0AC2" w:rsidP="00F756EA">
      <w:pPr>
        <w:pStyle w:val="a8"/>
        <w:numPr>
          <w:ilvl w:val="0"/>
          <w:numId w:val="1"/>
        </w:numPr>
        <w:tabs>
          <w:tab w:val="left" w:pos="674"/>
        </w:tabs>
        <w:spacing w:after="240" w:line="360" w:lineRule="auto"/>
        <w:ind w:left="674" w:hanging="630"/>
        <w:rPr>
          <w:rFonts w:ascii="David" w:hAnsi="David" w:cs="David"/>
        </w:rPr>
      </w:pPr>
      <w:r w:rsidRPr="00BB673A">
        <w:rPr>
          <w:rFonts w:ascii="David" w:hAnsi="David" w:cs="David"/>
          <w:rtl/>
        </w:rPr>
        <w:t>משחלפו 3 שבועות ואיש לא פנה אליו יותר, הניח ה</w:t>
      </w:r>
      <w:r w:rsidR="00F66FAD" w:rsidRPr="00A460C8">
        <w:rPr>
          <w:rFonts w:ascii="David" w:hAnsi="David" w:cs="David"/>
          <w:rtl/>
        </w:rPr>
        <w:t>מערער</w:t>
      </w:r>
      <w:r w:rsidRPr="00A460C8">
        <w:rPr>
          <w:rFonts w:ascii="David" w:hAnsi="David" w:cs="David"/>
          <w:rtl/>
        </w:rPr>
        <w:t xml:space="preserve"> שמכתביו הבהירו לנוגעים בדבר שע"פ החוזה שבידו אין להפסיק את עבודתו לפני תום התקופה הקצובה (דהיינו – לפני 31.3.2014).</w:t>
      </w:r>
      <w:r w:rsidRPr="00EF4AD4">
        <w:rPr>
          <w:rFonts w:ascii="David" w:hAnsi="David" w:cs="David"/>
          <w:rtl/>
        </w:rPr>
        <w:t xml:space="preserve"> להפתעתו של ה</w:t>
      </w:r>
      <w:r w:rsidR="00F66FAD" w:rsidRPr="005352AE">
        <w:rPr>
          <w:rFonts w:ascii="David" w:hAnsi="David" w:cs="David"/>
          <w:rtl/>
        </w:rPr>
        <w:t>מערער</w:t>
      </w:r>
      <w:r w:rsidRPr="005352AE">
        <w:rPr>
          <w:rFonts w:ascii="David" w:hAnsi="David" w:cs="David"/>
          <w:rtl/>
        </w:rPr>
        <w:t xml:space="preserve"> הוא קיבל ביום 23.7.2012, באמצעות הדואר האלקטרוני, מכתב מגב' כלב, המודיע לו כי עבודתו תס</w:t>
      </w:r>
      <w:r w:rsidR="00400661" w:rsidRPr="000C57EA">
        <w:rPr>
          <w:rFonts w:ascii="David" w:hAnsi="David" w:cs="David"/>
          <w:rtl/>
        </w:rPr>
        <w:t>ת</w:t>
      </w:r>
      <w:r w:rsidRPr="000C57EA">
        <w:rPr>
          <w:rFonts w:ascii="David" w:hAnsi="David" w:cs="David"/>
          <w:rtl/>
        </w:rPr>
        <w:t>יים ביום 31.7.2012. למרבה התדהמה הסתמכה גב' כלב על סעיף 18 לחוק הגימלאות, על אף שחוזה העבודה שניסחה ה</w:t>
      </w:r>
      <w:r w:rsidR="00F66FAD" w:rsidRPr="009B1B4D">
        <w:rPr>
          <w:rFonts w:ascii="David" w:hAnsi="David" w:cs="David"/>
          <w:rtl/>
        </w:rPr>
        <w:t>משיבה</w:t>
      </w:r>
      <w:r w:rsidRPr="009B1B4D">
        <w:rPr>
          <w:rFonts w:ascii="David" w:hAnsi="David" w:cs="David"/>
          <w:rtl/>
        </w:rPr>
        <w:t xml:space="preserve"> קבע בפירוש שאינו חל על ה</w:t>
      </w:r>
      <w:r w:rsidR="00F66FAD" w:rsidRPr="009B1B4D">
        <w:rPr>
          <w:rFonts w:ascii="David" w:hAnsi="David" w:cs="David"/>
          <w:rtl/>
        </w:rPr>
        <w:t>מערער</w:t>
      </w:r>
      <w:r w:rsidRPr="009B1B4D">
        <w:rPr>
          <w:rFonts w:ascii="David" w:hAnsi="David" w:cs="David"/>
          <w:rtl/>
        </w:rPr>
        <w:t>!</w:t>
      </w:r>
    </w:p>
    <w:p w:rsidR="00EC0AC2" w:rsidRPr="003D4838" w:rsidRDefault="00EC0AC2" w:rsidP="00F97A11">
      <w:pPr>
        <w:pStyle w:val="a8"/>
        <w:tabs>
          <w:tab w:val="left" w:pos="674"/>
        </w:tabs>
        <w:spacing w:after="240" w:line="360" w:lineRule="auto"/>
        <w:ind w:left="674"/>
        <w:rPr>
          <w:rFonts w:ascii="David" w:hAnsi="David" w:cs="David"/>
        </w:rPr>
      </w:pPr>
      <w:r w:rsidRPr="003D4838">
        <w:rPr>
          <w:rFonts w:ascii="David" w:hAnsi="David" w:cs="David"/>
          <w:rtl/>
        </w:rPr>
        <w:t>ה</w:t>
      </w:r>
      <w:r w:rsidR="00F66FAD" w:rsidRPr="003D4838">
        <w:rPr>
          <w:rFonts w:ascii="David" w:hAnsi="David" w:cs="David"/>
          <w:rtl/>
        </w:rPr>
        <w:t>מערער</w:t>
      </w:r>
      <w:r w:rsidRPr="003D4838">
        <w:rPr>
          <w:rFonts w:ascii="David" w:hAnsi="David" w:cs="David"/>
          <w:rtl/>
        </w:rPr>
        <w:t xml:space="preserve"> השיב והסביר מדוע גב' כלב טועה טעות יסודית, כי ההליך שננקט אינו ראוי, וכן הבהיר כי הוא מבין שלא יינקטו נגדו צעדים חד-צדדיים.</w:t>
      </w:r>
      <w:r w:rsidR="00F97A11">
        <w:rPr>
          <w:rStyle w:val="ac"/>
          <w:rFonts w:ascii="David" w:hAnsi="David" w:cs="David"/>
          <w:rtl/>
        </w:rPr>
        <w:footnoteReference w:id="10"/>
      </w:r>
      <w:r w:rsidRPr="003D4838">
        <w:rPr>
          <w:rFonts w:ascii="David" w:hAnsi="David" w:cs="David"/>
          <w:rtl/>
        </w:rPr>
        <w:t xml:space="preserve"> במקביל, ניסה ה</w:t>
      </w:r>
      <w:r w:rsidR="00F66FAD" w:rsidRPr="003D4838">
        <w:rPr>
          <w:rFonts w:ascii="David" w:hAnsi="David" w:cs="David"/>
          <w:rtl/>
        </w:rPr>
        <w:t>מערער</w:t>
      </w:r>
      <w:r w:rsidRPr="003D4838">
        <w:rPr>
          <w:rFonts w:ascii="David" w:hAnsi="David" w:cs="David"/>
          <w:rtl/>
        </w:rPr>
        <w:t xml:space="preserve"> לשוחח עם הגב' כלב, החתומה על המכתבים, אך ממשרדה נמסר לו שהיא בחופשה עד תחילת אוגוסט 2012.</w:t>
      </w:r>
    </w:p>
    <w:p w:rsidR="00EC0AC2" w:rsidRPr="00F97A11" w:rsidRDefault="00EC0AC2" w:rsidP="00F756EA">
      <w:pPr>
        <w:pStyle w:val="a8"/>
        <w:numPr>
          <w:ilvl w:val="0"/>
          <w:numId w:val="1"/>
        </w:numPr>
        <w:tabs>
          <w:tab w:val="left" w:pos="674"/>
        </w:tabs>
        <w:spacing w:after="240" w:line="360" w:lineRule="auto"/>
        <w:ind w:left="674" w:hanging="630"/>
        <w:rPr>
          <w:rFonts w:ascii="David" w:hAnsi="David" w:cs="David"/>
        </w:rPr>
      </w:pPr>
      <w:r w:rsidRPr="00F97A11">
        <w:rPr>
          <w:rFonts w:ascii="David" w:hAnsi="David" w:cs="David"/>
          <w:rtl/>
        </w:rPr>
        <w:t>בין לבין המשיך ה</w:t>
      </w:r>
      <w:r w:rsidR="00F66FAD" w:rsidRPr="00F97A11">
        <w:rPr>
          <w:rFonts w:ascii="David" w:hAnsi="David" w:cs="David"/>
          <w:rtl/>
        </w:rPr>
        <w:t>מערער</w:t>
      </w:r>
      <w:r w:rsidRPr="00F97A11">
        <w:rPr>
          <w:rFonts w:ascii="David" w:hAnsi="David" w:cs="David"/>
          <w:rtl/>
        </w:rPr>
        <w:t xml:space="preserve"> את עבודתו ובין היתר ישב ה</w:t>
      </w:r>
      <w:r w:rsidR="00F66FAD" w:rsidRPr="00F97A11">
        <w:rPr>
          <w:rFonts w:ascii="David" w:hAnsi="David" w:cs="David"/>
          <w:rtl/>
        </w:rPr>
        <w:t>מערער</w:t>
      </w:r>
      <w:r w:rsidRPr="00F97A11">
        <w:rPr>
          <w:rFonts w:ascii="David" w:hAnsi="David" w:cs="David"/>
          <w:rtl/>
        </w:rPr>
        <w:t xml:space="preserve"> ביום 27.7.2012, במסגרת תפקידו, בוועדת ערר בנושאי תמיכות של החשב הכללי, בנוכחות סגן החשב הכללי, הממונה הישיר על ה</w:t>
      </w:r>
      <w:r w:rsidR="00F66FAD" w:rsidRPr="00F97A11">
        <w:rPr>
          <w:rFonts w:ascii="David" w:hAnsi="David" w:cs="David"/>
          <w:rtl/>
        </w:rPr>
        <w:t>מערער</w:t>
      </w:r>
      <w:r w:rsidRPr="00F97A11">
        <w:rPr>
          <w:rFonts w:ascii="David" w:hAnsi="David" w:cs="David"/>
          <w:rtl/>
        </w:rPr>
        <w:t xml:space="preserve">. אף שהיה מדובר בימים ספורים לפני מועד הפרישה לכאורה, </w:t>
      </w:r>
      <w:r w:rsidRPr="00F97A11">
        <w:rPr>
          <w:rFonts w:ascii="David" w:hAnsi="David" w:cs="David"/>
          <w:b/>
          <w:bCs/>
          <w:rtl/>
        </w:rPr>
        <w:t>לא נאמר ל</w:t>
      </w:r>
      <w:r w:rsidR="00F66FAD" w:rsidRPr="00F97A11">
        <w:rPr>
          <w:rFonts w:ascii="David" w:hAnsi="David" w:cs="David"/>
          <w:b/>
          <w:bCs/>
          <w:rtl/>
        </w:rPr>
        <w:t>מערער</w:t>
      </w:r>
      <w:r w:rsidRPr="00F97A11">
        <w:rPr>
          <w:rFonts w:ascii="David" w:hAnsi="David" w:cs="David"/>
          <w:b/>
          <w:bCs/>
          <w:rtl/>
        </w:rPr>
        <w:t xml:space="preserve"> דבר וחצי דבר על פרישתו, לא אוזכר הצורך במינוי מחליף, מי יהיה המחליף, מתי תבוצע חפיפה, ולא ניתן כל רמז לכך שה</w:t>
      </w:r>
      <w:r w:rsidR="00F66FAD" w:rsidRPr="00F97A11">
        <w:rPr>
          <w:rFonts w:ascii="David" w:hAnsi="David" w:cs="David"/>
          <w:b/>
          <w:bCs/>
          <w:rtl/>
        </w:rPr>
        <w:t>מערער</w:t>
      </w:r>
      <w:r w:rsidRPr="00F97A11">
        <w:rPr>
          <w:rFonts w:ascii="David" w:hAnsi="David" w:cs="David"/>
          <w:b/>
          <w:bCs/>
          <w:rtl/>
        </w:rPr>
        <w:t xml:space="preserve"> יסולק מעבודתו בתוך מספר ימים</w:t>
      </w:r>
      <w:r w:rsidRPr="00F97A11">
        <w:rPr>
          <w:rFonts w:ascii="David" w:hAnsi="David" w:cs="David"/>
          <w:rtl/>
        </w:rPr>
        <w:t xml:space="preserve">. </w:t>
      </w:r>
    </w:p>
    <w:p w:rsidR="00EC0AC2" w:rsidRPr="00F97A11" w:rsidRDefault="00EC0AC2" w:rsidP="00F756EA">
      <w:pPr>
        <w:pStyle w:val="a8"/>
        <w:numPr>
          <w:ilvl w:val="0"/>
          <w:numId w:val="1"/>
        </w:numPr>
        <w:tabs>
          <w:tab w:val="left" w:pos="674"/>
        </w:tabs>
        <w:spacing w:after="240" w:line="360" w:lineRule="auto"/>
        <w:ind w:left="674" w:hanging="630"/>
        <w:rPr>
          <w:rFonts w:ascii="David" w:hAnsi="David" w:cs="David"/>
        </w:rPr>
      </w:pPr>
      <w:r w:rsidRPr="00F97A11">
        <w:rPr>
          <w:rFonts w:ascii="David" w:hAnsi="David" w:cs="David"/>
          <w:rtl/>
        </w:rPr>
        <w:lastRenderedPageBreak/>
        <w:t>ביום 1.8.2012, במהלך יום העבודה ובעיצומה של עבודה מורכבת של הכנה, אישור וביצוע אלפי תשלומים שהיו צריכים להיות משולמים באותו יום, התייצבה במפתיע במשרדו של ה</w:t>
      </w:r>
      <w:r w:rsidR="00F66FAD" w:rsidRPr="00F97A11">
        <w:rPr>
          <w:rFonts w:ascii="David" w:hAnsi="David" w:cs="David"/>
          <w:rtl/>
        </w:rPr>
        <w:t>מערער</w:t>
      </w:r>
      <w:r w:rsidRPr="00F97A11">
        <w:rPr>
          <w:rFonts w:ascii="David" w:hAnsi="David" w:cs="David"/>
          <w:rtl/>
        </w:rPr>
        <w:t xml:space="preserve"> עובדת צעירה, לא מוכרת ל</w:t>
      </w:r>
      <w:r w:rsidR="00F66FAD" w:rsidRPr="00F97A11">
        <w:rPr>
          <w:rFonts w:ascii="David" w:hAnsi="David" w:cs="David"/>
          <w:rtl/>
        </w:rPr>
        <w:t>מערער</w:t>
      </w:r>
      <w:r w:rsidRPr="00F97A11">
        <w:rPr>
          <w:rFonts w:ascii="David" w:hAnsi="David" w:cs="David"/>
          <w:rtl/>
        </w:rPr>
        <w:t>, והודיעה לו כי קיבלה מינוי, בתקן של מילוי מקום, לתפקיד שממלא ה</w:t>
      </w:r>
      <w:r w:rsidR="00F66FAD" w:rsidRPr="00F97A11">
        <w:rPr>
          <w:rFonts w:ascii="David" w:hAnsi="David" w:cs="David"/>
          <w:rtl/>
        </w:rPr>
        <w:t>מערער</w:t>
      </w:r>
      <w:r w:rsidRPr="00F97A11">
        <w:rPr>
          <w:rFonts w:ascii="David" w:hAnsi="David" w:cs="David"/>
          <w:rtl/>
        </w:rPr>
        <w:t xml:space="preserve"> – חשב האגף למוסדות תורניים במשרד החינוך. </w:t>
      </w:r>
    </w:p>
    <w:p w:rsidR="00EC0AC2" w:rsidRPr="00F97A11" w:rsidRDefault="00EC0AC2" w:rsidP="00F97A11">
      <w:pPr>
        <w:pStyle w:val="a8"/>
        <w:tabs>
          <w:tab w:val="left" w:pos="674"/>
        </w:tabs>
        <w:spacing w:after="240" w:line="360" w:lineRule="auto"/>
        <w:ind w:left="674"/>
        <w:rPr>
          <w:rFonts w:ascii="David" w:hAnsi="David" w:cs="David"/>
        </w:rPr>
      </w:pPr>
      <w:r w:rsidRPr="00F97A11">
        <w:rPr>
          <w:rFonts w:ascii="David" w:hAnsi="David" w:cs="David"/>
          <w:rtl/>
        </w:rPr>
        <w:t>כך, ללא חפיפה, ללא עדכון מראש, ובניגוד להבנה של ה</w:t>
      </w:r>
      <w:r w:rsidR="00F66FAD" w:rsidRPr="00F97A11">
        <w:rPr>
          <w:rFonts w:ascii="David" w:hAnsi="David" w:cs="David"/>
          <w:rtl/>
        </w:rPr>
        <w:t>מערער</w:t>
      </w:r>
      <w:r w:rsidRPr="00F97A11">
        <w:rPr>
          <w:rFonts w:ascii="David" w:hAnsi="David" w:cs="David"/>
          <w:rtl/>
        </w:rPr>
        <w:t xml:space="preserve"> כי לא יבוצעו צעדים חד-צדדיים בטרם ייבחנו טענותיו. איש מהממונים עליו לא שוחח עמו ולו מילה אחת בעניין.</w:t>
      </w:r>
    </w:p>
    <w:p w:rsidR="00EC0AC2" w:rsidRPr="00355243" w:rsidRDefault="00EC0AC2" w:rsidP="007C1D67">
      <w:pPr>
        <w:pStyle w:val="a8"/>
        <w:numPr>
          <w:ilvl w:val="0"/>
          <w:numId w:val="1"/>
        </w:numPr>
        <w:tabs>
          <w:tab w:val="left" w:pos="674"/>
        </w:tabs>
        <w:spacing w:after="240" w:line="360" w:lineRule="auto"/>
        <w:ind w:left="674" w:hanging="630"/>
        <w:rPr>
          <w:rFonts w:ascii="David" w:hAnsi="David" w:cs="David"/>
          <w:rtl/>
        </w:rPr>
      </w:pPr>
      <w:r w:rsidRPr="00355243">
        <w:rPr>
          <w:rFonts w:ascii="David" w:hAnsi="David" w:cs="David"/>
          <w:rtl/>
        </w:rPr>
        <w:t>ה</w:t>
      </w:r>
      <w:r w:rsidR="00F66FAD" w:rsidRPr="00355243">
        <w:rPr>
          <w:rFonts w:ascii="David" w:hAnsi="David" w:cs="David"/>
          <w:rtl/>
        </w:rPr>
        <w:t>מערער</w:t>
      </w:r>
      <w:r w:rsidRPr="00355243">
        <w:rPr>
          <w:rFonts w:ascii="David" w:hAnsi="David" w:cs="David"/>
          <w:rtl/>
        </w:rPr>
        <w:t xml:space="preserve"> פנה מיד בכתב לחשבת הכללית דאז, מחה על ההתנהלות הכוחנית נגדו, הסב את תשומת לבה של החשבת לכך שהמחליפה, שמונתה כנראה על ידה, כלל לא ביצעה חפיפה מסודרת, למרות רגישות התחום עליו אחראי ה</w:t>
      </w:r>
      <w:r w:rsidR="00F66FAD" w:rsidRPr="00355243">
        <w:rPr>
          <w:rFonts w:ascii="David" w:hAnsi="David" w:cs="David"/>
          <w:rtl/>
        </w:rPr>
        <w:t>מערער</w:t>
      </w:r>
      <w:r w:rsidRPr="00355243">
        <w:rPr>
          <w:rFonts w:ascii="David" w:hAnsi="David" w:cs="David"/>
          <w:rtl/>
        </w:rPr>
        <w:t xml:space="preserve"> שכלל, בנוסף לניהול יחידת עובדים מקצועית, ביצוע של כ-170,000 תשלומים בשנה, לאלפי מוסדות נתמכים וליותר מ-10,000 זכאים למילגות הבטחת הכנסה, בהיקף שנתי של כמיליארד ומאתיים מיליון ₪. ה</w:t>
      </w:r>
      <w:r w:rsidR="00F66FAD" w:rsidRPr="00355243">
        <w:rPr>
          <w:rFonts w:ascii="David" w:hAnsi="David" w:cs="David"/>
          <w:rtl/>
        </w:rPr>
        <w:t>מערער</w:t>
      </w:r>
      <w:r w:rsidRPr="00355243">
        <w:rPr>
          <w:rFonts w:ascii="David" w:hAnsi="David" w:cs="David"/>
          <w:rtl/>
        </w:rPr>
        <w:t xml:space="preserve"> הבהיר כי ימשיך להגיע לעבודתו כרגיל.</w:t>
      </w:r>
      <w:r w:rsidR="00F97A11">
        <w:rPr>
          <w:rStyle w:val="ac"/>
          <w:rFonts w:ascii="David" w:hAnsi="David" w:cs="David"/>
          <w:rtl/>
        </w:rPr>
        <w:footnoteReference w:id="11"/>
      </w:r>
      <w:r w:rsidR="00F97A11" w:rsidRPr="00355243">
        <w:rPr>
          <w:rFonts w:ascii="David" w:hAnsi="David" w:cs="David"/>
          <w:rtl/>
        </w:rPr>
        <w:t xml:space="preserve"> </w:t>
      </w:r>
      <w:r w:rsidR="00E4071C" w:rsidRPr="00355243">
        <w:rPr>
          <w:rFonts w:ascii="David" w:hAnsi="David" w:cs="David"/>
          <w:rtl/>
        </w:rPr>
        <w:t>לפנייתו זאת של המערער</w:t>
      </w:r>
      <w:r w:rsidRPr="00355243">
        <w:rPr>
          <w:rFonts w:ascii="David" w:hAnsi="David" w:cs="David"/>
          <w:rtl/>
        </w:rPr>
        <w:t xml:space="preserve"> לא ניתנה תשובה כלשהי. </w:t>
      </w:r>
    </w:p>
    <w:p w:rsidR="00EC0AC2" w:rsidRPr="0057045E" w:rsidRDefault="00EC0AC2" w:rsidP="00F756EA">
      <w:pPr>
        <w:pStyle w:val="a8"/>
        <w:numPr>
          <w:ilvl w:val="0"/>
          <w:numId w:val="1"/>
        </w:numPr>
        <w:tabs>
          <w:tab w:val="left" w:pos="674"/>
        </w:tabs>
        <w:spacing w:after="240" w:line="360" w:lineRule="auto"/>
        <w:ind w:left="674" w:hanging="630"/>
        <w:rPr>
          <w:rFonts w:ascii="David" w:hAnsi="David" w:cs="David"/>
          <w:rtl/>
        </w:rPr>
      </w:pPr>
      <w:r w:rsidRPr="0057045E">
        <w:rPr>
          <w:rFonts w:ascii="David" w:hAnsi="David" w:cs="David"/>
          <w:rtl/>
        </w:rPr>
        <w:t>העובדת שמונתה לממלאת מקום הבינה שאיננה יכולה להתמודד עם המשימה שהוטלה עליה, עזבה את המקום ולא הופיעה יותר. על פניו ברור שמשרד האוצר לא נערך לסיום עבודתו של ה</w:t>
      </w:r>
      <w:r w:rsidR="00F66FAD" w:rsidRPr="0057045E">
        <w:rPr>
          <w:rFonts w:ascii="David" w:hAnsi="David" w:cs="David"/>
          <w:rtl/>
        </w:rPr>
        <w:t>מערער</w:t>
      </w:r>
      <w:r w:rsidRPr="0057045E">
        <w:rPr>
          <w:rFonts w:ascii="David" w:hAnsi="David" w:cs="David"/>
          <w:rtl/>
        </w:rPr>
        <w:t>, ויש מקום להניח כי מנהליו של ה</w:t>
      </w:r>
      <w:r w:rsidR="00F66FAD" w:rsidRPr="0057045E">
        <w:rPr>
          <w:rFonts w:ascii="David" w:hAnsi="David" w:cs="David"/>
          <w:rtl/>
        </w:rPr>
        <w:t>מערער</w:t>
      </w:r>
      <w:r w:rsidRPr="0057045E">
        <w:rPr>
          <w:rFonts w:ascii="David" w:hAnsi="David" w:cs="David"/>
          <w:rtl/>
        </w:rPr>
        <w:t xml:space="preserve"> באגף החשב הכללי, הוטעו לחשוב שחוזהו הסתיים, שעה שהיה ברור שה</w:t>
      </w:r>
      <w:r w:rsidR="00F66FAD" w:rsidRPr="0057045E">
        <w:rPr>
          <w:rFonts w:ascii="David" w:hAnsi="David" w:cs="David"/>
          <w:rtl/>
        </w:rPr>
        <w:t>מערער</w:t>
      </w:r>
      <w:r w:rsidRPr="0057045E">
        <w:rPr>
          <w:rFonts w:ascii="David" w:hAnsi="David" w:cs="David"/>
          <w:rtl/>
        </w:rPr>
        <w:t xml:space="preserve"> ימשיך לעבוד עד לתום התקופה הקצובה (ביום 31.3.2014).</w:t>
      </w:r>
    </w:p>
    <w:p w:rsidR="00EC0AC2" w:rsidRDefault="00EC0AC2" w:rsidP="00F756EA">
      <w:pPr>
        <w:pStyle w:val="a8"/>
        <w:numPr>
          <w:ilvl w:val="0"/>
          <w:numId w:val="1"/>
        </w:numPr>
        <w:tabs>
          <w:tab w:val="left" w:pos="674"/>
        </w:tabs>
        <w:spacing w:after="240" w:line="360" w:lineRule="auto"/>
        <w:ind w:left="674" w:hanging="630"/>
        <w:rPr>
          <w:rFonts w:ascii="David" w:hAnsi="David" w:cs="David"/>
        </w:rPr>
      </w:pPr>
      <w:r w:rsidRPr="0057045E">
        <w:rPr>
          <w:rFonts w:ascii="David" w:hAnsi="David" w:cs="David"/>
          <w:rtl/>
        </w:rPr>
        <w:t>ה</w:t>
      </w:r>
      <w:r w:rsidR="00F66FAD" w:rsidRPr="0057045E">
        <w:rPr>
          <w:rFonts w:ascii="David" w:hAnsi="David" w:cs="David"/>
          <w:rtl/>
        </w:rPr>
        <w:t>מערער</w:t>
      </w:r>
      <w:r w:rsidRPr="0057045E">
        <w:rPr>
          <w:rFonts w:ascii="David" w:hAnsi="David" w:cs="David"/>
          <w:rtl/>
        </w:rPr>
        <w:t xml:space="preserve"> המשיך להתייצב לעבודתו עד ליום 5.8.2012. במועד זה זומן ה</w:t>
      </w:r>
      <w:r w:rsidR="00F66FAD" w:rsidRPr="0057045E">
        <w:rPr>
          <w:rFonts w:ascii="David" w:hAnsi="David" w:cs="David"/>
          <w:rtl/>
        </w:rPr>
        <w:t>מערער</w:t>
      </w:r>
      <w:r w:rsidRPr="0057045E">
        <w:rPr>
          <w:rFonts w:ascii="David" w:hAnsi="David" w:cs="David"/>
          <w:rtl/>
        </w:rPr>
        <w:t xml:space="preserve"> טלפונית לישיבה בשעות אחה"צ אצל סמנכ"לית משרד האוצר. במעמד זה נמסר לו מכתב בחתימת החשבת הכללית-לפיו כל סמכויותיו כחשב מבוטלות וכי "</w:t>
      </w:r>
      <w:r w:rsidRPr="009B1B4D">
        <w:rPr>
          <w:rFonts w:ascii="David" w:hAnsi="David" w:cs="David"/>
          <w:i/>
          <w:iCs/>
          <w:rtl/>
        </w:rPr>
        <w:t>החל מיום זה (5.8.12) אינך מוסמך להתחייב בשם המדינה</w:t>
      </w:r>
      <w:r w:rsidRPr="0057045E">
        <w:rPr>
          <w:rFonts w:ascii="David" w:hAnsi="David" w:cs="David"/>
          <w:rtl/>
        </w:rPr>
        <w:t>" וזאת "</w:t>
      </w:r>
      <w:r w:rsidRPr="009B1B4D">
        <w:rPr>
          <w:rFonts w:ascii="David" w:hAnsi="David" w:cs="David"/>
          <w:i/>
          <w:iCs/>
          <w:rtl/>
        </w:rPr>
        <w:t>מאחר שתקופת שירותך בשרות הציבורי הסתיימה</w:t>
      </w:r>
      <w:r w:rsidRPr="0057045E">
        <w:rPr>
          <w:rFonts w:ascii="David" w:hAnsi="David" w:cs="David"/>
          <w:rtl/>
        </w:rPr>
        <w:t xml:space="preserve">". </w:t>
      </w:r>
    </w:p>
    <w:p w:rsidR="00EC0AC2" w:rsidRPr="0057045E" w:rsidRDefault="000A5CEB" w:rsidP="00355243">
      <w:pPr>
        <w:pStyle w:val="a8"/>
        <w:tabs>
          <w:tab w:val="left" w:pos="674"/>
        </w:tabs>
        <w:spacing w:after="240" w:line="360" w:lineRule="auto"/>
        <w:ind w:left="674"/>
        <w:rPr>
          <w:rFonts w:ascii="David" w:hAnsi="David" w:cs="David"/>
        </w:rPr>
      </w:pPr>
      <w:r>
        <w:rPr>
          <w:rFonts w:ascii="David" w:hAnsi="David" w:cs="David"/>
          <w:rtl/>
        </w:rPr>
        <w:t>כמו כן</w:t>
      </w:r>
      <w:r w:rsidR="00EC0AC2" w:rsidRPr="0057045E">
        <w:rPr>
          <w:rFonts w:ascii="David" w:hAnsi="David" w:cs="David"/>
          <w:rtl/>
        </w:rPr>
        <w:t xml:space="preserve"> </w:t>
      </w:r>
      <w:r>
        <w:rPr>
          <w:rFonts w:ascii="David" w:hAnsi="David" w:cs="David"/>
          <w:rtl/>
        </w:rPr>
        <w:t>נאמר</w:t>
      </w:r>
      <w:r w:rsidR="00EC0AC2" w:rsidRPr="0057045E">
        <w:rPr>
          <w:rFonts w:ascii="David" w:hAnsi="David" w:cs="David"/>
          <w:rtl/>
        </w:rPr>
        <w:t xml:space="preserve"> </w:t>
      </w:r>
      <w:r>
        <w:rPr>
          <w:rFonts w:ascii="David" w:hAnsi="David" w:cs="David"/>
          <w:rtl/>
        </w:rPr>
        <w:t>למערער</w:t>
      </w:r>
      <w:r w:rsidR="00EC0AC2" w:rsidRPr="0057045E">
        <w:rPr>
          <w:rFonts w:ascii="David" w:hAnsi="David" w:cs="David"/>
          <w:rtl/>
        </w:rPr>
        <w:t xml:space="preserve"> כי </w:t>
      </w:r>
      <w:r w:rsidR="00EC0AC2" w:rsidRPr="0057045E">
        <w:rPr>
          <w:rFonts w:ascii="David" w:hAnsi="David" w:cs="David"/>
          <w:b/>
          <w:bCs/>
          <w:rtl/>
        </w:rPr>
        <w:t>אם יחזור למשרדו ייחשב כמסיג גבול!</w:t>
      </w:r>
      <w:r w:rsidR="00EC0AC2" w:rsidRPr="0057045E">
        <w:rPr>
          <w:rFonts w:ascii="David" w:hAnsi="David" w:cs="David"/>
          <w:rtl/>
        </w:rPr>
        <w:t xml:space="preserve"> נזכיר כי </w:t>
      </w:r>
      <w:r w:rsidR="00EC0AC2" w:rsidRPr="0057045E">
        <w:rPr>
          <w:rFonts w:ascii="David" w:hAnsi="David" w:cs="David"/>
          <w:b/>
          <w:bCs/>
          <w:rtl/>
        </w:rPr>
        <w:t>מדובר בעובד וותיק ובכיר, שהועסק בחוזה בכירים משנת 1990, ואשר החל את עבודתו במשרד עוד בשנת 1970!</w:t>
      </w:r>
      <w:r w:rsidR="0057045E" w:rsidRPr="000A5CEB">
        <w:rPr>
          <w:rStyle w:val="ac"/>
          <w:rFonts w:ascii="David" w:hAnsi="David" w:cs="David"/>
          <w:rtl/>
        </w:rPr>
        <w:footnoteReference w:id="12"/>
      </w:r>
    </w:p>
    <w:p w:rsidR="00BE19AD" w:rsidRDefault="00A460C8" w:rsidP="00355243">
      <w:pPr>
        <w:pStyle w:val="a8"/>
        <w:numPr>
          <w:ilvl w:val="0"/>
          <w:numId w:val="1"/>
        </w:numPr>
        <w:tabs>
          <w:tab w:val="left" w:pos="674"/>
        </w:tabs>
        <w:spacing w:after="240" w:line="360" w:lineRule="auto"/>
        <w:ind w:left="674" w:hanging="630"/>
        <w:rPr>
          <w:rFonts w:ascii="David" w:hAnsi="David" w:cs="David"/>
        </w:rPr>
      </w:pPr>
      <w:r w:rsidRPr="00523912">
        <w:rPr>
          <w:rFonts w:ascii="David" w:hAnsi="David" w:cs="David"/>
          <w:rtl/>
        </w:rPr>
        <w:t xml:space="preserve">נזכיר כי </w:t>
      </w:r>
      <w:r w:rsidR="00764080">
        <w:rPr>
          <w:rFonts w:ascii="David" w:hAnsi="David" w:cs="David"/>
          <w:rtl/>
        </w:rPr>
        <w:t>במועד</w:t>
      </w:r>
      <w:r w:rsidR="00764080" w:rsidRPr="00523912">
        <w:rPr>
          <w:rFonts w:ascii="David" w:hAnsi="David" w:cs="David"/>
          <w:rtl/>
        </w:rPr>
        <w:t xml:space="preserve"> </w:t>
      </w:r>
      <w:r w:rsidRPr="00523912">
        <w:rPr>
          <w:rFonts w:ascii="David" w:hAnsi="David" w:cs="David"/>
          <w:rtl/>
        </w:rPr>
        <w:t xml:space="preserve">זה עדיין </w:t>
      </w:r>
      <w:r w:rsidR="00764080">
        <w:rPr>
          <w:rFonts w:ascii="David" w:hAnsi="David" w:cs="David"/>
          <w:b/>
          <w:bCs/>
          <w:rtl/>
        </w:rPr>
        <w:t>לא החליט</w:t>
      </w:r>
      <w:r w:rsidRPr="00523912">
        <w:rPr>
          <w:rFonts w:ascii="David" w:hAnsi="David" w:cs="David"/>
          <w:b/>
          <w:bCs/>
          <w:rtl/>
        </w:rPr>
        <w:t xml:space="preserve"> נציב השירות, שהוא הגורם המוסמך להפסיק את העסקתו של המערער, </w:t>
      </w:r>
      <w:r w:rsidR="00764080">
        <w:rPr>
          <w:rFonts w:ascii="David" w:hAnsi="David" w:cs="David"/>
          <w:b/>
          <w:bCs/>
          <w:rtl/>
        </w:rPr>
        <w:t>על הפסקת עבו</w:t>
      </w:r>
      <w:r w:rsidR="00355243">
        <w:rPr>
          <w:rFonts w:ascii="David" w:hAnsi="David" w:cs="David"/>
          <w:b/>
          <w:bCs/>
          <w:rtl/>
        </w:rPr>
        <w:t xml:space="preserve">דתו, </w:t>
      </w:r>
      <w:r w:rsidR="0057045E" w:rsidRPr="00523912">
        <w:rPr>
          <w:rFonts w:ascii="David" w:hAnsi="David" w:cs="David"/>
          <w:rtl/>
        </w:rPr>
        <w:t>המערער לא קיבל הודעה בעניין הג</w:t>
      </w:r>
      <w:r w:rsidRPr="00523912">
        <w:rPr>
          <w:rFonts w:ascii="David" w:hAnsi="David" w:cs="David"/>
          <w:rtl/>
        </w:rPr>
        <w:t>י</w:t>
      </w:r>
      <w:r w:rsidR="0057045E" w:rsidRPr="00523912">
        <w:rPr>
          <w:rFonts w:ascii="David" w:hAnsi="David" w:cs="David"/>
          <w:rtl/>
        </w:rPr>
        <w:t>מלה המגיעה לו ובוודאי שלא קיבל ג</w:t>
      </w:r>
      <w:r w:rsidRPr="00523912">
        <w:rPr>
          <w:rFonts w:ascii="David" w:hAnsi="David" w:cs="David"/>
          <w:rtl/>
        </w:rPr>
        <w:t>י</w:t>
      </w:r>
      <w:r w:rsidR="0057045E" w:rsidRPr="00523912">
        <w:rPr>
          <w:rFonts w:ascii="David" w:hAnsi="David" w:cs="David"/>
          <w:rtl/>
        </w:rPr>
        <w:t xml:space="preserve">מלה. </w:t>
      </w:r>
      <w:r w:rsidR="0057045E" w:rsidRPr="00523912">
        <w:rPr>
          <w:rFonts w:ascii="David" w:hAnsi="David" w:cs="David"/>
          <w:b/>
          <w:bCs/>
          <w:rtl/>
        </w:rPr>
        <w:t>לכן המערער היה במצב משפטי שבו טרם הסתיימה העסקתו</w:t>
      </w:r>
      <w:r w:rsidR="00BE19AD" w:rsidRPr="00523912">
        <w:rPr>
          <w:rFonts w:ascii="David" w:hAnsi="David" w:cs="David"/>
          <w:b/>
          <w:bCs/>
          <w:rtl/>
        </w:rPr>
        <w:t>.</w:t>
      </w:r>
      <w:r w:rsidR="00523912" w:rsidRPr="00523912">
        <w:rPr>
          <w:rFonts w:ascii="David" w:hAnsi="David" w:cs="David"/>
          <w:b/>
          <w:bCs/>
          <w:rtl/>
        </w:rPr>
        <w:t xml:space="preserve"> </w:t>
      </w:r>
      <w:r w:rsidR="00BE19AD" w:rsidRPr="00523912">
        <w:rPr>
          <w:rFonts w:ascii="David" w:hAnsi="David" w:cs="David"/>
          <w:rtl/>
        </w:rPr>
        <w:t>מבלי לגרוע מכך נבהיר כי למערער לא נערך שימוע כנדרש, אף שהיה ברור שהוא מעוניין להמשיך בעבודתו מעבר לגיל הפרישה.</w:t>
      </w:r>
    </w:p>
    <w:p w:rsidR="002953C4" w:rsidRDefault="0057045E" w:rsidP="000D16E9">
      <w:pPr>
        <w:pStyle w:val="a8"/>
        <w:numPr>
          <w:ilvl w:val="0"/>
          <w:numId w:val="1"/>
        </w:numPr>
        <w:tabs>
          <w:tab w:val="left" w:pos="674"/>
        </w:tabs>
        <w:spacing w:after="240" w:line="360" w:lineRule="auto"/>
        <w:ind w:left="674" w:hanging="630"/>
        <w:rPr>
          <w:rFonts w:ascii="David" w:hAnsi="David" w:cs="David"/>
        </w:rPr>
      </w:pPr>
      <w:r w:rsidRPr="00574032">
        <w:rPr>
          <w:rFonts w:ascii="David" w:hAnsi="David" w:cs="David"/>
          <w:rtl/>
        </w:rPr>
        <w:t xml:space="preserve">מכל מקום, </w:t>
      </w:r>
      <w:r w:rsidR="00EC0AC2" w:rsidRPr="00574032">
        <w:rPr>
          <w:rFonts w:ascii="David" w:hAnsi="David" w:cs="David"/>
          <w:rtl/>
        </w:rPr>
        <w:t>ה</w:t>
      </w:r>
      <w:r w:rsidR="00F66FAD" w:rsidRPr="00574032">
        <w:rPr>
          <w:rFonts w:ascii="David" w:hAnsi="David" w:cs="David"/>
          <w:rtl/>
        </w:rPr>
        <w:t>מערער</w:t>
      </w:r>
      <w:r w:rsidR="00EC0AC2" w:rsidRPr="00574032">
        <w:rPr>
          <w:rFonts w:ascii="David" w:hAnsi="David" w:cs="David"/>
          <w:rtl/>
        </w:rPr>
        <w:t xml:space="preserve"> פנה ל</w:t>
      </w:r>
      <w:r w:rsidR="00F66FAD" w:rsidRPr="00574032">
        <w:rPr>
          <w:rFonts w:ascii="David" w:hAnsi="David" w:cs="David"/>
          <w:rtl/>
        </w:rPr>
        <w:t>משיבה</w:t>
      </w:r>
      <w:r w:rsidR="00EC0AC2" w:rsidRPr="00574032">
        <w:rPr>
          <w:rFonts w:ascii="David" w:hAnsi="David" w:cs="David"/>
          <w:rtl/>
        </w:rPr>
        <w:t xml:space="preserve"> באמצעות בא כוחו, בדרישה להחזירו לעבודה ולשלם לו את שכרו, אך לא נענה כלל. רק לאחר למעלה מחודשיים בעקבות פנייה נוספת ליועץ המשפטי של משרד האוצר ושיחת טלפון בין ב"כ ה</w:t>
      </w:r>
      <w:r w:rsidR="00F66FAD" w:rsidRPr="00574032">
        <w:rPr>
          <w:rFonts w:ascii="David" w:hAnsi="David" w:cs="David"/>
          <w:rtl/>
        </w:rPr>
        <w:t>מערער</w:t>
      </w:r>
      <w:r w:rsidR="00EC0AC2" w:rsidRPr="00574032">
        <w:rPr>
          <w:rFonts w:ascii="David" w:hAnsi="David" w:cs="David"/>
          <w:rtl/>
        </w:rPr>
        <w:t xml:space="preserve"> לעו"ד מהמחלקה המשפטית של המשרד, התקבלה </w:t>
      </w:r>
      <w:r w:rsidR="002953C4" w:rsidRPr="00574032">
        <w:rPr>
          <w:rFonts w:ascii="David" w:hAnsi="David" w:cs="David"/>
          <w:b/>
          <w:bCs/>
          <w:rtl/>
        </w:rPr>
        <w:t xml:space="preserve">ביום 24.10.2012 תשובת משרד האוצר, </w:t>
      </w:r>
      <w:r w:rsidR="00EC0AC2" w:rsidRPr="00574032">
        <w:rPr>
          <w:rFonts w:ascii="David" w:hAnsi="David" w:cs="David"/>
          <w:rtl/>
        </w:rPr>
        <w:t>תשובה המתעלמת לחלוטין מהעובדות, מהחוזה ומהחוק, ועומדת על עמדתה המופרכת של ה</w:t>
      </w:r>
      <w:r w:rsidR="00F66FAD" w:rsidRPr="00574032">
        <w:rPr>
          <w:rFonts w:ascii="David" w:hAnsi="David" w:cs="David"/>
          <w:rtl/>
        </w:rPr>
        <w:t>משיבה</w:t>
      </w:r>
      <w:r w:rsidR="00EC0AC2" w:rsidRPr="00574032">
        <w:rPr>
          <w:rFonts w:ascii="David" w:hAnsi="David" w:cs="David"/>
          <w:rtl/>
        </w:rPr>
        <w:t>.</w:t>
      </w:r>
    </w:p>
    <w:p w:rsidR="00EC0AC2" w:rsidRPr="00AD5378" w:rsidRDefault="00EC0AC2" w:rsidP="0057045E">
      <w:pPr>
        <w:pStyle w:val="a8"/>
        <w:tabs>
          <w:tab w:val="left" w:pos="674"/>
        </w:tabs>
        <w:spacing w:after="240" w:line="360" w:lineRule="auto"/>
        <w:ind w:left="44"/>
        <w:rPr>
          <w:rStyle w:val="emailstyle17"/>
          <w:rFonts w:ascii="Times New Roman" w:hAnsi="Times New Roman" w:cs="David"/>
          <w:b/>
          <w:bCs/>
          <w:color w:val="auto"/>
          <w:sz w:val="24"/>
          <w:u w:val="single"/>
          <w:rtl/>
        </w:rPr>
      </w:pPr>
      <w:r w:rsidRPr="00AD5378">
        <w:rPr>
          <w:rStyle w:val="emailstyle17"/>
          <w:rFonts w:ascii="Times New Roman" w:hAnsi="Times New Roman" w:cs="David"/>
          <w:b/>
          <w:bCs/>
          <w:color w:val="auto"/>
          <w:sz w:val="24"/>
          <w:u w:val="single"/>
          <w:rtl/>
        </w:rPr>
        <w:lastRenderedPageBreak/>
        <w:t>הודעה רטרואקטיבית על הפרשה לגימלה ואי קיום הוראות הדין</w:t>
      </w:r>
    </w:p>
    <w:p w:rsidR="00EC0AC2" w:rsidRPr="0057045E" w:rsidRDefault="00EC0AC2" w:rsidP="00F756EA">
      <w:pPr>
        <w:pStyle w:val="a8"/>
        <w:numPr>
          <w:ilvl w:val="0"/>
          <w:numId w:val="1"/>
        </w:numPr>
        <w:tabs>
          <w:tab w:val="left" w:pos="674"/>
        </w:tabs>
        <w:spacing w:after="240" w:line="360" w:lineRule="auto"/>
        <w:ind w:left="674" w:hanging="630"/>
        <w:rPr>
          <w:rFonts w:ascii="David" w:hAnsi="David" w:cs="David"/>
        </w:rPr>
      </w:pPr>
      <w:r w:rsidRPr="00AD5378">
        <w:rPr>
          <w:rFonts w:ascii="David" w:hAnsi="David" w:cs="David"/>
          <w:rtl/>
        </w:rPr>
        <w:t>בהתאם להוראות חוק הגמלאות, נציב שרות המדינה חייב לידע את העובד בדואר רשום על החלטתו להפריש אותו לקיצבאות</w:t>
      </w:r>
      <w:r w:rsidRPr="0057045E">
        <w:rPr>
          <w:rFonts w:ascii="David" w:hAnsi="David" w:cs="David"/>
          <w:rtl/>
        </w:rPr>
        <w:t xml:space="preserve"> לפחות 90 יום לפני יום הפרישה. דהיינו, לשיטת ה</w:t>
      </w:r>
      <w:r w:rsidR="00F66FAD" w:rsidRPr="0057045E">
        <w:rPr>
          <w:rFonts w:ascii="David" w:hAnsi="David" w:cs="David"/>
          <w:rtl/>
        </w:rPr>
        <w:t>משיבה</w:t>
      </w:r>
      <w:r w:rsidRPr="0057045E">
        <w:rPr>
          <w:rFonts w:ascii="David" w:hAnsi="David" w:cs="David"/>
          <w:rtl/>
        </w:rPr>
        <w:t xml:space="preserve"> היה עליה ליידע את ה</w:t>
      </w:r>
      <w:r w:rsidR="00F66FAD" w:rsidRPr="0057045E">
        <w:rPr>
          <w:rFonts w:ascii="David" w:hAnsi="David" w:cs="David"/>
          <w:rtl/>
        </w:rPr>
        <w:t>מערער</w:t>
      </w:r>
      <w:r w:rsidRPr="0057045E">
        <w:rPr>
          <w:rFonts w:ascii="David" w:hAnsi="David" w:cs="David"/>
          <w:rtl/>
        </w:rPr>
        <w:t xml:space="preserve"> על הכוונה להוציאו לגימלאות עד ליום 1.5.2012 לכל המאוחר (90 יום לפני 31.7.12). </w:t>
      </w:r>
    </w:p>
    <w:p w:rsidR="00EC0AC2" w:rsidRPr="0057045E" w:rsidRDefault="00EC0AC2" w:rsidP="00F756EA">
      <w:pPr>
        <w:pStyle w:val="a8"/>
        <w:numPr>
          <w:ilvl w:val="0"/>
          <w:numId w:val="1"/>
        </w:numPr>
        <w:tabs>
          <w:tab w:val="left" w:pos="674"/>
        </w:tabs>
        <w:spacing w:after="240" w:line="360" w:lineRule="auto"/>
        <w:ind w:left="674" w:hanging="630"/>
        <w:rPr>
          <w:rFonts w:ascii="David" w:hAnsi="David" w:cs="David"/>
          <w:rtl/>
        </w:rPr>
      </w:pPr>
      <w:r w:rsidRPr="0057045E">
        <w:rPr>
          <w:rFonts w:ascii="David" w:hAnsi="David" w:cs="David"/>
          <w:rtl/>
        </w:rPr>
        <w:t>על פי התקשי"ר, סמנכ"ל המשרד (ולא פקיד זוטר כלשהו) חייב לתת הודעה על צאתו הצפוי של העובד לגמלאות שנה שלימה לפני מועד הפרישה. הודעה כאמור לא נמסרה ל</w:t>
      </w:r>
      <w:r w:rsidR="00F66FAD" w:rsidRPr="0057045E">
        <w:rPr>
          <w:rFonts w:ascii="David" w:hAnsi="David" w:cs="David"/>
          <w:rtl/>
        </w:rPr>
        <w:t>מערער</w:t>
      </w:r>
      <w:r w:rsidRPr="0057045E">
        <w:rPr>
          <w:rFonts w:ascii="David" w:hAnsi="David" w:cs="David"/>
          <w:rtl/>
        </w:rPr>
        <w:t xml:space="preserve"> במועד הקבוע בחוק ולא במועד הנדרש בתקנות השרות.</w:t>
      </w:r>
    </w:p>
    <w:p w:rsidR="00EC0AC2" w:rsidRPr="009B1B4D" w:rsidRDefault="00EC0AC2" w:rsidP="00764080">
      <w:pPr>
        <w:pStyle w:val="a8"/>
        <w:numPr>
          <w:ilvl w:val="0"/>
          <w:numId w:val="1"/>
        </w:numPr>
        <w:spacing w:after="240" w:line="360" w:lineRule="auto"/>
        <w:ind w:left="674" w:hanging="630"/>
        <w:rPr>
          <w:rFonts w:ascii="David" w:hAnsi="David" w:cs="David"/>
          <w:rtl/>
        </w:rPr>
      </w:pPr>
      <w:r w:rsidRPr="009B1B4D">
        <w:rPr>
          <w:rFonts w:ascii="David" w:hAnsi="David" w:cs="David"/>
          <w:rtl/>
        </w:rPr>
        <w:t xml:space="preserve">רק במהלך </w:t>
      </w:r>
      <w:r w:rsidRPr="009B1B4D">
        <w:rPr>
          <w:rFonts w:ascii="David" w:hAnsi="David" w:cs="David"/>
          <w:b/>
          <w:bCs/>
          <w:u w:val="single"/>
          <w:rtl/>
        </w:rPr>
        <w:t>חודש דצמבר 2012</w:t>
      </w:r>
      <w:r w:rsidR="0057045E" w:rsidRPr="009B1B4D">
        <w:rPr>
          <w:rStyle w:val="ac"/>
          <w:rFonts w:ascii="David" w:hAnsi="David" w:cs="David"/>
          <w:rtl/>
        </w:rPr>
        <w:footnoteReference w:id="13"/>
      </w:r>
      <w:r w:rsidRPr="009B1B4D">
        <w:rPr>
          <w:rFonts w:ascii="David" w:hAnsi="David" w:cs="David"/>
          <w:rtl/>
        </w:rPr>
        <w:t xml:space="preserve">, </w:t>
      </w:r>
      <w:r w:rsidRPr="009B1B4D">
        <w:rPr>
          <w:rFonts w:ascii="David" w:hAnsi="David" w:cs="David"/>
          <w:b/>
          <w:bCs/>
          <w:rtl/>
        </w:rPr>
        <w:t>כחמישה חודשים לאחר הפסקת עבודתו בפועל</w:t>
      </w:r>
      <w:r w:rsidRPr="009B1B4D">
        <w:rPr>
          <w:rFonts w:ascii="David" w:hAnsi="David" w:cs="David"/>
          <w:rtl/>
        </w:rPr>
        <w:t>, קיבל ה</w:t>
      </w:r>
      <w:r w:rsidR="00F66FAD" w:rsidRPr="009B1B4D">
        <w:rPr>
          <w:rFonts w:ascii="David" w:hAnsi="David" w:cs="David"/>
          <w:rtl/>
        </w:rPr>
        <w:t>מערער</w:t>
      </w:r>
      <w:r w:rsidRPr="009B1B4D">
        <w:rPr>
          <w:rFonts w:ascii="David" w:hAnsi="David" w:cs="David"/>
          <w:rtl/>
        </w:rPr>
        <w:t xml:space="preserve"> – באמצעות דואר רגיל - </w:t>
      </w:r>
      <w:r w:rsidR="00764080">
        <w:rPr>
          <w:rFonts w:ascii="David" w:hAnsi="David" w:cs="David"/>
          <w:rtl/>
        </w:rPr>
        <w:t>את מכתב</w:t>
      </w:r>
      <w:r w:rsidR="009B1B4D" w:rsidRPr="009B1B4D">
        <w:rPr>
          <w:rFonts w:ascii="David" w:hAnsi="David" w:cs="David"/>
          <w:rtl/>
        </w:rPr>
        <w:t xml:space="preserve"> </w:t>
      </w:r>
      <w:r w:rsidRPr="009B1B4D">
        <w:rPr>
          <w:rFonts w:ascii="David" w:hAnsi="David" w:cs="David"/>
          <w:rtl/>
        </w:rPr>
        <w:t>נציב</w:t>
      </w:r>
      <w:r w:rsidR="00FC5512">
        <w:rPr>
          <w:rFonts w:ascii="David" w:hAnsi="David" w:cs="David"/>
          <w:rtl/>
        </w:rPr>
        <w:t>ות</w:t>
      </w:r>
      <w:r w:rsidRPr="009B1B4D">
        <w:rPr>
          <w:rFonts w:ascii="David" w:hAnsi="David" w:cs="David"/>
          <w:rtl/>
        </w:rPr>
        <w:t xml:space="preserve"> שרות המדינה, הנושא</w:t>
      </w:r>
      <w:r w:rsidR="00FC5512">
        <w:rPr>
          <w:rFonts w:ascii="David" w:hAnsi="David" w:cs="David"/>
          <w:rtl/>
        </w:rPr>
        <w:t>ת תאריך 15.8.2012, על החלטת נציב השירות</w:t>
      </w:r>
      <w:r w:rsidRPr="009B1B4D">
        <w:rPr>
          <w:rFonts w:ascii="David" w:hAnsi="David" w:cs="David"/>
          <w:rtl/>
        </w:rPr>
        <w:t xml:space="preserve"> להורות "</w:t>
      </w:r>
      <w:r w:rsidRPr="008B4055">
        <w:rPr>
          <w:rFonts w:ascii="David" w:hAnsi="David" w:cs="David"/>
          <w:i/>
          <w:iCs/>
          <w:rtl/>
        </w:rPr>
        <w:t>בהתאם להוראת סעיף 18 לחוק שרות המדינה (גמלאות)</w:t>
      </w:r>
      <w:r w:rsidRPr="009B1B4D">
        <w:rPr>
          <w:rFonts w:ascii="David" w:hAnsi="David" w:cs="David"/>
          <w:rtl/>
        </w:rPr>
        <w:t>" (שכזכור אינו חל על ה</w:t>
      </w:r>
      <w:r w:rsidR="00F66FAD" w:rsidRPr="009B1B4D">
        <w:rPr>
          <w:rFonts w:ascii="David" w:hAnsi="David" w:cs="David"/>
          <w:rtl/>
        </w:rPr>
        <w:t>מערער</w:t>
      </w:r>
      <w:r w:rsidRPr="009B1B4D">
        <w:rPr>
          <w:rFonts w:ascii="David" w:hAnsi="David" w:cs="David"/>
          <w:rtl/>
        </w:rPr>
        <w:t>) על הוצאתו של ה</w:t>
      </w:r>
      <w:r w:rsidR="00F66FAD" w:rsidRPr="009B1B4D">
        <w:rPr>
          <w:rFonts w:ascii="David" w:hAnsi="David" w:cs="David"/>
          <w:rtl/>
        </w:rPr>
        <w:t>מערער</w:t>
      </w:r>
      <w:r w:rsidRPr="009B1B4D">
        <w:rPr>
          <w:rFonts w:ascii="David" w:hAnsi="David" w:cs="David"/>
          <w:rtl/>
        </w:rPr>
        <w:t xml:space="preserve"> ל"קצבה מטעמי גיל" רטרואקטיבית</w:t>
      </w:r>
      <w:r w:rsidR="00EE5402" w:rsidRPr="00164CDC">
        <w:rPr>
          <w:rFonts w:ascii="David" w:hAnsi="David" w:cs="David"/>
          <w:rtl/>
        </w:rPr>
        <w:t>(!!)</w:t>
      </w:r>
      <w:r w:rsidRPr="009B1B4D">
        <w:rPr>
          <w:rFonts w:ascii="David" w:hAnsi="David" w:cs="David"/>
          <w:rtl/>
        </w:rPr>
        <w:t xml:space="preserve"> </w:t>
      </w:r>
      <w:r w:rsidR="00400661" w:rsidRPr="009B1B4D">
        <w:rPr>
          <w:rFonts w:ascii="David" w:hAnsi="David" w:cs="David"/>
          <w:rtl/>
        </w:rPr>
        <w:t>מ</w:t>
      </w:r>
      <w:r w:rsidRPr="009B1B4D">
        <w:rPr>
          <w:rFonts w:ascii="David" w:hAnsi="David" w:cs="David"/>
          <w:rtl/>
        </w:rPr>
        <w:t>יום 31.7.2012.</w:t>
      </w:r>
      <w:r w:rsidRPr="009B1B4D" w:rsidDel="009E1704">
        <w:rPr>
          <w:rFonts w:ascii="David" w:hAnsi="David" w:cs="David"/>
          <w:rtl/>
        </w:rPr>
        <w:t xml:space="preserve"> </w:t>
      </w:r>
    </w:p>
    <w:p w:rsidR="00EC0AC2" w:rsidRPr="00901A33" w:rsidRDefault="00EC0AC2" w:rsidP="00FC5512">
      <w:pPr>
        <w:pStyle w:val="12"/>
        <w:tabs>
          <w:tab w:val="left" w:pos="453"/>
        </w:tabs>
        <w:spacing w:before="0" w:after="240" w:line="360" w:lineRule="auto"/>
        <w:ind w:left="674" w:hanging="425"/>
        <w:rPr>
          <w:rStyle w:val="emailstyle17"/>
          <w:rFonts w:ascii="Times New Roman" w:hAnsi="Times New Roman"/>
          <w:rtl/>
        </w:rPr>
      </w:pPr>
      <w:r w:rsidRPr="00901A33">
        <w:rPr>
          <w:rStyle w:val="emailstyle17"/>
          <w:rFonts w:ascii="Times New Roman" w:hAnsi="Times New Roman"/>
          <w:rtl/>
        </w:rPr>
        <w:tab/>
      </w:r>
      <w:r w:rsidR="006F1517">
        <w:rPr>
          <w:rStyle w:val="emailstyle17"/>
          <w:rFonts w:ascii="Times New Roman" w:hAnsi="Times New Roman"/>
          <w:rtl/>
        </w:rPr>
        <w:tab/>
      </w:r>
      <w:r w:rsidRPr="00901A33">
        <w:rPr>
          <w:rStyle w:val="emailstyle17"/>
          <w:rFonts w:ascii="Times New Roman" w:hAnsi="Times New Roman"/>
          <w:rtl/>
        </w:rPr>
        <w:t>המסמך שכאמור נושא את התאריך 15.8.2012 - שבועיים אחרי</w:t>
      </w:r>
      <w:r w:rsidR="009B1B4D">
        <w:rPr>
          <w:rStyle w:val="emailstyle17"/>
          <w:rFonts w:ascii="Times New Roman" w:hAnsi="Times New Roman"/>
          <w:rtl/>
        </w:rPr>
        <w:t xml:space="preserve"> הפסקת העבודה הכפויה</w:t>
      </w:r>
      <w:r w:rsidR="00FC5512">
        <w:rPr>
          <w:rStyle w:val="emailstyle17"/>
          <w:rFonts w:ascii="Times New Roman" w:hAnsi="Times New Roman"/>
          <w:rtl/>
        </w:rPr>
        <w:t xml:space="preserve"> </w:t>
      </w:r>
      <w:r w:rsidR="009B1B4D" w:rsidRPr="009B1B4D">
        <w:rPr>
          <w:rStyle w:val="emailstyle17"/>
          <w:rFonts w:ascii="Times New Roman" w:hAnsi="Times New Roman"/>
          <w:rtl/>
        </w:rPr>
        <w:t>–</w:t>
      </w:r>
      <w:r w:rsidR="00FC5512">
        <w:rPr>
          <w:rStyle w:val="emailstyle17"/>
          <w:rFonts w:ascii="Times New Roman" w:hAnsi="Times New Roman"/>
          <w:bCs/>
          <w:rtl/>
        </w:rPr>
        <w:t xml:space="preserve"> </w:t>
      </w:r>
      <w:r w:rsidRPr="009B1B4D">
        <w:rPr>
          <w:rStyle w:val="emailstyle17"/>
          <w:rFonts w:ascii="Times New Roman" w:hAnsi="Times New Roman"/>
          <w:bCs/>
          <w:rtl/>
        </w:rPr>
        <w:t>נחתם רק  ביום 21.11.2012, יותר</w:t>
      </w:r>
      <w:r w:rsidRPr="00901A33">
        <w:rPr>
          <w:rStyle w:val="emailstyle17"/>
          <w:rFonts w:ascii="Times New Roman" w:hAnsi="Times New Roman"/>
          <w:bCs/>
          <w:rtl/>
        </w:rPr>
        <w:t xml:space="preserve"> משלושה חודשים(!) אחרי התאריך הנקוב על המכתב.</w:t>
      </w:r>
      <w:r w:rsidR="006F1517">
        <w:rPr>
          <w:rStyle w:val="ac"/>
          <w:rFonts w:cs="David"/>
          <w:bCs/>
          <w:color w:val="000000"/>
          <w:rtl/>
        </w:rPr>
        <w:footnoteReference w:id="14"/>
      </w:r>
      <w:r w:rsidRPr="00901A33">
        <w:rPr>
          <w:rStyle w:val="emailstyle17"/>
          <w:rFonts w:ascii="Times New Roman" w:hAnsi="Times New Roman"/>
          <w:rtl/>
        </w:rPr>
        <w:t xml:space="preserve"> למכתב צורפה גם חתימת סמנכ"לית משרד </w:t>
      </w:r>
      <w:r w:rsidR="00764080">
        <w:rPr>
          <w:rStyle w:val="emailstyle17"/>
          <w:rFonts w:ascii="Times New Roman" w:hAnsi="Times New Roman"/>
          <w:rtl/>
        </w:rPr>
        <w:t xml:space="preserve">האוצר </w:t>
      </w:r>
      <w:r w:rsidRPr="00901A33">
        <w:rPr>
          <w:rStyle w:val="emailstyle17"/>
          <w:rFonts w:ascii="Times New Roman" w:hAnsi="Times New Roman"/>
          <w:rtl/>
        </w:rPr>
        <w:t xml:space="preserve">(כפי שהיה עליה לעשות </w:t>
      </w:r>
      <w:r w:rsidRPr="00901A33">
        <w:rPr>
          <w:rStyle w:val="emailstyle17"/>
          <w:rFonts w:ascii="Times New Roman" w:hAnsi="Times New Roman"/>
          <w:bCs/>
          <w:rtl/>
        </w:rPr>
        <w:t>שנה לפני מועד הפרישה</w:t>
      </w:r>
      <w:r w:rsidRPr="00901A33">
        <w:rPr>
          <w:rStyle w:val="emailstyle17"/>
          <w:rFonts w:ascii="Times New Roman" w:hAnsi="Times New Roman"/>
          <w:rtl/>
        </w:rPr>
        <w:t xml:space="preserve"> ולא יותר משלושה חודשים אחריו</w:t>
      </w:r>
      <w:r w:rsidR="00764080">
        <w:rPr>
          <w:rStyle w:val="emailstyle17"/>
          <w:rFonts w:ascii="Times New Roman" w:hAnsi="Times New Roman"/>
          <w:rtl/>
        </w:rPr>
        <w:t xml:space="preserve"> – כפי שעשתה בפועל</w:t>
      </w:r>
      <w:r w:rsidRPr="00901A33">
        <w:rPr>
          <w:rStyle w:val="emailstyle17"/>
          <w:rFonts w:ascii="Times New Roman" w:hAnsi="Times New Roman"/>
          <w:rtl/>
        </w:rPr>
        <w:t xml:space="preserve">). </w:t>
      </w:r>
    </w:p>
    <w:p w:rsidR="00EC0AC2" w:rsidRPr="00901A33" w:rsidRDefault="00EC0AC2" w:rsidP="00764080">
      <w:pPr>
        <w:pStyle w:val="12"/>
        <w:tabs>
          <w:tab w:val="left" w:pos="530"/>
        </w:tabs>
        <w:spacing w:before="0" w:after="240" w:line="360" w:lineRule="auto"/>
        <w:ind w:left="674" w:hanging="425"/>
        <w:rPr>
          <w:b/>
          <w:bCs/>
          <w:i/>
          <w:iCs/>
          <w:sz w:val="24"/>
          <w:rtl/>
        </w:rPr>
      </w:pPr>
      <w:r w:rsidRPr="00901A33">
        <w:rPr>
          <w:rStyle w:val="emailstyle17"/>
          <w:rFonts w:ascii="Times New Roman" w:hAnsi="Times New Roman"/>
          <w:rtl/>
        </w:rPr>
        <w:tab/>
      </w:r>
      <w:r w:rsidR="006F1517">
        <w:rPr>
          <w:rStyle w:val="emailstyle17"/>
          <w:rFonts w:ascii="Times New Roman" w:hAnsi="Times New Roman"/>
          <w:rtl/>
        </w:rPr>
        <w:tab/>
      </w:r>
      <w:r w:rsidR="00764080">
        <w:rPr>
          <w:rStyle w:val="emailstyle17"/>
          <w:rFonts w:ascii="Times New Roman" w:hAnsi="Times New Roman"/>
          <w:rtl/>
        </w:rPr>
        <w:t>כאמור לעיל</w:t>
      </w:r>
      <w:r w:rsidR="00764080">
        <w:rPr>
          <w:rStyle w:val="emailstyle17"/>
          <w:rFonts w:ascii="Times New Roman" w:hAnsi="Times New Roman"/>
          <w:bCs/>
          <w:rtl/>
        </w:rPr>
        <w:t>,</w:t>
      </w:r>
      <w:r w:rsidRPr="00901A33">
        <w:rPr>
          <w:rStyle w:val="emailstyle17"/>
          <w:rFonts w:ascii="Times New Roman" w:hAnsi="Times New Roman"/>
          <w:bCs/>
          <w:rtl/>
        </w:rPr>
        <w:t xml:space="preserve"> המכתב הגיע לידי ה</w:t>
      </w:r>
      <w:r w:rsidR="00F66FAD">
        <w:rPr>
          <w:rStyle w:val="emailstyle17"/>
          <w:rFonts w:ascii="Times New Roman" w:hAnsi="Times New Roman"/>
          <w:bCs/>
          <w:rtl/>
        </w:rPr>
        <w:t>מערער</w:t>
      </w:r>
      <w:r w:rsidRPr="00901A33">
        <w:rPr>
          <w:rStyle w:val="emailstyle17"/>
          <w:rFonts w:ascii="Times New Roman" w:hAnsi="Times New Roman"/>
          <w:bCs/>
          <w:rtl/>
        </w:rPr>
        <w:t xml:space="preserve"> רק </w:t>
      </w:r>
      <w:r w:rsidRPr="008B4055">
        <w:rPr>
          <w:rStyle w:val="emailstyle17"/>
          <w:rFonts w:ascii="Times New Roman" w:hAnsi="Times New Roman"/>
          <w:bCs/>
          <w:u w:val="single"/>
          <w:rtl/>
        </w:rPr>
        <w:t>באמצע חודש דצמבר 2012</w:t>
      </w:r>
      <w:r w:rsidRPr="00901A33">
        <w:rPr>
          <w:rStyle w:val="emailstyle17"/>
          <w:rFonts w:ascii="Times New Roman" w:hAnsi="Times New Roman"/>
          <w:bCs/>
          <w:rtl/>
        </w:rPr>
        <w:t xml:space="preserve">, כחמישה חודשים </w:t>
      </w:r>
      <w:r w:rsidRPr="00901A33">
        <w:rPr>
          <w:rStyle w:val="emailstyle17"/>
          <w:rFonts w:ascii="Times New Roman" w:hAnsi="Times New Roman"/>
          <w:bCs/>
          <w:u w:val="single"/>
          <w:rtl/>
        </w:rPr>
        <w:t>לאחר</w:t>
      </w:r>
      <w:r w:rsidRPr="00901A33">
        <w:rPr>
          <w:rStyle w:val="emailstyle17"/>
          <w:rFonts w:ascii="Times New Roman" w:hAnsi="Times New Roman"/>
          <w:bCs/>
          <w:rtl/>
        </w:rPr>
        <w:t xml:space="preserve"> הפסקת עבודתו הכפויה.</w:t>
      </w:r>
    </w:p>
    <w:p w:rsidR="00EC0AC2" w:rsidRPr="0057045E" w:rsidRDefault="00EC0AC2" w:rsidP="00F756EA">
      <w:pPr>
        <w:pStyle w:val="a8"/>
        <w:numPr>
          <w:ilvl w:val="0"/>
          <w:numId w:val="1"/>
        </w:numPr>
        <w:tabs>
          <w:tab w:val="left" w:pos="674"/>
        </w:tabs>
        <w:spacing w:after="240" w:line="360" w:lineRule="auto"/>
        <w:ind w:left="674" w:hanging="630"/>
        <w:rPr>
          <w:rFonts w:ascii="David" w:hAnsi="David" w:cs="David"/>
          <w:rtl/>
        </w:rPr>
      </w:pPr>
      <w:r w:rsidRPr="0057045E">
        <w:rPr>
          <w:rFonts w:ascii="David" w:hAnsi="David" w:cs="David"/>
          <w:rtl/>
        </w:rPr>
        <w:t>עם קבלת ההודעה הנ"ל של נציב שרות המדינה, פנה ה</w:t>
      </w:r>
      <w:r w:rsidR="00F66FAD" w:rsidRPr="0057045E">
        <w:rPr>
          <w:rFonts w:ascii="David" w:hAnsi="David" w:cs="David"/>
          <w:rtl/>
        </w:rPr>
        <w:t>מערער</w:t>
      </w:r>
      <w:r w:rsidRPr="0057045E">
        <w:rPr>
          <w:rFonts w:ascii="David" w:hAnsi="David" w:cs="David"/>
          <w:rtl/>
        </w:rPr>
        <w:t xml:space="preserve"> שוב, באמצעות בא כוחו, ליועץ המשפטי של משרד האוצר, וחזר על דרישותיו בעניין וזכותו להמשיך לעבוד עד תום תקופת החוזה ודרישה לשלם את שכרו של ה</w:t>
      </w:r>
      <w:r w:rsidR="00F66FAD" w:rsidRPr="0057045E">
        <w:rPr>
          <w:rFonts w:ascii="David" w:hAnsi="David" w:cs="David"/>
          <w:rtl/>
        </w:rPr>
        <w:t>מערער</w:t>
      </w:r>
      <w:r w:rsidRPr="0057045E">
        <w:rPr>
          <w:rFonts w:ascii="David" w:hAnsi="David" w:cs="David"/>
          <w:rtl/>
        </w:rPr>
        <w:t>, אך לשווא.</w:t>
      </w:r>
      <w:r w:rsidR="006F1517">
        <w:rPr>
          <w:rStyle w:val="ac"/>
          <w:rFonts w:ascii="David" w:hAnsi="David" w:cs="David"/>
          <w:rtl/>
        </w:rPr>
        <w:footnoteReference w:id="15"/>
      </w:r>
      <w:r w:rsidRPr="0057045E">
        <w:rPr>
          <w:rFonts w:ascii="David" w:hAnsi="David" w:cs="David"/>
          <w:rtl/>
        </w:rPr>
        <w:t xml:space="preserve"> </w:t>
      </w:r>
    </w:p>
    <w:p w:rsidR="00EC0AC2" w:rsidRPr="00901A33" w:rsidRDefault="00EC0AC2" w:rsidP="00EC0AC2">
      <w:pPr>
        <w:pStyle w:val="12"/>
        <w:tabs>
          <w:tab w:val="left" w:pos="453"/>
        </w:tabs>
        <w:spacing w:before="0" w:line="360" w:lineRule="auto"/>
        <w:ind w:left="510" w:hanging="425"/>
        <w:rPr>
          <w:i/>
          <w:iCs/>
          <w:sz w:val="24"/>
          <w:u w:val="single"/>
          <w:rtl/>
        </w:rPr>
      </w:pPr>
      <w:bookmarkStart w:id="1" w:name="_Hlk18184465"/>
    </w:p>
    <w:bookmarkEnd w:id="1"/>
    <w:p w:rsidR="00EC0AC2" w:rsidRPr="006F1517" w:rsidRDefault="00EC0AC2" w:rsidP="006F1517">
      <w:pPr>
        <w:pStyle w:val="a8"/>
        <w:tabs>
          <w:tab w:val="left" w:pos="674"/>
        </w:tabs>
        <w:spacing w:after="240" w:line="360" w:lineRule="auto"/>
        <w:ind w:left="44"/>
        <w:rPr>
          <w:rStyle w:val="emailstyle17"/>
          <w:rFonts w:ascii="Times New Roman" w:hAnsi="Times New Roman" w:cs="David"/>
          <w:b/>
          <w:bCs/>
          <w:color w:val="auto"/>
          <w:sz w:val="24"/>
          <w:u w:val="single"/>
        </w:rPr>
      </w:pPr>
      <w:r w:rsidRPr="006F1517">
        <w:rPr>
          <w:rStyle w:val="emailstyle17"/>
          <w:rFonts w:ascii="Times New Roman" w:hAnsi="Times New Roman" w:cs="David"/>
          <w:b/>
          <w:bCs/>
          <w:color w:val="auto"/>
          <w:sz w:val="24"/>
          <w:u w:val="single"/>
          <w:rtl/>
        </w:rPr>
        <w:t>הפגיעה הקשה בזכויות הפנסיה של ה</w:t>
      </w:r>
      <w:r w:rsidR="00F66FAD" w:rsidRPr="006F1517">
        <w:rPr>
          <w:rStyle w:val="emailstyle17"/>
          <w:rFonts w:ascii="Times New Roman" w:hAnsi="Times New Roman" w:cs="David"/>
          <w:b/>
          <w:bCs/>
          <w:color w:val="auto"/>
          <w:sz w:val="24"/>
          <w:u w:val="single"/>
          <w:rtl/>
        </w:rPr>
        <w:t>מערער</w:t>
      </w:r>
    </w:p>
    <w:p w:rsidR="00FC5512" w:rsidRDefault="00EC0AC2" w:rsidP="00692CDF">
      <w:pPr>
        <w:pStyle w:val="a8"/>
        <w:numPr>
          <w:ilvl w:val="0"/>
          <w:numId w:val="1"/>
        </w:numPr>
        <w:tabs>
          <w:tab w:val="left" w:pos="674"/>
        </w:tabs>
        <w:spacing w:after="240" w:line="360" w:lineRule="auto"/>
        <w:ind w:left="674" w:hanging="630"/>
        <w:rPr>
          <w:rFonts w:ascii="David" w:hAnsi="David" w:cs="David"/>
        </w:rPr>
      </w:pPr>
      <w:r w:rsidRPr="00FC5512">
        <w:rPr>
          <w:rFonts w:ascii="David" w:hAnsi="David" w:cs="David"/>
          <w:rtl/>
        </w:rPr>
        <w:t>בעקבות הודעת הנש"מ הנ"ל על הפרשת ה</w:t>
      </w:r>
      <w:r w:rsidR="00F66FAD" w:rsidRPr="00FC5512">
        <w:rPr>
          <w:rFonts w:ascii="David" w:hAnsi="David" w:cs="David"/>
          <w:rtl/>
        </w:rPr>
        <w:t>מערער</w:t>
      </w:r>
      <w:r w:rsidRPr="00FC5512">
        <w:rPr>
          <w:rFonts w:ascii="David" w:hAnsi="David" w:cs="David"/>
          <w:rtl/>
        </w:rPr>
        <w:t xml:space="preserve"> לגימלאות, רטרואקטיבית ביום 31.7.2012, קיבל ה</w:t>
      </w:r>
      <w:r w:rsidR="00F66FAD" w:rsidRPr="00FC5512">
        <w:rPr>
          <w:rFonts w:ascii="David" w:hAnsi="David" w:cs="David"/>
          <w:rtl/>
        </w:rPr>
        <w:t>מערער</w:t>
      </w:r>
      <w:r w:rsidRPr="00FC5512">
        <w:rPr>
          <w:rFonts w:ascii="David" w:hAnsi="David" w:cs="David"/>
          <w:rtl/>
        </w:rPr>
        <w:t xml:space="preserve"> בסוף דצמבר 2012 מכתב "אישור גימלאות" מיום 10.12.2012, בחתימת גב' חנה שוורץ, מנהלת תחום בכיר (גמלאות) במינהל הגימלאות. יצוין כי </w:t>
      </w:r>
      <w:r w:rsidRPr="00FC5512">
        <w:rPr>
          <w:rFonts w:ascii="David" w:hAnsi="David" w:cs="David"/>
          <w:b/>
          <w:bCs/>
          <w:rtl/>
        </w:rPr>
        <w:t>לשיטתה זכאי ה</w:t>
      </w:r>
      <w:r w:rsidR="00F66FAD" w:rsidRPr="00FC5512">
        <w:rPr>
          <w:rFonts w:ascii="David" w:hAnsi="David" w:cs="David"/>
          <w:b/>
          <w:bCs/>
          <w:rtl/>
        </w:rPr>
        <w:t>מערער</w:t>
      </w:r>
      <w:r w:rsidRPr="00FC5512">
        <w:rPr>
          <w:rFonts w:ascii="David" w:hAnsi="David" w:cs="David"/>
          <w:b/>
          <w:bCs/>
          <w:rtl/>
        </w:rPr>
        <w:t xml:space="preserve"> לפנסיה בשיעור של 70% מהמשכורת הקובעת של חוזה בכירים בהתאם לתקופת שירות של 42 שנים ושמונה חודשים!</w:t>
      </w:r>
      <w:r w:rsidRPr="00FC5512">
        <w:rPr>
          <w:rFonts w:ascii="David" w:hAnsi="David" w:cs="David"/>
        </w:rPr>
        <w:t xml:space="preserve"> </w:t>
      </w:r>
      <w:r w:rsidRPr="00FC5512">
        <w:rPr>
          <w:rFonts w:ascii="David" w:hAnsi="David" w:cs="David"/>
          <w:rtl/>
        </w:rPr>
        <w:t xml:space="preserve"> </w:t>
      </w:r>
      <w:r w:rsidR="006F1517">
        <w:rPr>
          <w:rStyle w:val="ac"/>
          <w:rFonts w:ascii="David" w:hAnsi="David" w:cs="David"/>
          <w:rtl/>
        </w:rPr>
        <w:footnoteReference w:id="16"/>
      </w:r>
      <w:r w:rsidR="00FC5512" w:rsidRPr="00FC5512">
        <w:rPr>
          <w:rFonts w:ascii="David" w:hAnsi="David" w:cs="David"/>
          <w:rtl/>
        </w:rPr>
        <w:t xml:space="preserve"> </w:t>
      </w:r>
      <w:r w:rsidRPr="00FC5512">
        <w:rPr>
          <w:rFonts w:ascii="David" w:hAnsi="David" w:cs="David"/>
          <w:rtl/>
        </w:rPr>
        <w:t>בפועל ה</w:t>
      </w:r>
      <w:r w:rsidR="00F66FAD" w:rsidRPr="00FC5512">
        <w:rPr>
          <w:rFonts w:ascii="David" w:hAnsi="David" w:cs="David"/>
          <w:rtl/>
        </w:rPr>
        <w:t>מערער</w:t>
      </w:r>
      <w:r w:rsidRPr="00FC5512">
        <w:rPr>
          <w:rFonts w:ascii="David" w:hAnsi="David" w:cs="David"/>
          <w:rtl/>
        </w:rPr>
        <w:t xml:space="preserve"> לא קיבל ואינו מקבל פנסיה בשיעור זה. </w:t>
      </w:r>
    </w:p>
    <w:p w:rsidR="00EC0AC2" w:rsidRPr="00FC5512" w:rsidRDefault="00EC0AC2" w:rsidP="00FC5512">
      <w:pPr>
        <w:pStyle w:val="a8"/>
        <w:tabs>
          <w:tab w:val="left" w:pos="674"/>
        </w:tabs>
        <w:spacing w:after="240" w:line="360" w:lineRule="auto"/>
        <w:ind w:left="674"/>
        <w:rPr>
          <w:rFonts w:ascii="David" w:hAnsi="David" w:cs="David"/>
          <w:rtl/>
        </w:rPr>
      </w:pPr>
      <w:r w:rsidRPr="00FC5512">
        <w:rPr>
          <w:rFonts w:ascii="David" w:hAnsi="David" w:cs="David"/>
          <w:b/>
          <w:bCs/>
          <w:rtl/>
        </w:rPr>
        <w:lastRenderedPageBreak/>
        <w:t>רק בתחילת ינואר 2013</w:t>
      </w:r>
      <w:r w:rsidRPr="00FC5512">
        <w:rPr>
          <w:rFonts w:ascii="David" w:hAnsi="David" w:cs="David"/>
          <w:rtl/>
        </w:rPr>
        <w:t xml:space="preserve"> קיבל ה</w:t>
      </w:r>
      <w:r w:rsidR="00F66FAD" w:rsidRPr="00FC5512">
        <w:rPr>
          <w:rFonts w:ascii="David" w:hAnsi="David" w:cs="David"/>
          <w:rtl/>
        </w:rPr>
        <w:t>מערער</w:t>
      </w:r>
      <w:r w:rsidRPr="00FC5512">
        <w:rPr>
          <w:rFonts w:ascii="David" w:hAnsi="David" w:cs="David"/>
          <w:rtl/>
        </w:rPr>
        <w:t xml:space="preserve"> לראשונה תלוש פנסיה המפרט את התשלומים ששולמו לו ב-1.1.2013, (רטרואקטיבית מ-31.7.2012), וראה מה הפנסיה שהוא מקבל בפועל.</w:t>
      </w:r>
    </w:p>
    <w:p w:rsidR="00EC0AC2" w:rsidRDefault="00B126E1" w:rsidP="009E44B1">
      <w:pPr>
        <w:pStyle w:val="a8"/>
        <w:numPr>
          <w:ilvl w:val="0"/>
          <w:numId w:val="1"/>
        </w:numPr>
        <w:tabs>
          <w:tab w:val="left" w:pos="674"/>
        </w:tabs>
        <w:spacing w:after="240" w:line="360" w:lineRule="auto"/>
        <w:ind w:left="674" w:hanging="630"/>
        <w:rPr>
          <w:rFonts w:ascii="David" w:hAnsi="David" w:cs="David"/>
        </w:rPr>
      </w:pPr>
      <w:r>
        <w:rPr>
          <w:rFonts w:ascii="David" w:hAnsi="David" w:cs="David"/>
          <w:rtl/>
        </w:rPr>
        <w:t xml:space="preserve">כך </w:t>
      </w:r>
      <w:r w:rsidR="00EC0AC2" w:rsidRPr="0057045E">
        <w:rPr>
          <w:rFonts w:ascii="David" w:hAnsi="David" w:cs="David"/>
          <w:rtl/>
        </w:rPr>
        <w:t>התברר ל</w:t>
      </w:r>
      <w:r w:rsidR="00F66FAD" w:rsidRPr="0057045E">
        <w:rPr>
          <w:rFonts w:ascii="David" w:hAnsi="David" w:cs="David"/>
          <w:rtl/>
        </w:rPr>
        <w:t>מערער</w:t>
      </w:r>
      <w:r w:rsidR="00EC0AC2" w:rsidRPr="0057045E">
        <w:rPr>
          <w:rFonts w:ascii="David" w:hAnsi="David" w:cs="David"/>
          <w:rtl/>
        </w:rPr>
        <w:t>, כי בנוסף לפרישתו הכפויה, והעיכוב הממושך בתשלום הפנסיה,</w:t>
      </w:r>
      <w:r w:rsidR="006F1517">
        <w:rPr>
          <w:rFonts w:ascii="David" w:hAnsi="David" w:cs="David"/>
          <w:rtl/>
        </w:rPr>
        <w:t xml:space="preserve"> ה</w:t>
      </w:r>
      <w:r w:rsidR="00EC0AC2" w:rsidRPr="0057045E">
        <w:rPr>
          <w:rFonts w:ascii="David" w:hAnsi="David" w:cs="David"/>
          <w:rtl/>
        </w:rPr>
        <w:t xml:space="preserve">גימלה המשולמת לו בפועל נמוכה מזאת המגיעה לו ע"פ החוזה, וכי החישוב שנעשה שגוי מיסודו: הן ביחס לחישוב </w:t>
      </w:r>
      <w:r w:rsidR="009E44B1">
        <w:rPr>
          <w:rFonts w:ascii="David" w:hAnsi="David" w:cs="David"/>
          <w:rtl/>
        </w:rPr>
        <w:t xml:space="preserve">זכויות הפנסיה על </w:t>
      </w:r>
      <w:r w:rsidR="00EC0AC2" w:rsidRPr="0057045E">
        <w:rPr>
          <w:rFonts w:ascii="David" w:hAnsi="David" w:cs="David"/>
          <w:rtl/>
        </w:rPr>
        <w:t xml:space="preserve">תקופות </w:t>
      </w:r>
      <w:r w:rsidR="009E44B1">
        <w:rPr>
          <w:rFonts w:ascii="David" w:hAnsi="David" w:cs="David"/>
          <w:rtl/>
        </w:rPr>
        <w:t xml:space="preserve">עבודתו </w:t>
      </w:r>
      <w:r w:rsidR="00EC0AC2" w:rsidRPr="0057045E">
        <w:rPr>
          <w:rFonts w:ascii="David" w:hAnsi="David" w:cs="David"/>
          <w:rtl/>
        </w:rPr>
        <w:t>והן ביחס למשכורת הקובעת לתקופת כתב המינוי.</w:t>
      </w:r>
      <w:r w:rsidR="006F1517">
        <w:rPr>
          <w:rFonts w:ascii="David" w:hAnsi="David" w:cs="David"/>
          <w:rtl/>
        </w:rPr>
        <w:t xml:space="preserve"> </w:t>
      </w:r>
    </w:p>
    <w:p w:rsidR="006F1517" w:rsidRDefault="006F1517" w:rsidP="006F1517">
      <w:pPr>
        <w:pStyle w:val="a8"/>
        <w:tabs>
          <w:tab w:val="left" w:pos="674"/>
        </w:tabs>
        <w:spacing w:after="240" w:line="360" w:lineRule="auto"/>
        <w:ind w:left="674"/>
        <w:rPr>
          <w:rFonts w:ascii="David" w:hAnsi="David" w:cs="David"/>
          <w:rtl/>
        </w:rPr>
      </w:pPr>
      <w:r>
        <w:rPr>
          <w:rFonts w:ascii="David" w:hAnsi="David" w:cs="David"/>
          <w:rtl/>
        </w:rPr>
        <w:t>בהתאם לכך תבע המערער בבית הדין קמא את המשיבות בדרישה לתיקון הגימלה המגיעה לו ולתשלום הפרשי שכר רטרואקטיביים. מאחר שאין זה עניינו של ערעור זה, ועל מנת לא להכביד, מופנה בית הדין הנכבד לפירוט בעניין זה בכתב התביעה בבית הדין קמא.</w:t>
      </w:r>
    </w:p>
    <w:p w:rsidR="009E44B1" w:rsidRPr="00B126E1" w:rsidRDefault="005B7995" w:rsidP="00672E8C">
      <w:pPr>
        <w:pStyle w:val="a8"/>
        <w:numPr>
          <w:ilvl w:val="0"/>
          <w:numId w:val="1"/>
        </w:numPr>
        <w:tabs>
          <w:tab w:val="left" w:pos="674"/>
        </w:tabs>
        <w:spacing w:after="240" w:line="360" w:lineRule="auto"/>
        <w:ind w:left="674" w:hanging="630"/>
        <w:rPr>
          <w:rFonts w:ascii="David" w:hAnsi="David" w:cs="David"/>
          <w:rtl/>
        </w:rPr>
      </w:pPr>
      <w:r w:rsidRPr="00B126E1">
        <w:rPr>
          <w:rFonts w:ascii="David" w:hAnsi="David" w:cs="David"/>
          <w:rtl/>
        </w:rPr>
        <w:t>חשוב לציין כי המערער לא השתהה בתגובתו, ופנה לממונה על הגימלאות מייד לאחר שקיבל את אישור הגימלה. זה הנחה אותו לפנות לנציבות</w:t>
      </w:r>
      <w:r w:rsidR="009E44B1" w:rsidRPr="00B126E1">
        <w:rPr>
          <w:rFonts w:ascii="David" w:hAnsi="David" w:cs="David"/>
          <w:rtl/>
        </w:rPr>
        <w:t xml:space="preserve"> שירות המדינה</w:t>
      </w:r>
      <w:r w:rsidRPr="00B126E1">
        <w:rPr>
          <w:rFonts w:ascii="David" w:hAnsi="David" w:cs="David"/>
          <w:rtl/>
        </w:rPr>
        <w:t>, ולהי</w:t>
      </w:r>
      <w:r w:rsidR="00BF6968" w:rsidRPr="00B126E1">
        <w:rPr>
          <w:rFonts w:ascii="David" w:hAnsi="David" w:cs="David"/>
          <w:rtl/>
        </w:rPr>
        <w:t xml:space="preserve">מנע מהגשת תביעה, וכך עשה המערער. </w:t>
      </w:r>
      <w:r w:rsidRPr="00B126E1">
        <w:rPr>
          <w:rFonts w:ascii="David" w:hAnsi="David" w:cs="David"/>
          <w:rtl/>
        </w:rPr>
        <w:t xml:space="preserve">כבר ביום 8.1.2013 פנה </w:t>
      </w:r>
      <w:r w:rsidR="00BF6968" w:rsidRPr="00B126E1">
        <w:rPr>
          <w:rFonts w:ascii="David" w:hAnsi="David" w:cs="David"/>
          <w:rtl/>
        </w:rPr>
        <w:t>המערער בכתב לנציבות שירות המדינה</w:t>
      </w:r>
      <w:r w:rsidR="009E44B1" w:rsidRPr="00B126E1">
        <w:rPr>
          <w:rFonts w:ascii="David" w:hAnsi="David" w:cs="David"/>
          <w:rtl/>
        </w:rPr>
        <w:t xml:space="preserve"> – ובה ציין כי עשה זאת בהנחיית הממונה על הגימלאות, פירט את טענותיו וצירף אסמכתאות.</w:t>
      </w:r>
      <w:r w:rsidR="00BF6968" w:rsidRPr="00B126E1">
        <w:rPr>
          <w:rFonts w:ascii="David" w:hAnsi="David" w:cs="David"/>
          <w:rtl/>
        </w:rPr>
        <w:t xml:space="preserve"> </w:t>
      </w:r>
      <w:r w:rsidR="009E44B1" w:rsidRPr="00B126E1">
        <w:rPr>
          <w:rFonts w:ascii="David" w:hAnsi="David" w:cs="David"/>
          <w:rtl/>
        </w:rPr>
        <w:t xml:space="preserve">המערער נענה </w:t>
      </w:r>
      <w:r w:rsidR="00BF6968" w:rsidRPr="00B126E1">
        <w:rPr>
          <w:rFonts w:ascii="David" w:hAnsi="David" w:cs="David"/>
          <w:rtl/>
        </w:rPr>
        <w:t>כי יידרש זמן להשיב לפנייתו</w:t>
      </w:r>
      <w:r w:rsidR="009E44B1" w:rsidRPr="00B126E1">
        <w:rPr>
          <w:rFonts w:ascii="David" w:hAnsi="David" w:cs="David"/>
          <w:rtl/>
        </w:rPr>
        <w:t xml:space="preserve">. </w:t>
      </w:r>
      <w:r w:rsidR="009E44B1">
        <w:rPr>
          <w:rStyle w:val="ac"/>
          <w:rFonts w:ascii="David" w:hAnsi="David"/>
          <w:rtl/>
        </w:rPr>
        <w:footnoteReference w:id="17"/>
      </w:r>
    </w:p>
    <w:p w:rsidR="00177169" w:rsidRDefault="00BF6968" w:rsidP="009B1B4D">
      <w:pPr>
        <w:pStyle w:val="a8"/>
        <w:tabs>
          <w:tab w:val="left" w:pos="674"/>
        </w:tabs>
        <w:spacing w:after="240" w:line="360" w:lineRule="auto"/>
        <w:ind w:left="674"/>
        <w:rPr>
          <w:rFonts w:ascii="David" w:hAnsi="David" w:cs="David"/>
          <w:rtl/>
        </w:rPr>
      </w:pPr>
      <w:r>
        <w:rPr>
          <w:rFonts w:ascii="David" w:hAnsi="David" w:cs="David"/>
          <w:rtl/>
        </w:rPr>
        <w:t xml:space="preserve">ממועד זה החל דין ודברים ארוך בין המערער למדינה, </w:t>
      </w:r>
      <w:r w:rsidR="00EF4AD4">
        <w:rPr>
          <w:rFonts w:ascii="David" w:hAnsi="David" w:cs="David"/>
          <w:rtl/>
        </w:rPr>
        <w:t xml:space="preserve"> </w:t>
      </w:r>
      <w:r>
        <w:rPr>
          <w:rFonts w:ascii="David" w:hAnsi="David" w:cs="David"/>
          <w:rtl/>
        </w:rPr>
        <w:t>אשר לא פורט בהרחבה בכתב התביעה, מאחר שהמערער סבר שאינו דרוש לאותה עת.</w:t>
      </w:r>
      <w:r w:rsidR="00EF4AD4">
        <w:rPr>
          <w:rFonts w:ascii="David" w:hAnsi="David" w:cs="David"/>
          <w:rtl/>
        </w:rPr>
        <w:t xml:space="preserve"> </w:t>
      </w:r>
    </w:p>
    <w:p w:rsidR="00177169" w:rsidRDefault="00177169" w:rsidP="009B1B4D">
      <w:pPr>
        <w:pStyle w:val="a8"/>
        <w:tabs>
          <w:tab w:val="left" w:pos="674"/>
        </w:tabs>
        <w:spacing w:after="240" w:line="360" w:lineRule="auto"/>
        <w:ind w:left="674"/>
        <w:rPr>
          <w:rFonts w:ascii="David" w:hAnsi="David" w:cs="David"/>
          <w:rtl/>
        </w:rPr>
      </w:pPr>
      <w:r>
        <w:rPr>
          <w:rFonts w:ascii="David" w:hAnsi="David" w:cs="David"/>
          <w:rtl/>
        </w:rPr>
        <w:t xml:space="preserve">יודגש כי </w:t>
      </w:r>
      <w:r w:rsidR="00BF6968" w:rsidRPr="009B1B4D">
        <w:rPr>
          <w:rFonts w:ascii="David" w:hAnsi="David" w:cs="David"/>
          <w:rtl/>
        </w:rPr>
        <w:t>המערער האמין באמת ובתמים</w:t>
      </w:r>
      <w:r w:rsidR="00767B48" w:rsidRPr="009B1B4D">
        <w:rPr>
          <w:rFonts w:ascii="David" w:hAnsi="David" w:cs="David"/>
          <w:rtl/>
        </w:rPr>
        <w:t xml:space="preserve"> כי לא חל עליו חוק הגמלאות בכל הנוגע למועד הגשת תביעה</w:t>
      </w:r>
      <w:r>
        <w:rPr>
          <w:rFonts w:ascii="David" w:hAnsi="David" w:cs="David"/>
          <w:rtl/>
        </w:rPr>
        <w:t xml:space="preserve"> (ערעור)</w:t>
      </w:r>
      <w:r w:rsidR="00767B48" w:rsidRPr="009B1B4D">
        <w:rPr>
          <w:rFonts w:ascii="David" w:hAnsi="David" w:cs="David"/>
          <w:rtl/>
        </w:rPr>
        <w:t xml:space="preserve">, </w:t>
      </w:r>
      <w:r w:rsidR="00956C59">
        <w:rPr>
          <w:rFonts w:ascii="David" w:hAnsi="David" w:cs="David"/>
          <w:rtl/>
        </w:rPr>
        <w:t>שהרי נאמר לו במפורש שעליו לפנות לנציבות שירות המדינה (כפי שמופיע במפורש במכתב הפנייה הראשון לנציבות שירות המדינה)</w:t>
      </w:r>
      <w:r>
        <w:rPr>
          <w:rFonts w:ascii="David" w:hAnsi="David" w:cs="David"/>
          <w:rtl/>
        </w:rPr>
        <w:t>.</w:t>
      </w:r>
    </w:p>
    <w:p w:rsidR="00EC0AC2" w:rsidRPr="00901A33" w:rsidRDefault="00EC0AC2" w:rsidP="00537A01">
      <w:pPr>
        <w:pStyle w:val="12"/>
        <w:spacing w:before="0" w:line="360" w:lineRule="auto"/>
        <w:ind w:right="360"/>
        <w:rPr>
          <w:rStyle w:val="emailstyle17"/>
          <w:rFonts w:ascii="Times New Roman" w:hAnsi="Times New Roman"/>
          <w:sz w:val="24"/>
        </w:rPr>
      </w:pPr>
    </w:p>
    <w:p w:rsidR="00EC0AC2" w:rsidRPr="006F1517" w:rsidRDefault="00EC0AC2" w:rsidP="006F1517">
      <w:pPr>
        <w:pStyle w:val="a8"/>
        <w:tabs>
          <w:tab w:val="left" w:pos="674"/>
        </w:tabs>
        <w:spacing w:after="240" w:line="360" w:lineRule="auto"/>
        <w:ind w:left="44"/>
        <w:rPr>
          <w:rStyle w:val="emailstyle17"/>
          <w:rFonts w:ascii="Times New Roman" w:hAnsi="Times New Roman" w:cs="David"/>
          <w:b/>
          <w:bCs/>
          <w:color w:val="auto"/>
          <w:sz w:val="24"/>
          <w:u w:val="single"/>
        </w:rPr>
      </w:pPr>
      <w:r w:rsidRPr="006F1517">
        <w:rPr>
          <w:rStyle w:val="emailstyle17"/>
          <w:rFonts w:ascii="Times New Roman" w:hAnsi="Times New Roman" w:cs="David"/>
          <w:b/>
          <w:bCs/>
          <w:color w:val="auto"/>
          <w:sz w:val="24"/>
          <w:u w:val="single"/>
          <w:rtl/>
        </w:rPr>
        <w:t>הסחבת הבלתי נסבלת בטיפול בפניותיו של ה</w:t>
      </w:r>
      <w:r w:rsidR="00F66FAD" w:rsidRPr="006F1517">
        <w:rPr>
          <w:rStyle w:val="emailstyle17"/>
          <w:rFonts w:ascii="Times New Roman" w:hAnsi="Times New Roman" w:cs="David"/>
          <w:b/>
          <w:bCs/>
          <w:color w:val="auto"/>
          <w:sz w:val="24"/>
          <w:u w:val="single"/>
          <w:rtl/>
        </w:rPr>
        <w:t>מערער</w:t>
      </w:r>
    </w:p>
    <w:p w:rsidR="00EC0AC2" w:rsidRPr="00177169" w:rsidRDefault="00EC0AC2" w:rsidP="00355243">
      <w:pPr>
        <w:pStyle w:val="a8"/>
        <w:numPr>
          <w:ilvl w:val="0"/>
          <w:numId w:val="1"/>
        </w:numPr>
        <w:tabs>
          <w:tab w:val="left" w:pos="674"/>
        </w:tabs>
        <w:spacing w:after="240" w:line="360" w:lineRule="auto"/>
        <w:ind w:left="674" w:hanging="630"/>
        <w:rPr>
          <w:rFonts w:ascii="David" w:hAnsi="David" w:cs="David"/>
        </w:rPr>
      </w:pPr>
      <w:r w:rsidRPr="0057045E">
        <w:rPr>
          <w:rFonts w:ascii="David" w:hAnsi="David" w:cs="David"/>
          <w:rtl/>
        </w:rPr>
        <w:t>ה</w:t>
      </w:r>
      <w:r w:rsidR="00F66FAD" w:rsidRPr="0057045E">
        <w:rPr>
          <w:rFonts w:ascii="David" w:hAnsi="David" w:cs="David"/>
          <w:rtl/>
        </w:rPr>
        <w:t>מערער</w:t>
      </w:r>
      <w:r w:rsidRPr="00592C88">
        <w:rPr>
          <w:rFonts w:ascii="David" w:hAnsi="David" w:cs="David"/>
          <w:rtl/>
        </w:rPr>
        <w:t xml:space="preserve">, בתמימותו, האמין כי לאחר הצגת טענותיו תתקן המדינה את הטעויות שנפלו בעניינו, ללא צורך </w:t>
      </w:r>
      <w:r w:rsidR="00355243">
        <w:rPr>
          <w:rFonts w:ascii="David" w:hAnsi="David" w:cs="David"/>
          <w:rtl/>
        </w:rPr>
        <w:t>בפנייה לערכאות</w:t>
      </w:r>
      <w:r w:rsidRPr="00592C88">
        <w:rPr>
          <w:rFonts w:ascii="David" w:hAnsi="David" w:cs="David"/>
          <w:rtl/>
        </w:rPr>
        <w:t xml:space="preserve">, ובהתאם לכך הוא פנה לכל הגורמים הרלוונטיים על מנת למצוא פתרון. </w:t>
      </w:r>
    </w:p>
    <w:p w:rsidR="00EC0AC2" w:rsidRDefault="00580511" w:rsidP="00592C88">
      <w:pPr>
        <w:pStyle w:val="a8"/>
        <w:numPr>
          <w:ilvl w:val="0"/>
          <w:numId w:val="1"/>
        </w:numPr>
        <w:tabs>
          <w:tab w:val="left" w:pos="674"/>
        </w:tabs>
        <w:spacing w:after="240" w:line="360" w:lineRule="auto"/>
        <w:ind w:left="674" w:hanging="630"/>
        <w:rPr>
          <w:rFonts w:ascii="David" w:hAnsi="David" w:cs="David"/>
        </w:rPr>
      </w:pPr>
      <w:r w:rsidRPr="00592C88">
        <w:rPr>
          <w:rFonts w:ascii="David" w:hAnsi="David" w:cs="David"/>
          <w:rtl/>
        </w:rPr>
        <w:t>המערער הציג בצורה ברורה</w:t>
      </w:r>
      <w:r w:rsidRPr="00177169">
        <w:rPr>
          <w:rFonts w:ascii="David" w:hAnsi="David" w:cs="David"/>
          <w:rtl/>
        </w:rPr>
        <w:t xml:space="preserve"> כי המשיבות נקטו בטקטיקה של</w:t>
      </w:r>
      <w:r w:rsidR="00EC0AC2" w:rsidRPr="00177169">
        <w:rPr>
          <w:rFonts w:ascii="David" w:hAnsi="David" w:cs="David"/>
          <w:rtl/>
        </w:rPr>
        <w:t xml:space="preserve"> התחמקות שיטתית מפניותיו וטענותיו, </w:t>
      </w:r>
      <w:r w:rsidRPr="00956C59">
        <w:rPr>
          <w:rFonts w:ascii="David" w:hAnsi="David" w:cs="David"/>
          <w:rtl/>
        </w:rPr>
        <w:t xml:space="preserve">וגרמו לו </w:t>
      </w:r>
      <w:r w:rsidR="00EC0AC2" w:rsidRPr="00956C59">
        <w:rPr>
          <w:rFonts w:ascii="David" w:hAnsi="David" w:cs="David"/>
          <w:rtl/>
        </w:rPr>
        <w:t xml:space="preserve">עגמת הנפש קשה ומתמשכת מתחושת "החיזור אחר הפתחים" ומהתגובות שקיבל, שעיקרן "תמתין" ו"בודקים" את הנושא, וזאת לאורך תקופה של כ-6 שנים(!). </w:t>
      </w:r>
      <w:r w:rsidR="00B126E1">
        <w:rPr>
          <w:rFonts w:ascii="David" w:hAnsi="David" w:cs="David"/>
          <w:rtl/>
        </w:rPr>
        <w:t>עם זאת, ועל פי דין, לא הציג המערער בשלב הגשת התביעה את הפירוט המלא של פניותיו ואת כל האסמכתאות לפניות אלה.</w:t>
      </w:r>
    </w:p>
    <w:p w:rsidR="00B17FC0" w:rsidRDefault="00B17FC0" w:rsidP="00574032">
      <w:pPr>
        <w:pStyle w:val="a8"/>
        <w:tabs>
          <w:tab w:val="left" w:pos="674"/>
        </w:tabs>
        <w:spacing w:after="240" w:line="360" w:lineRule="auto"/>
        <w:ind w:left="674"/>
        <w:rPr>
          <w:rFonts w:cs="David"/>
        </w:rPr>
      </w:pPr>
      <w:r>
        <w:rPr>
          <w:rFonts w:cs="David"/>
          <w:rtl/>
        </w:rPr>
        <w:t>למען הקיצור נביא ציטוטים נבחרים בלבד מתוך התכתבות זאת:</w:t>
      </w:r>
    </w:p>
    <w:p w:rsidR="00B17FC0" w:rsidRPr="00574032" w:rsidRDefault="00A16559" w:rsidP="00574032">
      <w:pPr>
        <w:pStyle w:val="a8"/>
        <w:numPr>
          <w:ilvl w:val="1"/>
          <w:numId w:val="1"/>
        </w:numPr>
        <w:tabs>
          <w:tab w:val="left" w:pos="1394"/>
        </w:tabs>
        <w:spacing w:after="240" w:line="360" w:lineRule="auto"/>
        <w:ind w:left="1394" w:hanging="720"/>
        <w:rPr>
          <w:rFonts w:cs="David"/>
          <w:b/>
          <w:bCs/>
          <w:rtl/>
        </w:rPr>
      </w:pPr>
      <w:r>
        <w:rPr>
          <w:rFonts w:cs="David"/>
          <w:rtl/>
        </w:rPr>
        <w:t xml:space="preserve">ביום </w:t>
      </w:r>
      <w:r w:rsidR="00B17FC0" w:rsidRPr="00574032">
        <w:rPr>
          <w:rFonts w:cs="David"/>
          <w:rtl/>
        </w:rPr>
        <w:t>13.2.13</w:t>
      </w:r>
      <w:r>
        <w:rPr>
          <w:rFonts w:cs="David"/>
          <w:rtl/>
        </w:rPr>
        <w:t xml:space="preserve"> כתוב מר ציון</w:t>
      </w:r>
      <w:r w:rsidR="00B17FC0" w:rsidRPr="00574032">
        <w:rPr>
          <w:rFonts w:cs="David"/>
          <w:rtl/>
        </w:rPr>
        <w:t xml:space="preserve"> לוי, מנהל אגף בכיר לגימלאות: מבצעים חשיבה ובדיקה. </w:t>
      </w:r>
      <w:r w:rsidR="00B17FC0" w:rsidRPr="00574032">
        <w:rPr>
          <w:rFonts w:cs="David"/>
          <w:b/>
          <w:bCs/>
          <w:rtl/>
        </w:rPr>
        <w:t>לאחר סיומם נשוב ונשיבך.</w:t>
      </w:r>
    </w:p>
    <w:p w:rsidR="00B17FC0" w:rsidRPr="00574032" w:rsidRDefault="00A16559" w:rsidP="00574032">
      <w:pPr>
        <w:pStyle w:val="a8"/>
        <w:numPr>
          <w:ilvl w:val="1"/>
          <w:numId w:val="1"/>
        </w:numPr>
        <w:tabs>
          <w:tab w:val="left" w:pos="1394"/>
        </w:tabs>
        <w:spacing w:after="240" w:line="360" w:lineRule="auto"/>
        <w:ind w:left="1394" w:hanging="720"/>
        <w:rPr>
          <w:rFonts w:cs="David"/>
          <w:rtl/>
        </w:rPr>
      </w:pPr>
      <w:r w:rsidRPr="00AD5378">
        <w:rPr>
          <w:rFonts w:cs="David"/>
          <w:rtl/>
        </w:rPr>
        <w:lastRenderedPageBreak/>
        <w:t xml:space="preserve">ביום </w:t>
      </w:r>
      <w:r w:rsidR="00B17FC0" w:rsidRPr="00574032">
        <w:rPr>
          <w:rFonts w:cs="David"/>
          <w:rtl/>
        </w:rPr>
        <w:t>21.5.13</w:t>
      </w:r>
      <w:r w:rsidRPr="00AD5378">
        <w:rPr>
          <w:rFonts w:cs="David"/>
          <w:rtl/>
        </w:rPr>
        <w:t xml:space="preserve"> כותב מר</w:t>
      </w:r>
      <w:r w:rsidR="00B17FC0" w:rsidRPr="00574032">
        <w:rPr>
          <w:rFonts w:cs="David"/>
          <w:rtl/>
        </w:rPr>
        <w:t xml:space="preserve"> מ. </w:t>
      </w:r>
      <w:r w:rsidRPr="00AD5378">
        <w:rPr>
          <w:rFonts w:cs="David"/>
          <w:rtl/>
        </w:rPr>
        <w:t>אהרונוב, סגן בכיר לנציב השרות:</w:t>
      </w:r>
      <w:r>
        <w:rPr>
          <w:rFonts w:cs="David"/>
          <w:rtl/>
        </w:rPr>
        <w:t xml:space="preserve"> </w:t>
      </w:r>
      <w:r w:rsidR="00B17FC0" w:rsidRPr="00574032">
        <w:rPr>
          <w:rFonts w:cs="David"/>
          <w:rtl/>
        </w:rPr>
        <w:t>"</w:t>
      </w:r>
      <w:r w:rsidR="00B17FC0" w:rsidRPr="00523912">
        <w:rPr>
          <w:rFonts w:cs="David"/>
          <w:i/>
          <w:iCs/>
          <w:rtl/>
        </w:rPr>
        <w:t xml:space="preserve">נושא חישוב הגמלה נבדק בימים אלה ע"י מר לוי, </w:t>
      </w:r>
      <w:r w:rsidR="00B17FC0" w:rsidRPr="00523912">
        <w:rPr>
          <w:rFonts w:cs="David"/>
          <w:b/>
          <w:bCs/>
          <w:i/>
          <w:iCs/>
          <w:rtl/>
        </w:rPr>
        <w:t>שיודיעך דבר בהמשך</w:t>
      </w:r>
      <w:r w:rsidR="00B17FC0" w:rsidRPr="00574032">
        <w:rPr>
          <w:rFonts w:cs="David"/>
          <w:rtl/>
        </w:rPr>
        <w:t xml:space="preserve">". </w:t>
      </w:r>
    </w:p>
    <w:p w:rsidR="00B17FC0" w:rsidRPr="00574032" w:rsidRDefault="00A16559" w:rsidP="00574032">
      <w:pPr>
        <w:pStyle w:val="a8"/>
        <w:numPr>
          <w:ilvl w:val="1"/>
          <w:numId w:val="1"/>
        </w:numPr>
        <w:tabs>
          <w:tab w:val="left" w:pos="1394"/>
        </w:tabs>
        <w:spacing w:after="240" w:line="360" w:lineRule="auto"/>
        <w:ind w:left="1394" w:hanging="720"/>
        <w:rPr>
          <w:rFonts w:cs="David"/>
          <w:rtl/>
        </w:rPr>
      </w:pPr>
      <w:r>
        <w:rPr>
          <w:rFonts w:cs="David"/>
          <w:rtl/>
        </w:rPr>
        <w:t>ביום</w:t>
      </w:r>
      <w:r w:rsidRPr="00AD5378">
        <w:rPr>
          <w:rFonts w:cs="David"/>
          <w:rtl/>
        </w:rPr>
        <w:t xml:space="preserve"> 22.5.13</w:t>
      </w:r>
      <w:r>
        <w:rPr>
          <w:rFonts w:cs="David"/>
          <w:rtl/>
        </w:rPr>
        <w:t xml:space="preserve"> כותב אותו</w:t>
      </w:r>
      <w:r w:rsidR="00B17FC0" w:rsidRPr="00574032">
        <w:rPr>
          <w:rFonts w:cs="David"/>
          <w:rtl/>
        </w:rPr>
        <w:t xml:space="preserve"> מ. אהרונוב: "</w:t>
      </w:r>
      <w:r w:rsidR="00B17FC0" w:rsidRPr="00523912">
        <w:rPr>
          <w:rFonts w:cs="David"/>
          <w:i/>
          <w:iCs/>
          <w:rtl/>
        </w:rPr>
        <w:t>הנושא הפנסיוני שלך נמצא בבדיקה עקרונית...</w:t>
      </w:r>
      <w:r w:rsidRPr="00523912">
        <w:rPr>
          <w:rFonts w:cs="David"/>
          <w:i/>
          <w:iCs/>
          <w:rtl/>
        </w:rPr>
        <w:t xml:space="preserve"> </w:t>
      </w:r>
      <w:r w:rsidRPr="00523912">
        <w:rPr>
          <w:rFonts w:cs="David"/>
          <w:b/>
          <w:bCs/>
          <w:i/>
          <w:iCs/>
          <w:rtl/>
        </w:rPr>
        <w:t xml:space="preserve">עד אשר תסתיים </w:t>
      </w:r>
      <w:r w:rsidR="00B17FC0" w:rsidRPr="00523912">
        <w:rPr>
          <w:rFonts w:cs="David"/>
          <w:b/>
          <w:bCs/>
          <w:i/>
          <w:iCs/>
          <w:rtl/>
        </w:rPr>
        <w:t>הבדיקה נידרש להמתין</w:t>
      </w:r>
      <w:r w:rsidR="00B17FC0" w:rsidRPr="00574032">
        <w:rPr>
          <w:rFonts w:cs="David"/>
          <w:rtl/>
        </w:rPr>
        <w:t>"</w:t>
      </w:r>
      <w:r w:rsidRPr="00AD5378">
        <w:rPr>
          <w:rFonts w:cs="David"/>
          <w:rtl/>
        </w:rPr>
        <w:t>.</w:t>
      </w:r>
    </w:p>
    <w:p w:rsidR="00B17FC0" w:rsidRPr="00574032" w:rsidRDefault="00A16559" w:rsidP="00574032">
      <w:pPr>
        <w:pStyle w:val="a8"/>
        <w:numPr>
          <w:ilvl w:val="1"/>
          <w:numId w:val="1"/>
        </w:numPr>
        <w:tabs>
          <w:tab w:val="left" w:pos="1394"/>
        </w:tabs>
        <w:spacing w:after="240" w:line="360" w:lineRule="auto"/>
        <w:ind w:left="1394" w:hanging="720"/>
        <w:rPr>
          <w:rFonts w:cs="David"/>
          <w:rtl/>
        </w:rPr>
      </w:pPr>
      <w:r>
        <w:rPr>
          <w:rFonts w:cs="David"/>
          <w:rtl/>
        </w:rPr>
        <w:t xml:space="preserve">ביום </w:t>
      </w:r>
      <w:r w:rsidR="00B17FC0" w:rsidRPr="00574032">
        <w:rPr>
          <w:rFonts w:cs="David"/>
          <w:rtl/>
        </w:rPr>
        <w:t>21.7.14</w:t>
      </w:r>
      <w:r>
        <w:rPr>
          <w:rFonts w:cs="David"/>
          <w:rtl/>
        </w:rPr>
        <w:t xml:space="preserve"> כותב מר ציון </w:t>
      </w:r>
      <w:r w:rsidR="00B17FC0" w:rsidRPr="00574032">
        <w:rPr>
          <w:rFonts w:cs="David"/>
          <w:rtl/>
        </w:rPr>
        <w:t>לוי: "</w:t>
      </w:r>
      <w:r w:rsidR="00B17FC0" w:rsidRPr="00523912">
        <w:rPr>
          <w:rFonts w:cs="David"/>
          <w:i/>
          <w:iCs/>
          <w:rtl/>
        </w:rPr>
        <w:t>מבצעים חשיבה מחודשת"..."שבסיומה נשוב ונודיעך</w:t>
      </w:r>
      <w:r w:rsidR="00B17FC0" w:rsidRPr="00574032">
        <w:rPr>
          <w:rFonts w:cs="David"/>
          <w:rtl/>
        </w:rPr>
        <w:t xml:space="preserve">". </w:t>
      </w:r>
    </w:p>
    <w:p w:rsidR="00B17FC0" w:rsidRPr="00592C88" w:rsidRDefault="00A16559" w:rsidP="00523912">
      <w:pPr>
        <w:pStyle w:val="a8"/>
        <w:numPr>
          <w:ilvl w:val="1"/>
          <w:numId w:val="1"/>
        </w:numPr>
        <w:tabs>
          <w:tab w:val="left" w:pos="1394"/>
        </w:tabs>
        <w:spacing w:after="240" w:line="360" w:lineRule="auto"/>
        <w:ind w:left="1394" w:hanging="720"/>
        <w:rPr>
          <w:rFonts w:cs="David"/>
          <w:rtl/>
        </w:rPr>
      </w:pPr>
      <w:r w:rsidRPr="00592C88">
        <w:rPr>
          <w:rFonts w:cs="David"/>
          <w:rtl/>
        </w:rPr>
        <w:t>ביום 15.2.15 כותבת</w:t>
      </w:r>
      <w:r w:rsidR="00B17FC0" w:rsidRPr="00592C88">
        <w:rPr>
          <w:rFonts w:cs="David"/>
          <w:rtl/>
        </w:rPr>
        <w:t xml:space="preserve"> עו"ד עליזה אבן (ל. משפטית, נש"מ): </w:t>
      </w:r>
      <w:r w:rsidRPr="00592C88">
        <w:rPr>
          <w:rFonts w:cs="David"/>
          <w:rtl/>
        </w:rPr>
        <w:t>"</w:t>
      </w:r>
      <w:r w:rsidR="00B17FC0" w:rsidRPr="00523912">
        <w:rPr>
          <w:rFonts w:cs="David"/>
          <w:i/>
          <w:iCs/>
          <w:rtl/>
        </w:rPr>
        <w:t>פנייתך נמצאת בבדיקה ....עם תום הברור נודיעך</w:t>
      </w:r>
      <w:r w:rsidR="00B17FC0" w:rsidRPr="00592C88">
        <w:rPr>
          <w:rFonts w:cs="David"/>
          <w:rtl/>
        </w:rPr>
        <w:t>"</w:t>
      </w:r>
      <w:r w:rsidR="00523912">
        <w:rPr>
          <w:rFonts w:cs="David"/>
          <w:rtl/>
        </w:rPr>
        <w:t>.</w:t>
      </w:r>
    </w:p>
    <w:p w:rsidR="00B17FC0" w:rsidRPr="00745FA4" w:rsidRDefault="00A16559" w:rsidP="000C57EA">
      <w:pPr>
        <w:pStyle w:val="a8"/>
        <w:numPr>
          <w:ilvl w:val="1"/>
          <w:numId w:val="1"/>
        </w:numPr>
        <w:tabs>
          <w:tab w:val="left" w:pos="1394"/>
        </w:tabs>
        <w:spacing w:after="240" w:line="360" w:lineRule="auto"/>
        <w:ind w:left="1394" w:hanging="720"/>
        <w:rPr>
          <w:rFonts w:cs="David"/>
          <w:rtl/>
        </w:rPr>
      </w:pPr>
      <w:r w:rsidRPr="00177169">
        <w:rPr>
          <w:rFonts w:cs="David"/>
          <w:rtl/>
        </w:rPr>
        <w:t xml:space="preserve">ביום </w:t>
      </w:r>
      <w:r w:rsidR="00B17FC0" w:rsidRPr="00177169">
        <w:rPr>
          <w:rFonts w:cs="David"/>
          <w:rtl/>
        </w:rPr>
        <w:t>29.5.17</w:t>
      </w:r>
      <w:r w:rsidRPr="00177169">
        <w:rPr>
          <w:rFonts w:cs="David"/>
          <w:rtl/>
        </w:rPr>
        <w:t xml:space="preserve"> </w:t>
      </w:r>
      <w:r w:rsidR="00B17FC0" w:rsidRPr="00177169">
        <w:rPr>
          <w:rFonts w:cs="David"/>
          <w:rtl/>
        </w:rPr>
        <w:t xml:space="preserve">עו"ד ר. דול, (יוע"מש נש"מ </w:t>
      </w:r>
      <w:r w:rsidR="00EE5402" w:rsidRPr="00956C59">
        <w:rPr>
          <w:rFonts w:cs="David"/>
          <w:rtl/>
        </w:rPr>
        <w:t xml:space="preserve">אל </w:t>
      </w:r>
      <w:r w:rsidR="00B17FC0" w:rsidRPr="00956C59">
        <w:rPr>
          <w:rFonts w:cs="David"/>
          <w:rtl/>
        </w:rPr>
        <w:t>נציב תלונות הציבור): "</w:t>
      </w:r>
      <w:r w:rsidR="00B17FC0" w:rsidRPr="00523912">
        <w:rPr>
          <w:rFonts w:cs="David"/>
          <w:i/>
          <w:iCs/>
          <w:rtl/>
        </w:rPr>
        <w:t>אנו עדיין בוחנים את הבקשה</w:t>
      </w:r>
      <w:r w:rsidR="00B17FC0" w:rsidRPr="00956C59">
        <w:rPr>
          <w:rFonts w:cs="David"/>
          <w:rtl/>
        </w:rPr>
        <w:t xml:space="preserve">". </w:t>
      </w:r>
    </w:p>
    <w:p w:rsidR="00A16559" w:rsidRPr="00592C88" w:rsidRDefault="00A16559" w:rsidP="00523912">
      <w:pPr>
        <w:pStyle w:val="a8"/>
        <w:numPr>
          <w:ilvl w:val="0"/>
          <w:numId w:val="1"/>
        </w:numPr>
        <w:tabs>
          <w:tab w:val="left" w:pos="674"/>
        </w:tabs>
        <w:spacing w:after="240" w:line="360" w:lineRule="auto"/>
        <w:ind w:left="674" w:hanging="630"/>
        <w:rPr>
          <w:rFonts w:ascii="David" w:hAnsi="David" w:cs="David"/>
        </w:rPr>
      </w:pPr>
      <w:r w:rsidRPr="00592C88">
        <w:rPr>
          <w:rFonts w:ascii="David" w:hAnsi="David" w:cs="David"/>
          <w:rtl/>
        </w:rPr>
        <w:t xml:space="preserve">הדברים ברורים: המערער עשה ככל יכולתו למצות הליכים, </w:t>
      </w:r>
      <w:r w:rsidRPr="00592C88">
        <w:rPr>
          <w:rFonts w:ascii="David" w:hAnsi="David" w:cs="David"/>
          <w:b/>
          <w:bCs/>
          <w:rtl/>
        </w:rPr>
        <w:t>והתבקש שוב ושוב להמתין לתשובות של הגורמים המוסמכים.</w:t>
      </w:r>
      <w:r w:rsidR="00EF4AD4" w:rsidRPr="00592C88">
        <w:rPr>
          <w:rFonts w:ascii="David" w:hAnsi="David" w:cs="David"/>
          <w:b/>
          <w:bCs/>
          <w:rtl/>
        </w:rPr>
        <w:t xml:space="preserve"> </w:t>
      </w:r>
      <w:r w:rsidR="00EF4AD4" w:rsidRPr="00592C88">
        <w:rPr>
          <w:rFonts w:ascii="David" w:hAnsi="David" w:cs="David"/>
          <w:rtl/>
        </w:rPr>
        <w:t xml:space="preserve">נצטט את הדברים שכתב המערער בפנייתו הראשונה לנציבות שירות המדינה, אשר מהדהדים גם עתה - </w:t>
      </w:r>
    </w:p>
    <w:p w:rsidR="00EF4AD4" w:rsidRPr="00592C88" w:rsidRDefault="00EF4AD4" w:rsidP="00523912">
      <w:pPr>
        <w:pStyle w:val="a8"/>
        <w:spacing w:after="240" w:line="360" w:lineRule="auto"/>
        <w:ind w:left="854" w:right="270"/>
        <w:rPr>
          <w:rFonts w:ascii="David" w:hAnsi="David" w:cs="David"/>
          <w:b/>
          <w:bCs/>
          <w:sz w:val="28"/>
          <w:szCs w:val="28"/>
          <w:rtl/>
        </w:rPr>
      </w:pPr>
      <w:r w:rsidRPr="00592C88">
        <w:rPr>
          <w:rFonts w:ascii="David" w:hAnsi="David" w:cs="David"/>
          <w:rtl/>
        </w:rPr>
        <w:t>"</w:t>
      </w:r>
      <w:r w:rsidRPr="00592C88">
        <w:rPr>
          <w:rFonts w:ascii="David" w:hAnsi="David" w:cs="David"/>
          <w:i/>
          <w:iCs/>
          <w:rtl/>
        </w:rPr>
        <w:t xml:space="preserve">איך ייתכן... 23 שנים ....החוזה היה מובן לכל הצדדים ...ואף ניכיתם בהתאם מדי חודש תשלומים משמעותיים כחלקי במימון הפנסיה ועכשיו פתאום כשהגיע הזמן לממש את זכויותי אתם גוזלים את הגימלה ללא הסבר ונותנים לי להמתין ל"חשיבה ובדיקה"? </w:t>
      </w:r>
      <w:r w:rsidRPr="00592C88">
        <w:rPr>
          <w:rFonts w:ascii="David" w:hAnsi="David" w:cs="David"/>
          <w:b/>
          <w:bCs/>
          <w:i/>
          <w:iCs/>
          <w:sz w:val="28"/>
          <w:szCs w:val="28"/>
          <w:rtl/>
        </w:rPr>
        <w:t>מתי יסתיימו "בדיקותיכם" המעמיקות? בעוד שנה? 10 שנים? לאחר פטירתי</w:t>
      </w:r>
      <w:r w:rsidRPr="00592C88">
        <w:rPr>
          <w:rFonts w:ascii="David" w:hAnsi="David" w:cs="David"/>
          <w:b/>
          <w:bCs/>
          <w:sz w:val="28"/>
          <w:szCs w:val="28"/>
          <w:rtl/>
        </w:rPr>
        <w:t>".</w:t>
      </w:r>
    </w:p>
    <w:p w:rsidR="00EC0AC2" w:rsidRPr="00580511" w:rsidRDefault="00EC0AC2" w:rsidP="00FC5512">
      <w:pPr>
        <w:pStyle w:val="a8"/>
        <w:numPr>
          <w:ilvl w:val="0"/>
          <w:numId w:val="1"/>
        </w:numPr>
        <w:tabs>
          <w:tab w:val="left" w:pos="674"/>
        </w:tabs>
        <w:spacing w:after="240" w:line="360" w:lineRule="auto"/>
        <w:ind w:left="674" w:hanging="630"/>
        <w:rPr>
          <w:rFonts w:ascii="David" w:hAnsi="David" w:cs="David"/>
          <w:b/>
          <w:bCs/>
        </w:rPr>
      </w:pPr>
      <w:r w:rsidRPr="0057045E">
        <w:rPr>
          <w:rFonts w:ascii="David" w:hAnsi="David" w:cs="David"/>
          <w:rtl/>
        </w:rPr>
        <w:t>נציין עוד, כי לנוכח ההתנהלות, האכזרית ממש של המערכת, ומתוך אמונה שלמרות היחס המזלזל והמשפיל ניתן למצות את ההליכים לקבלת הפנסיה המגיעה לו ללא צורך בהטרדת הערכאות, פנה ה</w:t>
      </w:r>
      <w:r w:rsidR="00F66FAD" w:rsidRPr="0057045E">
        <w:rPr>
          <w:rFonts w:ascii="David" w:hAnsi="David" w:cs="David"/>
          <w:rtl/>
        </w:rPr>
        <w:t>מערער</w:t>
      </w:r>
      <w:r w:rsidRPr="0057045E">
        <w:rPr>
          <w:rFonts w:ascii="David" w:hAnsi="David" w:cs="David"/>
          <w:rtl/>
        </w:rPr>
        <w:t xml:space="preserve"> לנציב תלונות הציבור בתחילת אפריל 2017 בתקוה להסתייע בו</w:t>
      </w:r>
      <w:r w:rsidRPr="00580511">
        <w:rPr>
          <w:rFonts w:ascii="David" w:hAnsi="David" w:cs="David"/>
          <w:b/>
          <w:bCs/>
          <w:rtl/>
        </w:rPr>
        <w:t xml:space="preserve">. </w:t>
      </w:r>
      <w:r w:rsidR="00FC5512" w:rsidRPr="00FC5512">
        <w:rPr>
          <w:rFonts w:ascii="David" w:hAnsi="David" w:cs="David"/>
          <w:rtl/>
        </w:rPr>
        <w:t xml:space="preserve">גם במהלך ברור התלונה, הודיעה נציבות שרות המדינה לנציב תלונות הציבור כי "אנו עדיין בודקים את הבקשה" של המערער </w:t>
      </w:r>
      <w:r w:rsidR="00FC5512">
        <w:rPr>
          <w:rFonts w:ascii="David" w:hAnsi="David" w:cs="David"/>
          <w:rtl/>
        </w:rPr>
        <w:t>(</w:t>
      </w:r>
      <w:r w:rsidR="00FC5512" w:rsidRPr="00FC5512">
        <w:rPr>
          <w:rFonts w:ascii="David" w:hAnsi="David" w:cs="David"/>
          <w:i/>
          <w:iCs/>
          <w:rtl/>
        </w:rPr>
        <w:t>ראו פיסקה 39.6 לעיל</w:t>
      </w:r>
      <w:r w:rsidR="00FC5512" w:rsidRPr="00FC5512">
        <w:rPr>
          <w:rFonts w:ascii="David" w:hAnsi="David" w:cs="David"/>
          <w:rtl/>
        </w:rPr>
        <w:t>).</w:t>
      </w:r>
      <w:r w:rsidR="00FC5512">
        <w:rPr>
          <w:rFonts w:ascii="David" w:hAnsi="David" w:cs="David"/>
          <w:rtl/>
        </w:rPr>
        <w:t xml:space="preserve"> </w:t>
      </w:r>
      <w:r w:rsidRPr="00FC5512">
        <w:rPr>
          <w:rFonts w:ascii="David" w:hAnsi="David" w:cs="David"/>
          <w:b/>
          <w:bCs/>
          <w:rtl/>
        </w:rPr>
        <w:t>רק לאחר כשנה ורבע, במהלך יולי 2018, נתקבלה</w:t>
      </w:r>
      <w:r w:rsidRPr="00580511">
        <w:rPr>
          <w:rFonts w:ascii="David" w:hAnsi="David" w:cs="David"/>
          <w:b/>
          <w:bCs/>
          <w:rtl/>
        </w:rPr>
        <w:t xml:space="preserve"> תשובתו (בליווי התנצלות על הימשכות הטיפול בפניית ה</w:t>
      </w:r>
      <w:r w:rsidR="00F66FAD" w:rsidRPr="00580511">
        <w:rPr>
          <w:rFonts w:ascii="David" w:hAnsi="David" w:cs="David"/>
          <w:b/>
          <w:bCs/>
          <w:rtl/>
        </w:rPr>
        <w:t>מערער</w:t>
      </w:r>
      <w:r w:rsidRPr="00580511">
        <w:rPr>
          <w:rFonts w:ascii="David" w:hAnsi="David" w:cs="David"/>
          <w:b/>
          <w:bCs/>
          <w:rtl/>
        </w:rPr>
        <w:t>).</w:t>
      </w:r>
      <w:r w:rsidR="00580511">
        <w:rPr>
          <w:rStyle w:val="ac"/>
          <w:rFonts w:ascii="David" w:hAnsi="David" w:cs="David"/>
          <w:b/>
          <w:bCs/>
          <w:rtl/>
        </w:rPr>
        <w:footnoteReference w:id="18"/>
      </w:r>
    </w:p>
    <w:p w:rsidR="00EC0AC2" w:rsidRPr="00901A33" w:rsidRDefault="00EC0AC2" w:rsidP="00580511">
      <w:pPr>
        <w:pStyle w:val="12"/>
        <w:spacing w:before="0" w:after="120" w:line="360" w:lineRule="auto"/>
        <w:ind w:left="521" w:right="360" w:firstLine="153"/>
        <w:rPr>
          <w:rFonts w:ascii="David" w:hAnsi="David"/>
          <w:sz w:val="22"/>
          <w:szCs w:val="22"/>
        </w:rPr>
      </w:pPr>
      <w:r w:rsidRPr="00901A33">
        <w:rPr>
          <w:rtl/>
        </w:rPr>
        <w:t>לעניינינו, שני קטעים בתשובה מתמצתים אותה:</w:t>
      </w:r>
    </w:p>
    <w:p w:rsidR="00EC0AC2" w:rsidRDefault="00EC0AC2" w:rsidP="00F756EA">
      <w:pPr>
        <w:pStyle w:val="12"/>
        <w:numPr>
          <w:ilvl w:val="0"/>
          <w:numId w:val="4"/>
        </w:numPr>
        <w:tabs>
          <w:tab w:val="left" w:pos="1214"/>
          <w:tab w:val="left" w:pos="3074"/>
          <w:tab w:val="left" w:pos="3358"/>
        </w:tabs>
        <w:spacing w:before="0" w:after="120" w:line="360" w:lineRule="auto"/>
        <w:ind w:left="1214" w:right="360" w:hanging="570"/>
        <w:rPr>
          <w:rFonts w:ascii="David" w:hAnsi="David"/>
          <w:sz w:val="24"/>
        </w:rPr>
      </w:pPr>
      <w:r w:rsidRPr="00901A33">
        <w:rPr>
          <w:rFonts w:ascii="David" w:hAnsi="David"/>
          <w:b/>
          <w:bCs/>
          <w:sz w:val="24"/>
          <w:rtl/>
        </w:rPr>
        <w:t>"</w:t>
      </w:r>
      <w:r w:rsidRPr="00901A33">
        <w:rPr>
          <w:rFonts w:ascii="David" w:hAnsi="David"/>
          <w:b/>
          <w:bCs/>
          <w:i/>
          <w:iCs/>
          <w:sz w:val="24"/>
          <w:rtl/>
        </w:rPr>
        <w:t>נציבות תלונות הציבור</w:t>
      </w:r>
      <w:r w:rsidRPr="00901A33">
        <w:rPr>
          <w:rFonts w:ascii="David" w:hAnsi="David"/>
          <w:i/>
          <w:iCs/>
          <w:sz w:val="24"/>
          <w:rtl/>
        </w:rPr>
        <w:t xml:space="preserve">, </w:t>
      </w:r>
      <w:r w:rsidRPr="00901A33">
        <w:rPr>
          <w:rFonts w:ascii="David" w:hAnsi="David"/>
          <w:b/>
          <w:bCs/>
          <w:i/>
          <w:iCs/>
          <w:sz w:val="24"/>
          <w:rtl/>
        </w:rPr>
        <w:t>בשונה מבתי הדין לעבודה</w:t>
      </w:r>
      <w:r w:rsidRPr="00901A33">
        <w:rPr>
          <w:rFonts w:ascii="David" w:hAnsi="David"/>
          <w:i/>
          <w:iCs/>
          <w:sz w:val="24"/>
          <w:u w:val="single"/>
          <w:rtl/>
        </w:rPr>
        <w:t>,</w:t>
      </w:r>
      <w:r w:rsidRPr="00901A33">
        <w:rPr>
          <w:rFonts w:ascii="David" w:hAnsi="David"/>
          <w:i/>
          <w:iCs/>
          <w:sz w:val="24"/>
          <w:rtl/>
        </w:rPr>
        <w:t xml:space="preserve"> מוגבלת מאוד בבירור תלונות של עובדים בעניינים הנוגעים לשירותם כעובדים</w:t>
      </w:r>
      <w:r w:rsidRPr="00901A33">
        <w:rPr>
          <w:rFonts w:ascii="David" w:hAnsi="David"/>
          <w:sz w:val="24"/>
          <w:rtl/>
        </w:rPr>
        <w:t xml:space="preserve">". </w:t>
      </w:r>
    </w:p>
    <w:p w:rsidR="00EC0AC2" w:rsidRDefault="00EC0AC2" w:rsidP="00F756EA">
      <w:pPr>
        <w:pStyle w:val="12"/>
        <w:numPr>
          <w:ilvl w:val="0"/>
          <w:numId w:val="4"/>
        </w:numPr>
        <w:tabs>
          <w:tab w:val="left" w:pos="1214"/>
          <w:tab w:val="left" w:pos="3074"/>
          <w:tab w:val="left" w:pos="3358"/>
        </w:tabs>
        <w:spacing w:before="0" w:after="120" w:line="360" w:lineRule="auto"/>
        <w:ind w:left="1214" w:right="360" w:hanging="570"/>
        <w:rPr>
          <w:rFonts w:ascii="David" w:hAnsi="David"/>
          <w:sz w:val="24"/>
        </w:rPr>
      </w:pPr>
      <w:r w:rsidRPr="00901A33">
        <w:rPr>
          <w:rFonts w:ascii="David" w:hAnsi="David"/>
          <w:sz w:val="24"/>
          <w:rtl/>
        </w:rPr>
        <w:t>מאחר "</w:t>
      </w:r>
      <w:r w:rsidRPr="00901A33">
        <w:rPr>
          <w:rFonts w:ascii="David" w:hAnsi="David"/>
          <w:b/>
          <w:bCs/>
          <w:i/>
          <w:iCs/>
          <w:sz w:val="24"/>
          <w:rtl/>
        </w:rPr>
        <w:t>שמדובר לכל היותר בחריגה מהוראות חוזה העבודה האישי שנחתם עימך,</w:t>
      </w:r>
      <w:r w:rsidRPr="00901A33">
        <w:rPr>
          <w:rFonts w:ascii="David" w:hAnsi="David"/>
          <w:i/>
          <w:iCs/>
          <w:sz w:val="24"/>
          <w:rtl/>
        </w:rPr>
        <w:t xml:space="preserve"> כפי שאתה עצמך טענת במכתביך השונים לנציבות שירות המדינה" ולכן...."</w:t>
      </w:r>
      <w:r w:rsidRPr="00901A33">
        <w:rPr>
          <w:rFonts w:ascii="David" w:hAnsi="David"/>
          <w:b/>
          <w:bCs/>
          <w:i/>
          <w:iCs/>
          <w:sz w:val="24"/>
          <w:rtl/>
        </w:rPr>
        <w:t>לא קמה עילה שבדין להתערבותה של נציבות תלונות הציבור בעניין המועלה בתלונות</w:t>
      </w:r>
      <w:r w:rsidRPr="00901A33">
        <w:rPr>
          <w:rFonts w:ascii="David" w:hAnsi="David"/>
          <w:sz w:val="24"/>
        </w:rPr>
        <w:t>".</w:t>
      </w:r>
      <w:r w:rsidRPr="00901A33">
        <w:rPr>
          <w:rFonts w:ascii="David" w:hAnsi="David"/>
          <w:sz w:val="24"/>
          <w:rtl/>
        </w:rPr>
        <w:t>(ההדגשה לא במקור).</w:t>
      </w:r>
    </w:p>
    <w:p w:rsidR="008C7365" w:rsidRPr="0019517D" w:rsidRDefault="008C7365" w:rsidP="006F1517">
      <w:pPr>
        <w:pStyle w:val="7"/>
        <w:spacing w:after="240" w:line="360" w:lineRule="auto"/>
        <w:rPr>
          <w:rFonts w:cs="David"/>
          <w:sz w:val="28"/>
          <w:szCs w:val="28"/>
          <w:rtl/>
        </w:rPr>
      </w:pPr>
      <w:r w:rsidRPr="0019517D">
        <w:rPr>
          <w:rFonts w:cs="David"/>
          <w:sz w:val="28"/>
          <w:szCs w:val="28"/>
          <w:rtl/>
        </w:rPr>
        <w:lastRenderedPageBreak/>
        <w:t>טענות המערער</w:t>
      </w:r>
    </w:p>
    <w:p w:rsidR="00767B48" w:rsidRDefault="001D504A" w:rsidP="001D504A">
      <w:pPr>
        <w:pStyle w:val="a8"/>
        <w:tabs>
          <w:tab w:val="left" w:pos="674"/>
        </w:tabs>
        <w:spacing w:after="240" w:line="360" w:lineRule="auto"/>
        <w:rPr>
          <w:rFonts w:cs="David"/>
          <w:rtl/>
        </w:rPr>
      </w:pPr>
      <w:r>
        <w:rPr>
          <w:rFonts w:cs="David"/>
          <w:rtl/>
        </w:rPr>
        <w:t xml:space="preserve">לאחר הגשת התביעה, ולאחר שהמשיבות ביקשו ארכות להגשת כתב ההגנה (בהסכמת המערער), הגישו המשיבות בקשה לסילוק התביעה על הסף, וכן בקשה לארכה נוספת להגשת כתב ההגנה. </w:t>
      </w:r>
      <w:r w:rsidR="00767B48">
        <w:rPr>
          <w:rFonts w:cs="David"/>
          <w:rtl/>
        </w:rPr>
        <w:t>ודוק – הבקשה הוגשה רק לאחר הגשת הבקשות לדחיית להגשת כתב ההגנה, תוך התחמקות ממתן מענה ענייני לטענותיו המוצדקות של המערער, ומתוך רצון להימנע מדיון בטענות אלה.</w:t>
      </w:r>
    </w:p>
    <w:p w:rsidR="001D504A" w:rsidRDefault="001D504A" w:rsidP="00523912">
      <w:pPr>
        <w:pStyle w:val="a8"/>
        <w:tabs>
          <w:tab w:val="left" w:pos="674"/>
        </w:tabs>
        <w:spacing w:after="360" w:line="360" w:lineRule="auto"/>
        <w:rPr>
          <w:rFonts w:cs="David"/>
          <w:rtl/>
        </w:rPr>
      </w:pPr>
      <w:r>
        <w:rPr>
          <w:rFonts w:cs="David"/>
          <w:rtl/>
        </w:rPr>
        <w:t xml:space="preserve">בית הדין </w:t>
      </w:r>
      <w:r w:rsidR="002104DA">
        <w:rPr>
          <w:rFonts w:cs="David"/>
          <w:rtl/>
        </w:rPr>
        <w:t xml:space="preserve">הנכבד </w:t>
      </w:r>
      <w:r>
        <w:rPr>
          <w:rFonts w:cs="David"/>
          <w:rtl/>
        </w:rPr>
        <w:t xml:space="preserve">קמא קיבל את הבקשה, </w:t>
      </w:r>
      <w:r w:rsidR="00523912">
        <w:rPr>
          <w:rFonts w:cs="David"/>
          <w:rtl/>
        </w:rPr>
        <w:t xml:space="preserve">בכל הכבוד – בשוגג ומתוך טעות. </w:t>
      </w:r>
      <w:r>
        <w:rPr>
          <w:rFonts w:cs="David"/>
          <w:rtl/>
        </w:rPr>
        <w:t>להלן יתייחס המערער לנימוקיי פסק הדין ויוסיף ויטען את מה שחסר בפסק הדין.</w:t>
      </w:r>
    </w:p>
    <w:p w:rsidR="00985B99" w:rsidRPr="00EC0AC2" w:rsidRDefault="00985B99" w:rsidP="00F756EA">
      <w:pPr>
        <w:pStyle w:val="7"/>
        <w:numPr>
          <w:ilvl w:val="0"/>
          <w:numId w:val="3"/>
        </w:numPr>
        <w:spacing w:after="240" w:line="360" w:lineRule="auto"/>
        <w:ind w:left="674" w:hanging="540"/>
        <w:rPr>
          <w:rFonts w:cs="David"/>
          <w:sz w:val="26"/>
          <w:szCs w:val="26"/>
          <w:rtl/>
        </w:rPr>
      </w:pPr>
      <w:r w:rsidRPr="00EC0AC2">
        <w:rPr>
          <w:rFonts w:cs="David"/>
          <w:sz w:val="26"/>
          <w:szCs w:val="26"/>
          <w:rtl/>
        </w:rPr>
        <w:t>ידו "הקמוצה" של בית הדין בעניין בקשות דחייה / מחיקה על הסף</w:t>
      </w:r>
    </w:p>
    <w:p w:rsidR="003765C7" w:rsidRDefault="003765C7" w:rsidP="00F756EA">
      <w:pPr>
        <w:pStyle w:val="a8"/>
        <w:numPr>
          <w:ilvl w:val="0"/>
          <w:numId w:val="1"/>
        </w:numPr>
        <w:tabs>
          <w:tab w:val="left" w:pos="674"/>
        </w:tabs>
        <w:spacing w:after="240" w:line="360" w:lineRule="auto"/>
        <w:ind w:left="674" w:hanging="630"/>
        <w:rPr>
          <w:rFonts w:cs="David"/>
        </w:rPr>
      </w:pPr>
      <w:r>
        <w:rPr>
          <w:rFonts w:cs="David"/>
          <w:rtl/>
        </w:rPr>
        <w:t xml:space="preserve">בית הדין </w:t>
      </w:r>
      <w:r w:rsidR="002104DA">
        <w:rPr>
          <w:rFonts w:cs="David"/>
          <w:rtl/>
        </w:rPr>
        <w:t xml:space="preserve">הנכבד </w:t>
      </w:r>
      <w:r>
        <w:rPr>
          <w:rFonts w:cs="David"/>
          <w:rtl/>
        </w:rPr>
        <w:t>קמא התייחס, בסעיף 19 לפסק הדין, לכך שסעד של דחייה על הסף הוא "</w:t>
      </w:r>
      <w:r w:rsidRPr="003765C7">
        <w:rPr>
          <w:b/>
          <w:bCs/>
          <w:i/>
          <w:iCs/>
          <w:rtl/>
          <w:lang w:eastAsia="en-US"/>
        </w:rPr>
        <w:t>סעד שיש לנקוט לגביו משנה זהירות</w:t>
      </w:r>
      <w:r>
        <w:rPr>
          <w:rFonts w:cs="David"/>
          <w:rtl/>
        </w:rPr>
        <w:t>". דברים אלה עולים בקנה אחד עם ההלכה הפסוקה, אליה נתייחס בקצרה, אך בכל הכבוד – בית הדין קמא לא יישם הלכה זאת בבואו לבחון את המקרה.</w:t>
      </w:r>
    </w:p>
    <w:p w:rsidR="00985B99" w:rsidRDefault="003765C7" w:rsidP="00F756EA">
      <w:pPr>
        <w:pStyle w:val="a8"/>
        <w:numPr>
          <w:ilvl w:val="0"/>
          <w:numId w:val="1"/>
        </w:numPr>
        <w:tabs>
          <w:tab w:val="left" w:pos="674"/>
        </w:tabs>
        <w:spacing w:after="240" w:line="360" w:lineRule="auto"/>
        <w:ind w:left="674" w:hanging="630"/>
        <w:rPr>
          <w:rFonts w:cs="David"/>
        </w:rPr>
      </w:pPr>
      <w:r>
        <w:rPr>
          <w:rFonts w:cs="David"/>
          <w:rtl/>
        </w:rPr>
        <w:t>ראשית נזכיר כי ההלכה היא ש</w:t>
      </w:r>
      <w:r w:rsidR="00985B99" w:rsidRPr="00EC0AC2">
        <w:rPr>
          <w:rFonts w:cs="David"/>
          <w:b/>
          <w:bCs/>
          <w:rtl/>
        </w:rPr>
        <w:t xml:space="preserve">רק במקרים נדירים מתקבלות בקשות </w:t>
      </w:r>
      <w:r>
        <w:rPr>
          <w:rFonts w:cs="David"/>
          <w:b/>
          <w:bCs/>
          <w:rtl/>
        </w:rPr>
        <w:t>לדחייה על הסף</w:t>
      </w:r>
      <w:r w:rsidR="00985B99" w:rsidRPr="00EC0AC2">
        <w:rPr>
          <w:rFonts w:cs="David"/>
          <w:rtl/>
        </w:rPr>
        <w:t xml:space="preserve">. עמד על נשיא בית הדין הארצי דאז, כבוד השופט אדלר, בעניין רגינה בליאק (ברע 158/99  </w:t>
      </w:r>
      <w:r w:rsidR="00985B99" w:rsidRPr="00EC0AC2">
        <w:rPr>
          <w:rFonts w:cs="David"/>
          <w:u w:val="single"/>
          <w:rtl/>
        </w:rPr>
        <w:t>סלקום ישראל בע"מ נ' רגינה בליאק</w:t>
      </w:r>
      <w:r w:rsidR="00985B99" w:rsidRPr="00EC0AC2">
        <w:rPr>
          <w:rFonts w:cs="David"/>
          <w:rtl/>
        </w:rPr>
        <w:t xml:space="preserve"> ):</w:t>
      </w:r>
    </w:p>
    <w:p w:rsidR="00985B99" w:rsidRPr="00A3151D" w:rsidRDefault="00985B99" w:rsidP="00985B99">
      <w:pPr>
        <w:pStyle w:val="ae"/>
        <w:spacing w:after="240" w:line="360" w:lineRule="auto"/>
        <w:ind w:left="881" w:right="450"/>
        <w:contextualSpacing w:val="0"/>
        <w:jc w:val="both"/>
        <w:rPr>
          <w:rFonts w:ascii="Times New Roman" w:hAnsi="Times New Roman" w:cs="David"/>
          <w:i/>
          <w:iCs/>
          <w:sz w:val="24"/>
          <w:szCs w:val="24"/>
          <w:rtl/>
          <w:lang w:eastAsia="he-IL"/>
        </w:rPr>
      </w:pPr>
      <w:r w:rsidRPr="00985B99">
        <w:rPr>
          <w:rFonts w:ascii="Times New Roman" w:hAnsi="Times New Roman" w:cs="Times New Roman"/>
          <w:sz w:val="24"/>
          <w:szCs w:val="24"/>
          <w:rtl/>
        </w:rPr>
        <w:t>"</w:t>
      </w:r>
      <w:r w:rsidRPr="00985B99">
        <w:rPr>
          <w:rFonts w:ascii="Times New Roman" w:hAnsi="Times New Roman" w:cs="Times New Roman"/>
          <w:b/>
          <w:bCs/>
          <w:sz w:val="24"/>
          <w:szCs w:val="24"/>
          <w:u w:val="single"/>
          <w:rtl/>
        </w:rPr>
        <w:t>הסעד של דחייה על הסף אינו יכול ואינו צריך לשמש דרך המלך בבתי הדין לעבודה ופתרון המחלוקת לגופה לעולם עדיף</w:t>
      </w:r>
      <w:r w:rsidRPr="00985B99">
        <w:rPr>
          <w:rFonts w:ascii="Times New Roman" w:hAnsi="Times New Roman" w:cs="Times New Roman"/>
          <w:sz w:val="24"/>
          <w:szCs w:val="24"/>
          <w:rtl/>
        </w:rPr>
        <w:t xml:space="preserve"> (ראה: דב"ע נב/ 3-217 </w:t>
      </w:r>
      <w:r w:rsidRPr="00985B99">
        <w:rPr>
          <w:rFonts w:ascii="Times New Roman" w:hAnsi="Times New Roman" w:cs="Times New Roman"/>
          <w:b/>
          <w:bCs/>
          <w:sz w:val="24"/>
          <w:szCs w:val="24"/>
          <w:rtl/>
        </w:rPr>
        <w:t xml:space="preserve">אגודה ארצית של מנהלים ומורשי חתימה של הבנק הבינלאומי הראשון לישראל בע"מ ואח' - הבנק הבינלאומי הראשון לישראל בע"מ ואח' </w:t>
      </w:r>
      <w:r w:rsidRPr="00985B99">
        <w:rPr>
          <w:rFonts w:ascii="Times New Roman" w:hAnsi="Times New Roman" w:cs="Times New Roman"/>
          <w:sz w:val="24"/>
          <w:szCs w:val="24"/>
          <w:rtl/>
        </w:rPr>
        <w:t>, פד"ע כז 15-14,3)".</w:t>
      </w:r>
      <w:r>
        <w:rPr>
          <w:rtl/>
        </w:rPr>
        <w:t xml:space="preserve"> </w:t>
      </w:r>
      <w:r w:rsidRPr="009715D7">
        <w:rPr>
          <w:rFonts w:ascii="David" w:hAnsi="David" w:cs="David"/>
          <w:rtl/>
        </w:rPr>
        <w:t>(</w:t>
      </w:r>
      <w:r w:rsidRPr="00A3151D">
        <w:rPr>
          <w:rFonts w:ascii="Times New Roman" w:hAnsi="Times New Roman" w:cs="David"/>
          <w:i/>
          <w:iCs/>
          <w:sz w:val="24"/>
          <w:szCs w:val="24"/>
          <w:rtl/>
          <w:lang w:eastAsia="he-IL"/>
        </w:rPr>
        <w:t>כל ההדגשות בתשובה זאת אינן במקור, אלא אם נכתב אחרת</w:t>
      </w:r>
      <w:r>
        <w:rPr>
          <w:rFonts w:ascii="Times New Roman" w:hAnsi="Times New Roman" w:cs="David"/>
          <w:i/>
          <w:iCs/>
          <w:sz w:val="24"/>
          <w:szCs w:val="24"/>
          <w:rtl/>
          <w:lang w:eastAsia="he-IL"/>
        </w:rPr>
        <w:t xml:space="preserve"> </w:t>
      </w:r>
      <w:r w:rsidRPr="00A3151D">
        <w:rPr>
          <w:rFonts w:ascii="Times New Roman" w:hAnsi="Times New Roman" w:cs="David"/>
          <w:i/>
          <w:iCs/>
          <w:sz w:val="24"/>
          <w:szCs w:val="24"/>
          <w:rtl/>
          <w:lang w:eastAsia="he-IL"/>
        </w:rPr>
        <w:t>- הח"מ).</w:t>
      </w:r>
    </w:p>
    <w:p w:rsidR="00985B99" w:rsidRPr="00EC0AC2" w:rsidRDefault="00985B99" w:rsidP="00F756EA">
      <w:pPr>
        <w:pStyle w:val="a8"/>
        <w:numPr>
          <w:ilvl w:val="0"/>
          <w:numId w:val="1"/>
        </w:numPr>
        <w:tabs>
          <w:tab w:val="left" w:pos="674"/>
        </w:tabs>
        <w:spacing w:after="240" w:line="360" w:lineRule="auto"/>
        <w:ind w:left="674" w:hanging="630"/>
        <w:rPr>
          <w:rFonts w:cs="David"/>
        </w:rPr>
      </w:pPr>
      <w:r w:rsidRPr="00EC0AC2">
        <w:rPr>
          <w:rFonts w:cs="David"/>
          <w:rtl/>
        </w:rPr>
        <w:t xml:space="preserve">ראו גם פסק דינו של בית הדין הארצי בעניין גיספאן (ברע 67197-01/17  </w:t>
      </w:r>
      <w:r w:rsidRPr="00EC0AC2">
        <w:rPr>
          <w:rFonts w:cs="David"/>
          <w:u w:val="single"/>
          <w:rtl/>
        </w:rPr>
        <w:t>רותם גיספאן נ' בסט שרותי קירור בע"מ, שחר שטינלאוף</w:t>
      </w:r>
      <w:r w:rsidRPr="00EC0AC2">
        <w:rPr>
          <w:rFonts w:cs="David"/>
          <w:b/>
          <w:bCs/>
          <w:rtl/>
        </w:rPr>
        <w:t xml:space="preserve">, </w:t>
      </w:r>
      <w:r w:rsidRPr="00EC0AC2">
        <w:rPr>
          <w:rFonts w:cs="David"/>
          <w:rtl/>
        </w:rPr>
        <w:t>ניתן ביום 3.4.2017):</w:t>
      </w:r>
    </w:p>
    <w:p w:rsidR="00985B99" w:rsidRPr="00985B99" w:rsidRDefault="00985B99" w:rsidP="00985B99">
      <w:pPr>
        <w:pStyle w:val="a3"/>
        <w:tabs>
          <w:tab w:val="clear" w:pos="8306"/>
        </w:tabs>
        <w:spacing w:after="240" w:line="360" w:lineRule="auto"/>
        <w:ind w:left="881" w:right="450"/>
        <w:jc w:val="both"/>
        <w:rPr>
          <w:color w:val="000000"/>
          <w:rtl/>
        </w:rPr>
      </w:pPr>
      <w:r w:rsidRPr="00985B99">
        <w:rPr>
          <w:rtl/>
        </w:rPr>
        <w:t>"</w:t>
      </w:r>
      <w:r w:rsidRPr="00985B99">
        <w:rPr>
          <w:b/>
          <w:bCs/>
          <w:u w:val="single"/>
          <w:rtl/>
        </w:rPr>
        <w:t>ההלכה פסוקה קבעה כי, ככלל, הסעד של סילוק על הסף יינתן במקרים חריגים בלבד, וכי "סעד זה של מחיקה על הסף מופעל על ידי בתי המשפט ביד קמוצה ובמשורה, ובבתי הדין לעבודה קצרה המשורה עוד יותר</w:t>
      </w:r>
      <w:r w:rsidRPr="00985B99">
        <w:rPr>
          <w:rtl/>
        </w:rPr>
        <w:t xml:space="preserve">" (דב"ע (ארצי) מז/3-15  </w:t>
      </w:r>
      <w:r w:rsidRPr="00985B99">
        <w:rPr>
          <w:b/>
          <w:bCs/>
          <w:rtl/>
        </w:rPr>
        <w:t>אפנר יצחק ואח' נ' מפעלי הדסה לחינוך</w:t>
      </w:r>
      <w:r w:rsidRPr="00985B99">
        <w:rPr>
          <w:rtl/>
        </w:rPr>
        <w:t xml:space="preserve">  (18.8.87); דב"ע נא/3-31  </w:t>
      </w:r>
      <w:r w:rsidRPr="00985B99">
        <w:rPr>
          <w:b/>
          <w:bCs/>
          <w:rtl/>
        </w:rPr>
        <w:t>חיפה כימיקלים בע"מ נ' אברהם רמי כלפון</w:t>
      </w:r>
      <w:r w:rsidRPr="00985B99">
        <w:rPr>
          <w:rtl/>
        </w:rPr>
        <w:t xml:space="preserve">, פד"ע כב 518). הזהירות היתרה מתבטאת כי </w:t>
      </w:r>
      <w:r w:rsidRPr="00985B99">
        <w:rPr>
          <w:b/>
          <w:bCs/>
          <w:u w:val="single"/>
          <w:rtl/>
        </w:rPr>
        <w:t>גם אם קיים סיכוי שכתב התביעה מגלה עילה או שקיים ספק בנוגע להתקיימות יסודות ההתיישנות או השתק עילה, כי אז אין לסלק את התובענה על הסף</w:t>
      </w:r>
      <w:r w:rsidRPr="00985B99">
        <w:rPr>
          <w:rtl/>
        </w:rPr>
        <w:t xml:space="preserve">. הזהירות מסילוק על הסף נובעת, בין היתר, מכיבוד זכות הגישה לערכאות, שכן קבלת טענות מסוג זה (העדר עילה, התיישנות או מעשה בית דין) – יוביל לכך שהתובענה כלל לא תתברר לגופה בשום ערכאה. </w:t>
      </w:r>
      <w:r w:rsidRPr="00985B99">
        <w:rPr>
          <w:color w:val="000000"/>
          <w:rtl/>
        </w:rPr>
        <w:t xml:space="preserve">"השימוש בסמכותו הטבועה של בית-המשפט ייעשה בזהירות. כך בכלל (ע"א 4845/95 </w:t>
      </w:r>
      <w:r w:rsidRPr="00985B99">
        <w:rPr>
          <w:b/>
          <w:bCs/>
          <w:color w:val="000000"/>
          <w:rtl/>
        </w:rPr>
        <w:t xml:space="preserve">ניר נ' </w:t>
      </w:r>
      <w:r w:rsidRPr="00985B99">
        <w:rPr>
          <w:b/>
          <w:bCs/>
          <w:color w:val="000000"/>
          <w:rtl/>
        </w:rPr>
        <w:lastRenderedPageBreak/>
        <w:t>מדינת ישראל</w:t>
      </w:r>
      <w:r w:rsidRPr="00985B99">
        <w:rPr>
          <w:color w:val="000000"/>
          <w:rtl/>
        </w:rPr>
        <w:t xml:space="preserve"> [10], בעמ' 646), וכך במיוחד כאשר מדובר בסילוק תובענה על הסף. הטעם לכך הוא שיש להישמר פן תיפגע הזכות היסודית בדבר פנייה לערכאות יתר על המידה".</w:t>
      </w:r>
    </w:p>
    <w:p w:rsidR="00985B99" w:rsidRDefault="00985B99" w:rsidP="00F756EA">
      <w:pPr>
        <w:pStyle w:val="a8"/>
        <w:numPr>
          <w:ilvl w:val="0"/>
          <w:numId w:val="1"/>
        </w:numPr>
        <w:tabs>
          <w:tab w:val="left" w:pos="674"/>
        </w:tabs>
        <w:spacing w:after="240" w:line="360" w:lineRule="auto"/>
        <w:ind w:left="674" w:hanging="630"/>
        <w:rPr>
          <w:rFonts w:cs="David"/>
        </w:rPr>
      </w:pPr>
      <w:r w:rsidRPr="00663FC4">
        <w:rPr>
          <w:rFonts w:cs="David"/>
          <w:rtl/>
        </w:rPr>
        <w:t>הלכות אלה עולות בקנה אחד עם ההכרה במעמדה של זכות הגישה לערכאות. לא נכביר מלים בעניין זה, אך נבקש להפנות את בית הדין הנכבד לפסיקתו של בית הדין הארצי לעבודה בעניי</w:t>
      </w:r>
      <w:r w:rsidR="00EC0AC2">
        <w:rPr>
          <w:rFonts w:cs="David"/>
          <w:rtl/>
        </w:rPr>
        <w:t xml:space="preserve">ן מוניקה מאלו (עבל 59462-12/15 </w:t>
      </w:r>
      <w:r w:rsidRPr="00EC0AC2">
        <w:rPr>
          <w:rFonts w:cs="David"/>
          <w:b/>
          <w:bCs/>
          <w:rtl/>
        </w:rPr>
        <w:t>מוניקה מאלו נ' המוסד לביטוח לאומי</w:t>
      </w:r>
      <w:r w:rsidRPr="00EC0AC2">
        <w:rPr>
          <w:rFonts w:cs="David"/>
          <w:rtl/>
        </w:rPr>
        <w:t>,</w:t>
      </w:r>
      <w:r w:rsidRPr="00663FC4">
        <w:rPr>
          <w:rFonts w:cs="David"/>
          <w:rtl/>
        </w:rPr>
        <w:t xml:space="preserve"> מיום 24.8.2018</w:t>
      </w:r>
      <w:r>
        <w:rPr>
          <w:rFonts w:cs="David"/>
          <w:rtl/>
        </w:rPr>
        <w:t>)</w:t>
      </w:r>
      <w:r w:rsidRPr="00663FC4">
        <w:rPr>
          <w:rFonts w:cs="David"/>
          <w:rtl/>
        </w:rPr>
        <w:t>. בית הדין הפך את ההלכה בעניין האפשרות להארכת מועד הקבוע בדין לצורך הגשת תביעה לבית הדין נגד החלטת המוסד לביטוח לאומי, כך שגם ללא קביעה מפורשת תהיה לבית הדי</w:t>
      </w:r>
      <w:r w:rsidR="00EE5402">
        <w:rPr>
          <w:rFonts w:cs="David"/>
          <w:rtl/>
        </w:rPr>
        <w:t>ן</w:t>
      </w:r>
      <w:r w:rsidRPr="00663FC4">
        <w:rPr>
          <w:rFonts w:cs="David"/>
          <w:rtl/>
        </w:rPr>
        <w:t xml:space="preserve"> סמכות להארכת מועד. </w:t>
      </w:r>
    </w:p>
    <w:p w:rsidR="00985B99" w:rsidRPr="00663FC4" w:rsidRDefault="00985B99" w:rsidP="00EC0AC2">
      <w:pPr>
        <w:tabs>
          <w:tab w:val="left" w:pos="566"/>
        </w:tabs>
        <w:spacing w:after="240" w:line="360" w:lineRule="auto"/>
        <w:ind w:left="566"/>
        <w:jc w:val="both"/>
        <w:rPr>
          <w:rFonts w:cs="David"/>
          <w:rtl/>
        </w:rPr>
      </w:pPr>
      <w:r w:rsidRPr="00663FC4">
        <w:rPr>
          <w:rFonts w:cs="David"/>
          <w:rtl/>
        </w:rPr>
        <w:t xml:space="preserve">בית הדין </w:t>
      </w:r>
      <w:r w:rsidR="00EC0AC2">
        <w:rPr>
          <w:rFonts w:cs="David"/>
          <w:rtl/>
        </w:rPr>
        <w:t xml:space="preserve">הנכבד </w:t>
      </w:r>
      <w:r w:rsidRPr="00663FC4">
        <w:rPr>
          <w:rFonts w:cs="David"/>
          <w:rtl/>
        </w:rPr>
        <w:t xml:space="preserve">נימק </w:t>
      </w:r>
      <w:r>
        <w:rPr>
          <w:rFonts w:cs="David"/>
          <w:rtl/>
        </w:rPr>
        <w:t xml:space="preserve">את עמדתו כך- </w:t>
      </w:r>
    </w:p>
    <w:p w:rsidR="00985B99" w:rsidRPr="00985B99" w:rsidRDefault="00985B99" w:rsidP="00985B99">
      <w:pPr>
        <w:spacing w:after="240" w:line="360" w:lineRule="auto"/>
        <w:ind w:left="893" w:right="446"/>
        <w:jc w:val="both"/>
        <w:rPr>
          <w:rtl/>
        </w:rPr>
      </w:pPr>
      <w:r w:rsidRPr="00985B99">
        <w:rPr>
          <w:rtl/>
        </w:rPr>
        <w:t xml:space="preserve">"הטעמים העיקריים המצדיקים זאת, בנוסף להנמקה שפורטה לעיל, הם </w:t>
      </w:r>
      <w:r w:rsidRPr="00985B99">
        <w:rPr>
          <w:b/>
          <w:bCs/>
          <w:u w:val="single"/>
          <w:rtl/>
        </w:rPr>
        <w:t>השינויים שחלו בשנים שחלפו במעמדן של זכויות היסוד</w:t>
      </w:r>
      <w:r w:rsidRPr="00985B99">
        <w:rPr>
          <w:rtl/>
        </w:rPr>
        <w:t xml:space="preserve"> (וביניהן הזכות לקניין והזכות לכבוד האדם שהוכרו כזכויות חוקתיות); </w:t>
      </w:r>
      <w:r w:rsidRPr="00985B99">
        <w:rPr>
          <w:b/>
          <w:bCs/>
          <w:u w:val="single"/>
          <w:rtl/>
        </w:rPr>
        <w:t>המעמד הבכיר שניתן לזכות הגישה לערכאות</w:t>
      </w:r>
      <w:r w:rsidRPr="00985B99">
        <w:rPr>
          <w:rtl/>
        </w:rPr>
        <w:t xml:space="preserve">; </w:t>
      </w:r>
      <w:r w:rsidRPr="00985B99">
        <w:rPr>
          <w:b/>
          <w:bCs/>
          <w:u w:val="single"/>
          <w:rtl/>
        </w:rPr>
        <w:t>המעבר הכללי בפסיקה מכללים נוקשים לאמות מידה גמישות יותר</w:t>
      </w:r>
      <w:r w:rsidRPr="00985B99">
        <w:rPr>
          <w:rtl/>
        </w:rPr>
        <w:t xml:space="preserve"> (בכלל ובהקשר של סדרי דין והארכות מועד בפרט - ראו למשל את </w:t>
      </w:r>
      <w:hyperlink r:id="rId8" w:tgtFrame="Psak_28240" w:history="1">
        <w:r w:rsidRPr="00985B99">
          <w:rPr>
            <w:rtl/>
          </w:rPr>
          <w:t>בר"מ 2340/02</w:t>
        </w:r>
      </w:hyperlink>
      <w:r w:rsidRPr="00985B99">
        <w:rPr>
          <w:rtl/>
        </w:rPr>
        <w:t xml:space="preserve"> </w:t>
      </w:r>
      <w:r w:rsidRPr="00985B99">
        <w:rPr>
          <w:u w:val="single"/>
          <w:rtl/>
        </w:rPr>
        <w:t>הוועדה המקומית לתכנון ובנייה רמת השרון נ' וכט</w:t>
      </w:r>
      <w:r w:rsidRPr="00985B99">
        <w:rPr>
          <w:rtl/>
        </w:rPr>
        <w:t xml:space="preserve">, פ"ד נז(3) 385 (2003)); </w:t>
      </w:r>
      <w:r w:rsidRPr="00985B99">
        <w:rPr>
          <w:b/>
          <w:bCs/>
          <w:u w:val="single"/>
          <w:rtl/>
        </w:rPr>
        <w:t>וההכרה ההולכת וגדלה בחסמים השונים המקשים על מיצוי זכויות</w:t>
      </w:r>
      <w:r w:rsidRPr="00985B99">
        <w:rPr>
          <w:rtl/>
        </w:rPr>
        <w:t>, ודאי בהתייחס לאוכלוסיות המוחלשות הזקוקות יותר מכול לזכויות מכוח חוק הביטוח הלאומי ...".</w:t>
      </w:r>
    </w:p>
    <w:p w:rsidR="00EC0AC2" w:rsidRDefault="003765C7" w:rsidP="00F756EA">
      <w:pPr>
        <w:pStyle w:val="a8"/>
        <w:numPr>
          <w:ilvl w:val="0"/>
          <w:numId w:val="1"/>
        </w:numPr>
        <w:tabs>
          <w:tab w:val="left" w:pos="674"/>
        </w:tabs>
        <w:spacing w:after="240" w:line="360" w:lineRule="auto"/>
        <w:ind w:left="674" w:hanging="630"/>
        <w:rPr>
          <w:rFonts w:cs="David"/>
        </w:rPr>
      </w:pPr>
      <w:r>
        <w:rPr>
          <w:rFonts w:cs="David"/>
          <w:rtl/>
        </w:rPr>
        <w:t xml:space="preserve">לטעמנו, ובית הדין קמא לא נתן </w:t>
      </w:r>
      <w:r w:rsidR="003344EF">
        <w:rPr>
          <w:rFonts w:cs="David"/>
          <w:rtl/>
        </w:rPr>
        <w:t xml:space="preserve">לכך </w:t>
      </w:r>
      <w:r>
        <w:rPr>
          <w:rFonts w:cs="David"/>
          <w:rtl/>
        </w:rPr>
        <w:t xml:space="preserve">משקל כלשהו – </w:t>
      </w:r>
      <w:r w:rsidRPr="00B126E1">
        <w:rPr>
          <w:rFonts w:cs="David"/>
          <w:b/>
          <w:bCs/>
          <w:rtl/>
        </w:rPr>
        <w:t>כאשר המדינה מבקשת לסלק תביעות נגדה על הסף יש לנקוט חומרה יתרה בבחינת בקשות כאמור, כך שרק במקרים חריגים ויוצאי דופן תתקבלנה בקשות כאמור</w:t>
      </w:r>
      <w:r>
        <w:rPr>
          <w:rFonts w:cs="David"/>
          <w:rtl/>
        </w:rPr>
        <w:t>.</w:t>
      </w:r>
    </w:p>
    <w:p w:rsidR="003765C7" w:rsidRDefault="003765C7" w:rsidP="00F756EA">
      <w:pPr>
        <w:pStyle w:val="a8"/>
        <w:numPr>
          <w:ilvl w:val="0"/>
          <w:numId w:val="1"/>
        </w:numPr>
        <w:tabs>
          <w:tab w:val="left" w:pos="674"/>
        </w:tabs>
        <w:spacing w:after="240" w:line="360" w:lineRule="auto"/>
        <w:ind w:left="674" w:hanging="630"/>
        <w:rPr>
          <w:rFonts w:cs="David"/>
        </w:rPr>
      </w:pPr>
      <w:r>
        <w:rPr>
          <w:rFonts w:cs="David"/>
          <w:rtl/>
        </w:rPr>
        <w:t>מבלי לגרוע מכך נוסיף ונבהיר כי בחינת האינטרסים השונים המפורטים בסעיף 19 לפסק הדין</w:t>
      </w:r>
      <w:r w:rsidR="007A6409">
        <w:rPr>
          <w:rFonts w:cs="David"/>
          <w:rtl/>
        </w:rPr>
        <w:t>, ואשר היה על בית הדין קמא לבחון,</w:t>
      </w:r>
      <w:r>
        <w:rPr>
          <w:rFonts w:cs="David"/>
          <w:rtl/>
        </w:rPr>
        <w:t xml:space="preserve"> היתה חייבת להוביל למסקנות הפוכות מהמסקנות אל</w:t>
      </w:r>
      <w:r w:rsidR="00F7574C">
        <w:rPr>
          <w:rFonts w:cs="David"/>
          <w:rtl/>
        </w:rPr>
        <w:t>יהן הגיע בית הדין קמא בפסק דינו, כפי שנסביר:</w:t>
      </w:r>
    </w:p>
    <w:p w:rsidR="00634342" w:rsidRPr="00634342" w:rsidRDefault="00F7574C" w:rsidP="00F756EA">
      <w:pPr>
        <w:pStyle w:val="a8"/>
        <w:numPr>
          <w:ilvl w:val="1"/>
          <w:numId w:val="1"/>
        </w:numPr>
        <w:tabs>
          <w:tab w:val="left" w:pos="1394"/>
        </w:tabs>
        <w:spacing w:after="240" w:line="360" w:lineRule="auto"/>
        <w:ind w:left="1394" w:hanging="720"/>
        <w:rPr>
          <w:rFonts w:cs="David"/>
          <w:rtl/>
        </w:rPr>
      </w:pPr>
      <w:r w:rsidRPr="00634342">
        <w:rPr>
          <w:rFonts w:cs="David"/>
          <w:b/>
          <w:bCs/>
          <w:rtl/>
        </w:rPr>
        <w:t>"נזק ראייתי לנתבעים"</w:t>
      </w:r>
      <w:r>
        <w:rPr>
          <w:rFonts w:cs="David"/>
          <w:rtl/>
        </w:rPr>
        <w:t xml:space="preserve">- </w:t>
      </w:r>
      <w:r w:rsidRPr="00634342">
        <w:rPr>
          <w:rFonts w:cs="David"/>
          <w:rtl/>
        </w:rPr>
        <w:t>המערער הצביע על כך שלא היה כל נזק ראייתי למדינה, וממילא היתה זאת אחריותה המלאה לדאוג לשמור את המסמכים הרלבנטיים.</w:t>
      </w:r>
      <w:r w:rsidR="00634342" w:rsidRPr="00634342">
        <w:rPr>
          <w:rFonts w:cs="David"/>
          <w:rtl/>
        </w:rPr>
        <w:t xml:space="preserve"> בעניין זה נפנה גם לטענותיו של המערער בסעיף 42 לתגובה לבקשה לסילוק התביעה על הסף:</w:t>
      </w:r>
    </w:p>
    <w:p w:rsidR="00634342" w:rsidRDefault="00634342" w:rsidP="00C02D74">
      <w:pPr>
        <w:pStyle w:val="a8"/>
        <w:numPr>
          <w:ilvl w:val="0"/>
          <w:numId w:val="4"/>
        </w:numPr>
        <w:tabs>
          <w:tab w:val="left" w:pos="1754"/>
        </w:tabs>
        <w:spacing w:after="240" w:line="360" w:lineRule="auto"/>
        <w:ind w:left="1754"/>
        <w:rPr>
          <w:rFonts w:cs="David"/>
        </w:rPr>
      </w:pPr>
      <w:r>
        <w:rPr>
          <w:rFonts w:cs="David"/>
          <w:rtl/>
        </w:rPr>
        <w:t>המשיבות</w:t>
      </w:r>
      <w:r w:rsidR="00F7574C">
        <w:rPr>
          <w:rFonts w:cs="David"/>
          <w:rtl/>
        </w:rPr>
        <w:t xml:space="preserve"> לא טרחו </w:t>
      </w:r>
      <w:r>
        <w:rPr>
          <w:rFonts w:cs="David"/>
          <w:rtl/>
        </w:rPr>
        <w:t>ל</w:t>
      </w:r>
      <w:r w:rsidR="00F7574C">
        <w:rPr>
          <w:rFonts w:cs="David"/>
          <w:rtl/>
        </w:rPr>
        <w:t xml:space="preserve">הצביע על שינוי </w:t>
      </w:r>
      <w:r>
        <w:rPr>
          <w:rFonts w:cs="David"/>
          <w:rtl/>
        </w:rPr>
        <w:t xml:space="preserve">קונקרטי של </w:t>
      </w:r>
      <w:r w:rsidR="00F7574C">
        <w:rPr>
          <w:rFonts w:cs="David"/>
          <w:rtl/>
        </w:rPr>
        <w:t xml:space="preserve">מצב לרעה, על מסמך אחד שהושמד בשל חלוף הזמן או עדים שחלילה אינם עמנו עוד. </w:t>
      </w:r>
      <w:r>
        <w:rPr>
          <w:rFonts w:cs="David"/>
          <w:rtl/>
        </w:rPr>
        <w:t>נדגיש בעניין זה כי לא הועלתה טענה עובדתית על נזק ראייתי, שנתמכה בתצהיר או מסמך כלשהו שיכול להוכיח טענה כאמור. בכך כשלה המדינה לעמוד בנטל ההוכחה המוטל עליה.</w:t>
      </w:r>
    </w:p>
    <w:p w:rsidR="00523912" w:rsidRDefault="00F7574C" w:rsidP="00C02D74">
      <w:pPr>
        <w:pStyle w:val="a8"/>
        <w:numPr>
          <w:ilvl w:val="0"/>
          <w:numId w:val="4"/>
        </w:numPr>
        <w:tabs>
          <w:tab w:val="left" w:pos="1394"/>
          <w:tab w:val="left" w:pos="1754"/>
        </w:tabs>
        <w:spacing w:after="240" w:line="360" w:lineRule="auto"/>
        <w:ind w:left="1754"/>
        <w:rPr>
          <w:rFonts w:cs="David"/>
          <w:rtl/>
        </w:rPr>
      </w:pPr>
      <w:r>
        <w:rPr>
          <w:rFonts w:cs="David"/>
          <w:rtl/>
        </w:rPr>
        <w:t>ודוק, חזקה היא שדווקא המדינה, המחזיקה תיקים אישיים של עובדיה, וחלה עליה חובת תיעוד מנהלית, שמרה את המסמכים הרלבנטיים.</w:t>
      </w:r>
      <w:r w:rsidRPr="00815972">
        <w:rPr>
          <w:rFonts w:cs="David"/>
          <w:rtl/>
        </w:rPr>
        <w:t xml:space="preserve"> </w:t>
      </w:r>
      <w:r w:rsidRPr="002D080E">
        <w:rPr>
          <w:rFonts w:cs="David"/>
          <w:rtl/>
        </w:rPr>
        <w:t xml:space="preserve">בהקשר זה </w:t>
      </w:r>
      <w:r w:rsidR="00634342">
        <w:rPr>
          <w:rFonts w:cs="David"/>
          <w:rtl/>
        </w:rPr>
        <w:t>נפנה גם</w:t>
      </w:r>
      <w:r w:rsidRPr="002D080E">
        <w:rPr>
          <w:rFonts w:cs="David"/>
          <w:rtl/>
        </w:rPr>
        <w:t xml:space="preserve"> </w:t>
      </w:r>
      <w:r w:rsidR="00634342">
        <w:rPr>
          <w:rFonts w:cs="David"/>
          <w:rtl/>
        </w:rPr>
        <w:t>ל</w:t>
      </w:r>
      <w:r w:rsidRPr="002D080E">
        <w:rPr>
          <w:rFonts w:cs="David"/>
          <w:rtl/>
        </w:rPr>
        <w:t>הוראות הקבועות ב</w:t>
      </w:r>
      <w:r w:rsidRPr="00815972">
        <w:rPr>
          <w:rFonts w:cs="David"/>
          <w:rtl/>
        </w:rPr>
        <w:t>תקנות הארכיונים (ביעור חומר ארכיוני במוסדות המדינה וברשויות המקומיות),</w:t>
      </w:r>
      <w:r w:rsidRPr="002D080E">
        <w:rPr>
          <w:rFonts w:cs="David"/>
          <w:rtl/>
        </w:rPr>
        <w:t xml:space="preserve"> ת</w:t>
      </w:r>
      <w:r w:rsidRPr="00815972">
        <w:rPr>
          <w:rFonts w:cs="David"/>
          <w:rtl/>
        </w:rPr>
        <w:t>שמ"ו-1986</w:t>
      </w:r>
      <w:r w:rsidRPr="002D080E">
        <w:rPr>
          <w:rFonts w:cs="David"/>
          <w:rtl/>
        </w:rPr>
        <w:t xml:space="preserve">. </w:t>
      </w:r>
    </w:p>
    <w:p w:rsidR="00634342" w:rsidRDefault="00F7574C" w:rsidP="00C02D74">
      <w:pPr>
        <w:pStyle w:val="a8"/>
        <w:numPr>
          <w:ilvl w:val="0"/>
          <w:numId w:val="4"/>
        </w:numPr>
        <w:tabs>
          <w:tab w:val="left" w:pos="1394"/>
          <w:tab w:val="left" w:pos="1754"/>
        </w:tabs>
        <w:spacing w:after="240" w:line="360" w:lineRule="auto"/>
        <w:ind w:left="1754"/>
        <w:rPr>
          <w:rFonts w:cs="David"/>
          <w:rtl/>
        </w:rPr>
      </w:pPr>
      <w:r w:rsidRPr="002D080E">
        <w:rPr>
          <w:rFonts w:cs="David"/>
          <w:rtl/>
        </w:rPr>
        <w:lastRenderedPageBreak/>
        <w:t xml:space="preserve">תקנה 4(7) קובעת כי </w:t>
      </w:r>
      <w:r w:rsidRPr="00634342">
        <w:rPr>
          <w:rFonts w:cs="David"/>
          <w:b/>
          <w:bCs/>
          <w:rtl/>
        </w:rPr>
        <w:t>שמירת תיקו האישי של עובד שהוא או שאריו מקבלים גמלה מהמדינה, יישמר - "100 שנים לאחר לידתו של האדם אליו מתייחס התיק".</w:t>
      </w:r>
      <w:r w:rsidRPr="002D080E">
        <w:rPr>
          <w:rFonts w:cs="David"/>
          <w:rtl/>
        </w:rPr>
        <w:t xml:space="preserve"> </w:t>
      </w:r>
    </w:p>
    <w:p w:rsidR="00F7574C" w:rsidRDefault="00F7574C" w:rsidP="00C02D74">
      <w:pPr>
        <w:pStyle w:val="a8"/>
        <w:numPr>
          <w:ilvl w:val="0"/>
          <w:numId w:val="4"/>
        </w:numPr>
        <w:tabs>
          <w:tab w:val="left" w:pos="1394"/>
          <w:tab w:val="left" w:pos="1754"/>
        </w:tabs>
        <w:spacing w:after="240" w:line="360" w:lineRule="auto"/>
        <w:ind w:left="1754"/>
        <w:rPr>
          <w:rFonts w:cs="David"/>
        </w:rPr>
      </w:pPr>
      <w:r>
        <w:rPr>
          <w:rFonts w:cs="David"/>
          <w:rtl/>
        </w:rPr>
        <w:t>ממילא חלה חובה כללית על המדינה, כמעסיק ציבורי, לשמור מסמכים לפחות לכל תקופת ההתיישנות, ואין היא יכולה להיבנות מטענה ערטילאית ולא מוכחת של "נזק ראייתי".</w:t>
      </w:r>
    </w:p>
    <w:p w:rsidR="00F7574C" w:rsidRPr="00815972" w:rsidRDefault="00F7574C" w:rsidP="00C02D74">
      <w:pPr>
        <w:pStyle w:val="a8"/>
        <w:numPr>
          <w:ilvl w:val="0"/>
          <w:numId w:val="4"/>
        </w:numPr>
        <w:tabs>
          <w:tab w:val="left" w:pos="1394"/>
          <w:tab w:val="left" w:pos="1754"/>
        </w:tabs>
        <w:spacing w:after="240" w:line="360" w:lineRule="auto"/>
        <w:ind w:left="1754"/>
        <w:rPr>
          <w:rFonts w:cs="David"/>
        </w:rPr>
      </w:pPr>
      <w:r>
        <w:rPr>
          <w:rFonts w:cs="David"/>
          <w:rtl/>
        </w:rPr>
        <w:t xml:space="preserve">זאת ועוד, מעיון בבקשה </w:t>
      </w:r>
      <w:r w:rsidR="00C02D74">
        <w:rPr>
          <w:rFonts w:cs="David"/>
          <w:rtl/>
        </w:rPr>
        <w:t>שהגישו המשיבות בבית הדין קמא</w:t>
      </w:r>
      <w:r w:rsidR="00634342">
        <w:rPr>
          <w:rFonts w:cs="David"/>
          <w:rtl/>
        </w:rPr>
        <w:t>עלתה</w:t>
      </w:r>
      <w:r>
        <w:rPr>
          <w:rFonts w:cs="David"/>
          <w:rtl/>
        </w:rPr>
        <w:t xml:space="preserve"> השאלה </w:t>
      </w:r>
      <w:r w:rsidRPr="00634342">
        <w:rPr>
          <w:rFonts w:cs="David"/>
          <w:rtl/>
        </w:rPr>
        <w:t xml:space="preserve">האם </w:t>
      </w:r>
      <w:r w:rsidR="00634342">
        <w:rPr>
          <w:rFonts w:cs="David"/>
          <w:rtl/>
        </w:rPr>
        <w:t xml:space="preserve">רומזות המשיבות </w:t>
      </w:r>
      <w:r w:rsidRPr="00634342">
        <w:rPr>
          <w:rFonts w:cs="David"/>
          <w:rtl/>
        </w:rPr>
        <w:t>כי נציב התלונות נתן את תשובתו מבלי שעמדו לפניו המסמכים הנוגעים להעסקתו של ה</w:t>
      </w:r>
      <w:r w:rsidR="00634342">
        <w:rPr>
          <w:rFonts w:cs="David"/>
          <w:rtl/>
        </w:rPr>
        <w:t>מערער</w:t>
      </w:r>
      <w:r w:rsidRPr="00634342">
        <w:rPr>
          <w:rFonts w:cs="David"/>
          <w:rtl/>
        </w:rPr>
        <w:t xml:space="preserve"> – ואופן ספציפי יותר – לסיום העסקתו</w:t>
      </w:r>
      <w:r w:rsidR="00634342">
        <w:rPr>
          <w:rFonts w:cs="David"/>
          <w:rtl/>
        </w:rPr>
        <w:t xml:space="preserve">? </w:t>
      </w:r>
    </w:p>
    <w:p w:rsidR="00F7574C" w:rsidRPr="00AD5378" w:rsidRDefault="00634342" w:rsidP="00AD5378">
      <w:pPr>
        <w:pStyle w:val="a8"/>
        <w:numPr>
          <w:ilvl w:val="1"/>
          <w:numId w:val="1"/>
        </w:numPr>
        <w:tabs>
          <w:tab w:val="left" w:pos="1394"/>
        </w:tabs>
        <w:spacing w:after="240" w:line="360" w:lineRule="auto"/>
        <w:ind w:left="1394" w:hanging="720"/>
        <w:rPr>
          <w:rFonts w:cs="David"/>
          <w:b/>
          <w:bCs/>
          <w:rtl/>
        </w:rPr>
      </w:pPr>
      <w:r w:rsidRPr="00AD5378">
        <w:rPr>
          <w:rFonts w:cs="David"/>
          <w:b/>
          <w:bCs/>
          <w:rtl/>
        </w:rPr>
        <w:t xml:space="preserve">האם התובע </w:t>
      </w:r>
      <w:r w:rsidR="00F7574C" w:rsidRPr="00AD5378">
        <w:rPr>
          <w:rFonts w:cs="David"/>
          <w:b/>
          <w:bCs/>
          <w:rtl/>
        </w:rPr>
        <w:t xml:space="preserve">"ישן על זכויותיו" – </w:t>
      </w:r>
      <w:r w:rsidRPr="006B6F0B">
        <w:rPr>
          <w:rFonts w:cs="David"/>
          <w:rtl/>
        </w:rPr>
        <w:t>המ</w:t>
      </w:r>
      <w:r w:rsidRPr="00574032">
        <w:rPr>
          <w:rFonts w:cs="David"/>
          <w:rtl/>
        </w:rPr>
        <w:t xml:space="preserve">ערער פנה </w:t>
      </w:r>
      <w:r w:rsidR="00E126B3" w:rsidRPr="00574032">
        <w:rPr>
          <w:rFonts w:cs="David"/>
          <w:rtl/>
        </w:rPr>
        <w:t xml:space="preserve">עשרות רבות של </w:t>
      </w:r>
      <w:r w:rsidRPr="00AD5378">
        <w:rPr>
          <w:rFonts w:cs="David"/>
          <w:rtl/>
        </w:rPr>
        <w:t>פעמים, בעל פה ו</w:t>
      </w:r>
      <w:r w:rsidR="00F7574C" w:rsidRPr="00AD5378">
        <w:rPr>
          <w:rFonts w:cs="David"/>
          <w:rtl/>
        </w:rPr>
        <w:t xml:space="preserve">בכתב, לכל גורם אפשרי וע"פ הנחיות ובתיאום עם </w:t>
      </w:r>
      <w:r w:rsidRPr="00AD5378">
        <w:rPr>
          <w:rFonts w:cs="David"/>
          <w:rtl/>
        </w:rPr>
        <w:t>המשיבות</w:t>
      </w:r>
      <w:r w:rsidR="00F7574C" w:rsidRPr="006B6F0B">
        <w:rPr>
          <w:rFonts w:cs="David"/>
          <w:rtl/>
        </w:rPr>
        <w:t xml:space="preserve"> כמתואר בפרק ב.8 לכתב התביעה </w:t>
      </w:r>
      <w:r w:rsidRPr="00574032">
        <w:rPr>
          <w:rFonts w:cs="David"/>
          <w:rtl/>
        </w:rPr>
        <w:t>כמו גם ב</w:t>
      </w:r>
      <w:r w:rsidR="00F7574C" w:rsidRPr="00574032">
        <w:rPr>
          <w:rFonts w:cs="David"/>
          <w:rtl/>
        </w:rPr>
        <w:t>פרק ה.1 לתגובה לבקשה ל</w:t>
      </w:r>
      <w:r w:rsidRPr="00574032">
        <w:rPr>
          <w:rFonts w:cs="David"/>
          <w:rtl/>
        </w:rPr>
        <w:t>סילוק</w:t>
      </w:r>
      <w:r w:rsidR="00F7574C" w:rsidRPr="00574032">
        <w:rPr>
          <w:rFonts w:cs="David"/>
          <w:rtl/>
        </w:rPr>
        <w:t xml:space="preserve"> על הסף</w:t>
      </w:r>
      <w:r w:rsidR="00F7574C" w:rsidRPr="00AD5378">
        <w:rPr>
          <w:rFonts w:cs="David"/>
          <w:rtl/>
        </w:rPr>
        <w:t>.</w:t>
      </w:r>
      <w:r w:rsidRPr="00AD5378">
        <w:rPr>
          <w:rFonts w:cs="David"/>
          <w:rtl/>
        </w:rPr>
        <w:t xml:space="preserve"> לכן, לא ניתן לראות במערער כמי שישן על זכויותיו.</w:t>
      </w:r>
    </w:p>
    <w:p w:rsidR="00634342" w:rsidRPr="00634342" w:rsidRDefault="00634342" w:rsidP="00634342">
      <w:pPr>
        <w:pStyle w:val="a8"/>
        <w:tabs>
          <w:tab w:val="left" w:pos="1394"/>
        </w:tabs>
        <w:spacing w:after="240" w:line="360" w:lineRule="auto"/>
        <w:ind w:left="1394"/>
        <w:rPr>
          <w:rFonts w:cs="David"/>
          <w:rtl/>
        </w:rPr>
      </w:pPr>
      <w:r w:rsidRPr="006B6F0B">
        <w:rPr>
          <w:rFonts w:cs="David"/>
          <w:rtl/>
        </w:rPr>
        <w:t>נדגיש כי המערער לא הציג, בש</w:t>
      </w:r>
      <w:r w:rsidRPr="00574032">
        <w:rPr>
          <w:rFonts w:cs="David"/>
          <w:rtl/>
        </w:rPr>
        <w:t>לב של כתב התביעה, את כל הראיות בעניין זה, מאחר שזה לא היה המקום להגישן. עם זאת, בכוונתו להציג את הפניות הרבות ואת התשובות שקיבל בפני</w:t>
      </w:r>
      <w:r>
        <w:rPr>
          <w:rFonts w:cs="David"/>
          <w:rtl/>
        </w:rPr>
        <w:t xml:space="preserve"> בית הדין הנכבד, על מנת להוכיח מעל לכל ספק כי לא </w:t>
      </w:r>
      <w:r w:rsidR="00C02D74">
        <w:rPr>
          <w:rFonts w:cs="David"/>
          <w:rtl/>
        </w:rPr>
        <w:t>"</w:t>
      </w:r>
      <w:r>
        <w:rPr>
          <w:rFonts w:cs="David"/>
          <w:rtl/>
        </w:rPr>
        <w:t>ישן על זכויותיו</w:t>
      </w:r>
      <w:r w:rsidR="00C02D74">
        <w:rPr>
          <w:rFonts w:cs="David"/>
          <w:rtl/>
        </w:rPr>
        <w:t>"</w:t>
      </w:r>
      <w:r>
        <w:rPr>
          <w:rFonts w:cs="David"/>
          <w:rtl/>
        </w:rPr>
        <w:t>.</w:t>
      </w:r>
    </w:p>
    <w:p w:rsidR="00634342" w:rsidRPr="00AD5378" w:rsidRDefault="00634342" w:rsidP="00EE5402">
      <w:pPr>
        <w:pStyle w:val="a8"/>
        <w:numPr>
          <w:ilvl w:val="1"/>
          <w:numId w:val="1"/>
        </w:numPr>
        <w:tabs>
          <w:tab w:val="left" w:pos="1394"/>
        </w:tabs>
        <w:spacing w:after="240" w:line="360" w:lineRule="auto"/>
        <w:ind w:left="1394" w:hanging="720"/>
        <w:rPr>
          <w:rFonts w:cs="David"/>
        </w:rPr>
      </w:pPr>
      <w:r w:rsidRPr="00AD5378">
        <w:rPr>
          <w:rFonts w:cs="David"/>
          <w:b/>
          <w:bCs/>
          <w:rtl/>
        </w:rPr>
        <w:t xml:space="preserve">האם </w:t>
      </w:r>
      <w:r w:rsidR="00F7574C" w:rsidRPr="00AD5378">
        <w:rPr>
          <w:rFonts w:cs="David"/>
          <w:b/>
          <w:bCs/>
          <w:rtl/>
        </w:rPr>
        <w:t xml:space="preserve">"התובע ויתר ומחל על זכויותיו" </w:t>
      </w:r>
      <w:r w:rsidRPr="00AD5378">
        <w:rPr>
          <w:rFonts w:cs="David"/>
          <w:b/>
          <w:bCs/>
          <w:rtl/>
        </w:rPr>
        <w:t xml:space="preserve">– </w:t>
      </w:r>
      <w:r w:rsidRPr="006B6F0B">
        <w:rPr>
          <w:rFonts w:cs="David"/>
          <w:rtl/>
        </w:rPr>
        <w:t xml:space="preserve">ברור כי </w:t>
      </w:r>
      <w:r w:rsidR="004A5F15">
        <w:rPr>
          <w:rFonts w:cs="David"/>
          <w:rtl/>
        </w:rPr>
        <w:t>נימוק זה</w:t>
      </w:r>
      <w:r w:rsidR="00EE5402">
        <w:rPr>
          <w:rFonts w:cs="David"/>
          <w:rtl/>
        </w:rPr>
        <w:t xml:space="preserve"> לא</w:t>
      </w:r>
      <w:r w:rsidR="00E126B3" w:rsidRPr="00574032">
        <w:rPr>
          <w:rFonts w:cs="David"/>
          <w:rtl/>
        </w:rPr>
        <w:t xml:space="preserve"> </w:t>
      </w:r>
      <w:r w:rsidRPr="00AD5378">
        <w:rPr>
          <w:rFonts w:cs="David"/>
          <w:rtl/>
        </w:rPr>
        <w:t>מתקיי</w:t>
      </w:r>
      <w:r w:rsidR="004A5F15">
        <w:rPr>
          <w:rFonts w:cs="David"/>
          <w:rtl/>
        </w:rPr>
        <w:t>ם בענייננו</w:t>
      </w:r>
      <w:r w:rsidRPr="00AD5378">
        <w:rPr>
          <w:rFonts w:cs="David"/>
          <w:rtl/>
        </w:rPr>
        <w:t>, לאור הפניות הרבות של המערער, ולמען הקיצור נפנה לדברים שכתבנו לעיל.</w:t>
      </w:r>
    </w:p>
    <w:p w:rsidR="001D504A" w:rsidRDefault="00F7574C" w:rsidP="00F756EA">
      <w:pPr>
        <w:pStyle w:val="a8"/>
        <w:numPr>
          <w:ilvl w:val="1"/>
          <w:numId w:val="1"/>
        </w:numPr>
        <w:tabs>
          <w:tab w:val="left" w:pos="1394"/>
        </w:tabs>
        <w:spacing w:after="240" w:line="360" w:lineRule="auto"/>
        <w:ind w:left="1394" w:hanging="720"/>
        <w:rPr>
          <w:rFonts w:cs="David"/>
          <w:b/>
          <w:bCs/>
        </w:rPr>
      </w:pPr>
      <w:r>
        <w:rPr>
          <w:rFonts w:cs="David"/>
          <w:b/>
          <w:bCs/>
          <w:rtl/>
        </w:rPr>
        <w:t>הצורך "לברר תביעות תוך זמן סביר</w:t>
      </w:r>
      <w:r w:rsidRPr="00634342">
        <w:rPr>
          <w:rFonts w:cs="David"/>
          <w:b/>
          <w:bCs/>
          <w:rtl/>
        </w:rPr>
        <w:t xml:space="preserve">" </w:t>
      </w:r>
      <w:r w:rsidR="001D504A">
        <w:rPr>
          <w:rFonts w:cs="David"/>
          <w:b/>
          <w:bCs/>
          <w:rtl/>
        </w:rPr>
        <w:t xml:space="preserve">– </w:t>
      </w:r>
      <w:r w:rsidR="001D504A">
        <w:rPr>
          <w:rFonts w:cs="David"/>
          <w:rtl/>
        </w:rPr>
        <w:t>במקרה זה מי שפועל בחוסר סבירות היא המדינה, אשר בידה כל המסמכים והמידע הדרושים לברר את התביעה, ואשר התעכבה במתן תשובותיה לפניותיו של המערער לפני הגשת התביעה.</w:t>
      </w:r>
    </w:p>
    <w:p w:rsidR="00F7574C" w:rsidRPr="001D504A" w:rsidRDefault="001D504A" w:rsidP="001D504A">
      <w:pPr>
        <w:pStyle w:val="a8"/>
        <w:tabs>
          <w:tab w:val="left" w:pos="1394"/>
        </w:tabs>
        <w:spacing w:after="240" w:line="360" w:lineRule="auto"/>
        <w:ind w:left="674"/>
        <w:rPr>
          <w:rFonts w:cs="David"/>
          <w:rtl/>
        </w:rPr>
      </w:pPr>
      <w:r w:rsidRPr="001D504A">
        <w:rPr>
          <w:rFonts w:cs="David"/>
          <w:rtl/>
        </w:rPr>
        <w:t>יודגש כי המערער עשה</w:t>
      </w:r>
      <w:r w:rsidR="00F7574C" w:rsidRPr="001D504A">
        <w:rPr>
          <w:rFonts w:cs="David"/>
          <w:rtl/>
        </w:rPr>
        <w:t xml:space="preserve"> ככל האפשר שלא להטריח את המערכת המשפטית (ר' סעיף 44 לכתב התביעה) </w:t>
      </w:r>
      <w:r w:rsidRPr="001D504A">
        <w:rPr>
          <w:rFonts w:cs="David"/>
          <w:rtl/>
        </w:rPr>
        <w:t xml:space="preserve">על מנת </w:t>
      </w:r>
      <w:r w:rsidR="00F7574C" w:rsidRPr="001D504A">
        <w:rPr>
          <w:rFonts w:cs="David"/>
          <w:rtl/>
        </w:rPr>
        <w:t xml:space="preserve">למנוע בזבוז זמן ומשאבים של המערכת המשפטית </w:t>
      </w:r>
      <w:r w:rsidRPr="001D504A">
        <w:rPr>
          <w:rFonts w:cs="David"/>
          <w:rtl/>
        </w:rPr>
        <w:t>עד שהתקבלה תשובת נציבות תלונות הציבור, המפנה אותו להגיש תביעתו בבית הדין לעבודה.</w:t>
      </w:r>
      <w:r w:rsidR="00F7574C" w:rsidRPr="001D504A">
        <w:rPr>
          <w:rFonts w:cs="David"/>
          <w:rtl/>
        </w:rPr>
        <w:t xml:space="preserve"> </w:t>
      </w:r>
      <w:r>
        <w:rPr>
          <w:rFonts w:cs="David"/>
          <w:rtl/>
        </w:rPr>
        <w:t>לא יעלה על הדעת כי דווקא המדינה תזקוף לחובת המערער את רצונו הכן להימנע מהגשת תביעה, לאחר שעשה על מאמץ להימנע מכך.</w:t>
      </w:r>
    </w:p>
    <w:p w:rsidR="00985B99" w:rsidRDefault="00985B99" w:rsidP="00985B99">
      <w:pPr>
        <w:rPr>
          <w:rtl/>
        </w:rPr>
      </w:pPr>
    </w:p>
    <w:p w:rsidR="002A1C7D" w:rsidRPr="00580511" w:rsidRDefault="002A1C7D" w:rsidP="00F756EA">
      <w:pPr>
        <w:pStyle w:val="7"/>
        <w:numPr>
          <w:ilvl w:val="0"/>
          <w:numId w:val="3"/>
        </w:numPr>
        <w:spacing w:after="240" w:line="360" w:lineRule="auto"/>
        <w:ind w:left="674" w:hanging="630"/>
        <w:rPr>
          <w:rFonts w:cs="David"/>
          <w:sz w:val="26"/>
          <w:szCs w:val="26"/>
        </w:rPr>
      </w:pPr>
      <w:r w:rsidRPr="00580511">
        <w:rPr>
          <w:rFonts w:cs="David"/>
          <w:sz w:val="26"/>
          <w:szCs w:val="26"/>
          <w:rtl/>
        </w:rPr>
        <w:t xml:space="preserve">טעה בית הדין </w:t>
      </w:r>
      <w:r w:rsidR="002104DA">
        <w:rPr>
          <w:rFonts w:cs="David"/>
          <w:sz w:val="26"/>
          <w:szCs w:val="26"/>
          <w:rtl/>
        </w:rPr>
        <w:t xml:space="preserve">הנכבד </w:t>
      </w:r>
      <w:r w:rsidRPr="00580511">
        <w:rPr>
          <w:rFonts w:cs="David"/>
          <w:sz w:val="26"/>
          <w:szCs w:val="26"/>
          <w:rtl/>
        </w:rPr>
        <w:t>קמא כאשר דחה את תביעתו של המערער בעניין חוזה העבודה</w:t>
      </w:r>
    </w:p>
    <w:p w:rsidR="002A1C7D" w:rsidRDefault="002A1C7D" w:rsidP="002A1C7D">
      <w:pPr>
        <w:pStyle w:val="a8"/>
        <w:tabs>
          <w:tab w:val="left" w:pos="674"/>
        </w:tabs>
        <w:spacing w:after="240" w:line="360" w:lineRule="auto"/>
        <w:ind w:left="44"/>
        <w:rPr>
          <w:rFonts w:cs="David"/>
          <w:rtl/>
        </w:rPr>
      </w:pPr>
      <w:r>
        <w:rPr>
          <w:rFonts w:cs="David"/>
          <w:rtl/>
        </w:rPr>
        <w:tab/>
        <w:t xml:space="preserve">טעה בית הדין </w:t>
      </w:r>
      <w:r w:rsidR="002104DA">
        <w:rPr>
          <w:rFonts w:cs="David"/>
          <w:rtl/>
        </w:rPr>
        <w:t xml:space="preserve">הנכבד </w:t>
      </w:r>
      <w:r>
        <w:rPr>
          <w:rFonts w:cs="David"/>
          <w:rtl/>
        </w:rPr>
        <w:t>קמא כאשר קבע כי עילת התביעה לתשלום שכר וזכויות סוציאליות מכוח חוזה הבכירים התגבשה בחודש אוגוסט 2012, עת נדרש המערער לא להגיע עוד למקום עבודתו. כפי שנסביר להלן, העילה התגבשה לראשונה רק במועד שבו קיבל המערער החלטה על הפרשתו לגמלאות בחודש דצמבר 2012.</w:t>
      </w:r>
    </w:p>
    <w:p w:rsidR="002A1C7D" w:rsidRDefault="002A1C7D" w:rsidP="002A1C7D">
      <w:pPr>
        <w:pStyle w:val="a8"/>
        <w:tabs>
          <w:tab w:val="left" w:pos="674"/>
        </w:tabs>
        <w:spacing w:after="240" w:line="360" w:lineRule="auto"/>
        <w:ind w:left="44"/>
        <w:rPr>
          <w:rFonts w:cs="David"/>
        </w:rPr>
      </w:pPr>
      <w:r>
        <w:rPr>
          <w:rFonts w:cs="David"/>
          <w:rtl/>
        </w:rPr>
        <w:tab/>
        <w:t>ממילא – מדובר בתביעה לתשלום שכר עד תום תקופת חוזה הבכירים, ויש להתייחס לכל חודש שכר כאמור כעילה נפרדת, כאשר הזכות לתבוע אותה קמה מדי חודש בחודשו.</w:t>
      </w:r>
    </w:p>
    <w:p w:rsidR="00355243" w:rsidRDefault="00355243" w:rsidP="002A1C7D">
      <w:pPr>
        <w:pStyle w:val="a8"/>
        <w:tabs>
          <w:tab w:val="left" w:pos="674"/>
        </w:tabs>
        <w:spacing w:after="240" w:line="360" w:lineRule="auto"/>
        <w:ind w:left="44"/>
        <w:rPr>
          <w:rFonts w:cs="David"/>
          <w:b/>
          <w:bCs/>
          <w:u w:val="single"/>
          <w:rtl/>
        </w:rPr>
      </w:pPr>
    </w:p>
    <w:p w:rsidR="002A1C7D" w:rsidRPr="00580511" w:rsidRDefault="002A1C7D" w:rsidP="002A1C7D">
      <w:pPr>
        <w:pStyle w:val="a8"/>
        <w:tabs>
          <w:tab w:val="left" w:pos="674"/>
        </w:tabs>
        <w:spacing w:after="240" w:line="360" w:lineRule="auto"/>
        <w:ind w:left="44"/>
        <w:rPr>
          <w:rFonts w:cs="David"/>
          <w:b/>
          <w:bCs/>
          <w:u w:val="single"/>
        </w:rPr>
      </w:pPr>
      <w:r>
        <w:rPr>
          <w:rFonts w:cs="David"/>
          <w:b/>
          <w:bCs/>
          <w:u w:val="single"/>
          <w:rtl/>
        </w:rPr>
        <w:lastRenderedPageBreak/>
        <w:t>עילת התביעה</w:t>
      </w:r>
    </w:p>
    <w:p w:rsidR="00C02D74" w:rsidRPr="00C02D74" w:rsidRDefault="002A1C7D" w:rsidP="005352AE">
      <w:pPr>
        <w:numPr>
          <w:ilvl w:val="0"/>
          <w:numId w:val="1"/>
        </w:numPr>
        <w:tabs>
          <w:tab w:val="left" w:pos="674"/>
        </w:tabs>
        <w:spacing w:after="240" w:line="360" w:lineRule="auto"/>
        <w:ind w:left="674" w:hanging="630"/>
        <w:jc w:val="both"/>
        <w:rPr>
          <w:rFonts w:ascii="David" w:hAnsi="David" w:cs="David"/>
        </w:rPr>
      </w:pPr>
      <w:r w:rsidRPr="005352AE">
        <w:rPr>
          <w:rFonts w:cs="David"/>
          <w:rtl/>
        </w:rPr>
        <w:t xml:space="preserve">בראשית הדברים בפרק זה נשוב ונחזור על הדברים שנכתבו במפורש בכתב התביעה - </w:t>
      </w:r>
      <w:r w:rsidRPr="005352AE">
        <w:rPr>
          <w:rFonts w:cs="David"/>
          <w:b/>
          <w:bCs/>
          <w:rtl/>
        </w:rPr>
        <w:t xml:space="preserve">במשך מספר חודשים </w:t>
      </w:r>
      <w:r w:rsidR="005352AE" w:rsidRPr="005352AE">
        <w:rPr>
          <w:rFonts w:cs="David"/>
          <w:b/>
          <w:bCs/>
          <w:rtl/>
        </w:rPr>
        <w:t>ל</w:t>
      </w:r>
      <w:r w:rsidR="005352AE" w:rsidRPr="00592C88">
        <w:rPr>
          <w:rFonts w:cs="David"/>
          <w:b/>
          <w:bCs/>
          <w:rtl/>
        </w:rPr>
        <w:t>א הודיע הגורם המוסמך (נציב שרות המדינה) למערער על ההחלטה להפסיק את העסקתו ע"פ החוזה,</w:t>
      </w:r>
      <w:r w:rsidR="005352AE" w:rsidRPr="005352AE">
        <w:rPr>
          <w:rFonts w:cs="David"/>
          <w:b/>
          <w:bCs/>
          <w:rtl/>
        </w:rPr>
        <w:t xml:space="preserve"> </w:t>
      </w:r>
      <w:r w:rsidRPr="005352AE">
        <w:rPr>
          <w:rFonts w:cs="David"/>
          <w:b/>
          <w:bCs/>
          <w:rtl/>
        </w:rPr>
        <w:t xml:space="preserve">המדינה </w:t>
      </w:r>
      <w:r w:rsidR="005352AE" w:rsidRPr="005352AE">
        <w:rPr>
          <w:rFonts w:cs="David"/>
          <w:b/>
          <w:bCs/>
          <w:rtl/>
        </w:rPr>
        <w:t>לא העבירה</w:t>
      </w:r>
      <w:r w:rsidR="005352AE">
        <w:rPr>
          <w:rFonts w:cs="David"/>
          <w:b/>
          <w:bCs/>
          <w:rtl/>
        </w:rPr>
        <w:t xml:space="preserve"> </w:t>
      </w:r>
      <w:r w:rsidRPr="00F93EE6">
        <w:rPr>
          <w:rFonts w:cs="David"/>
          <w:b/>
          <w:bCs/>
          <w:rtl/>
        </w:rPr>
        <w:t>למשיב הודעה בעניין גמלתו, ולא שילמה את גמלתו.</w:t>
      </w:r>
      <w:r>
        <w:rPr>
          <w:rFonts w:cs="David"/>
          <w:rtl/>
        </w:rPr>
        <w:t xml:space="preserve"> </w:t>
      </w:r>
    </w:p>
    <w:p w:rsidR="002A1C7D" w:rsidRDefault="002A1C7D" w:rsidP="00C02D74">
      <w:pPr>
        <w:tabs>
          <w:tab w:val="left" w:pos="674"/>
        </w:tabs>
        <w:spacing w:after="240" w:line="360" w:lineRule="auto"/>
        <w:ind w:left="674"/>
        <w:jc w:val="both"/>
        <w:rPr>
          <w:rFonts w:ascii="David" w:hAnsi="David" w:cs="David"/>
        </w:rPr>
      </w:pPr>
      <w:r>
        <w:rPr>
          <w:rFonts w:cs="David"/>
          <w:rtl/>
        </w:rPr>
        <w:t xml:space="preserve">על כך כתבנו, בסעיף 5 סיפא לכתב </w:t>
      </w:r>
      <w:r>
        <w:rPr>
          <w:rFonts w:ascii="David" w:hAnsi="David" w:cs="David"/>
          <w:rtl/>
        </w:rPr>
        <w:t>התביעה – "</w:t>
      </w:r>
      <w:r>
        <w:rPr>
          <w:rFonts w:ascii="David" w:hAnsi="David" w:cs="David"/>
          <w:i/>
          <w:iCs/>
          <w:rtl/>
        </w:rPr>
        <w:t xml:space="preserve">בכך פעלו הנתבעות, או מי מהן, בניגוד מוחלט להוראות הדין, בעניין הוצאתו של התובע לגימלאות, ויצרו מצב משפטי (אבסורדי, יש לציין) לפיו </w:t>
      </w:r>
      <w:r>
        <w:rPr>
          <w:rFonts w:ascii="David" w:hAnsi="David" w:cs="David"/>
          <w:b/>
          <w:bCs/>
          <w:i/>
          <w:iCs/>
          <w:rtl/>
        </w:rPr>
        <w:t>התובע לא הופרש לגמלאות, אך עבודתו בפועל הופסקה</w:t>
      </w:r>
      <w:r>
        <w:rPr>
          <w:rFonts w:ascii="David" w:hAnsi="David" w:cs="David"/>
          <w:rtl/>
        </w:rPr>
        <w:t>".</w:t>
      </w:r>
    </w:p>
    <w:p w:rsidR="002A1C7D" w:rsidRPr="009D2BE7" w:rsidRDefault="00CB2B5B" w:rsidP="00CB2B5B">
      <w:pPr>
        <w:pStyle w:val="a8"/>
        <w:tabs>
          <w:tab w:val="left" w:pos="674"/>
        </w:tabs>
        <w:spacing w:after="240" w:line="360" w:lineRule="auto"/>
        <w:ind w:left="674"/>
        <w:rPr>
          <w:rFonts w:cs="David"/>
          <w:b/>
          <w:bCs/>
          <w:u w:val="single"/>
        </w:rPr>
      </w:pPr>
      <w:r w:rsidRPr="00CB2B5B">
        <w:rPr>
          <w:rFonts w:cs="David"/>
          <w:rtl/>
        </w:rPr>
        <w:t xml:space="preserve">כלומר, </w:t>
      </w:r>
      <w:r w:rsidRPr="00CB2B5B">
        <w:rPr>
          <w:rFonts w:cs="David"/>
          <w:b/>
          <w:bCs/>
          <w:rtl/>
        </w:rPr>
        <w:t>זכות התביעה לא קמה לפני</w:t>
      </w:r>
      <w:r w:rsidRPr="00CB2B5B">
        <w:rPr>
          <w:rFonts w:cs="David"/>
          <w:rtl/>
        </w:rPr>
        <w:t xml:space="preserve"> </w:t>
      </w:r>
      <w:r w:rsidRPr="00CB2B5B">
        <w:rPr>
          <w:rFonts w:cs="David"/>
          <w:b/>
          <w:bCs/>
          <w:rtl/>
        </w:rPr>
        <w:t>חודש דצמבר 2012, עת קיבל המשיב את החלטת נציב שירות המדינה, את ההחלטה בעניין הגמלה ובהמשך את הגמלה עצמה, והוא הופרש מעבודתו במדינה</w:t>
      </w:r>
    </w:p>
    <w:p w:rsidR="002A1C7D" w:rsidRDefault="002A1C7D" w:rsidP="00F756EA">
      <w:pPr>
        <w:pStyle w:val="a8"/>
        <w:numPr>
          <w:ilvl w:val="0"/>
          <w:numId w:val="1"/>
        </w:numPr>
        <w:tabs>
          <w:tab w:val="left" w:pos="674"/>
        </w:tabs>
        <w:spacing w:after="240" w:line="360" w:lineRule="auto"/>
        <w:ind w:left="674" w:hanging="630"/>
        <w:rPr>
          <w:rFonts w:cs="David"/>
        </w:rPr>
      </w:pPr>
      <w:r>
        <w:rPr>
          <w:rFonts w:cs="David"/>
          <w:rtl/>
        </w:rPr>
        <w:t>לעניין עילת התביעה, נפנה לפסק הדין בעניין רחל קידר, שניתן ביום 6.8.2019 (</w:t>
      </w:r>
      <w:r w:rsidRPr="00D76C15">
        <w:rPr>
          <w:rFonts w:cs="David"/>
          <w:rtl/>
        </w:rPr>
        <w:t xml:space="preserve">עע 23928-09/18  </w:t>
      </w:r>
      <w:r w:rsidRPr="00D76C15">
        <w:rPr>
          <w:rFonts w:cs="David"/>
          <w:b/>
          <w:bCs/>
          <w:rtl/>
        </w:rPr>
        <w:t>שירותי בריאות כללית נ' רחל קידר, קרן הגמלאות המרכזית של עובדי ההסתדרות</w:t>
      </w:r>
      <w:r>
        <w:rPr>
          <w:rFonts w:cs="David"/>
          <w:b/>
          <w:bCs/>
          <w:rtl/>
        </w:rPr>
        <w:t xml:space="preserve"> ואח'</w:t>
      </w:r>
      <w:r w:rsidRPr="00D76C15">
        <w:rPr>
          <w:rFonts w:cs="David"/>
          <w:rtl/>
        </w:rPr>
        <w:t>)</w:t>
      </w:r>
      <w:r>
        <w:rPr>
          <w:rFonts w:cs="David"/>
          <w:rtl/>
        </w:rPr>
        <w:t xml:space="preserve">, וחוזר על ההלכות המוזכרות גם בפסק הדין. בפסק דין קידר האמור נקבע, בין היתר, כי - </w:t>
      </w:r>
    </w:p>
    <w:p w:rsidR="002A1C7D" w:rsidRPr="002A1C7D" w:rsidRDefault="002A1C7D" w:rsidP="002A1C7D">
      <w:pPr>
        <w:spacing w:line="360" w:lineRule="auto"/>
        <w:ind w:left="944" w:right="540"/>
        <w:contextualSpacing/>
        <w:jc w:val="both"/>
        <w:rPr>
          <w:lang w:eastAsia="en-US"/>
        </w:rPr>
      </w:pPr>
      <w:r w:rsidRPr="002A1C7D">
        <w:rPr>
          <w:u w:val="single"/>
          <w:rtl/>
        </w:rPr>
        <w:t>"</w:t>
      </w:r>
      <w:hyperlink r:id="rId9" w:tgtFrame="Hok_29416" w:history="1">
        <w:r w:rsidRPr="002A1C7D">
          <w:rPr>
            <w:rStyle w:val="Hyperlink"/>
            <w:color w:val="auto"/>
            <w:rtl/>
          </w:rPr>
          <w:t>סעיף 6 לחוק ההתיישנות, התשי"ח-1958</w:t>
        </w:r>
      </w:hyperlink>
      <w:r w:rsidRPr="002A1C7D">
        <w:rPr>
          <w:rtl/>
        </w:rPr>
        <w:t xml:space="preserve"> (להלן – </w:t>
      </w:r>
      <w:hyperlink r:id="rId10" w:tgtFrame="Hok_29416" w:history="1">
        <w:r w:rsidRPr="002A1C7D">
          <w:rPr>
            <w:rStyle w:val="Hyperlink"/>
            <w:b/>
            <w:bCs/>
            <w:color w:val="auto"/>
            <w:rtl/>
          </w:rPr>
          <w:t>חוק ההתיישנות</w:t>
        </w:r>
      </w:hyperlink>
      <w:r w:rsidRPr="002A1C7D">
        <w:rPr>
          <w:rtl/>
        </w:rPr>
        <w:t xml:space="preserve">) קובע כי "תקופת ההתיישנות מתחילה ביום שבו נולדה עילת התובענה." בהקשר למונח "עילת תובענה" נאמר </w:t>
      </w:r>
      <w:hyperlink r:id="rId11" w:tgtFrame="Psak_191372" w:history="1">
        <w:r w:rsidRPr="002A1C7D">
          <w:rPr>
            <w:rStyle w:val="Hyperlink"/>
            <w:color w:val="auto"/>
            <w:rtl/>
          </w:rPr>
          <w:t>ע"א 735/07</w:t>
        </w:r>
      </w:hyperlink>
      <w:r w:rsidRPr="002A1C7D">
        <w:rPr>
          <w:rtl/>
        </w:rPr>
        <w:t xml:space="preserve"> </w:t>
      </w:r>
      <w:r w:rsidRPr="002A1C7D">
        <w:rPr>
          <w:b/>
          <w:bCs/>
          <w:rtl/>
        </w:rPr>
        <w:t>צמרות חברה לבנין נ' בנק המזרחי</w:t>
      </w:r>
      <w:r w:rsidRPr="002A1C7D">
        <w:rPr>
          <w:rtl/>
        </w:rPr>
        <w:t xml:space="preserve"> (5.1.11) נאמר כך: </w:t>
      </w:r>
    </w:p>
    <w:p w:rsidR="002A1C7D" w:rsidRPr="002A1C7D" w:rsidRDefault="002A1C7D" w:rsidP="002A1C7D">
      <w:pPr>
        <w:tabs>
          <w:tab w:val="left" w:pos="509"/>
        </w:tabs>
        <w:overflowPunct w:val="0"/>
        <w:autoSpaceDE w:val="0"/>
        <w:autoSpaceDN w:val="0"/>
        <w:adjustRightInd w:val="0"/>
        <w:ind w:left="944" w:right="540"/>
        <w:jc w:val="both"/>
        <w:rPr>
          <w:b/>
          <w:bCs/>
          <w:spacing w:val="10"/>
          <w:rtl/>
        </w:rPr>
      </w:pPr>
    </w:p>
    <w:p w:rsidR="002A1C7D" w:rsidRPr="00956C59" w:rsidRDefault="002A1C7D" w:rsidP="00523912">
      <w:pPr>
        <w:overflowPunct w:val="0"/>
        <w:autoSpaceDE w:val="0"/>
        <w:autoSpaceDN w:val="0"/>
        <w:adjustRightInd w:val="0"/>
        <w:spacing w:after="120" w:line="360" w:lineRule="auto"/>
        <w:ind w:left="1210" w:right="806"/>
        <w:jc w:val="both"/>
        <w:rPr>
          <w:b/>
          <w:bCs/>
          <w:spacing w:val="10"/>
          <w:rtl/>
        </w:rPr>
      </w:pPr>
      <w:r w:rsidRPr="002A1C7D">
        <w:rPr>
          <w:b/>
          <w:bCs/>
          <w:spacing w:val="10"/>
          <w:rtl/>
        </w:rPr>
        <w:t xml:space="preserve">"המושג "עילת תובענה" לצורך תחילת מניין תקופת ההתיישנות נבחן על פי הדין המהותי, בשילוב עם נתונים נוספים, הרלבנטיים להקשר של התיישנות, ובהם קיום אפשרות מעשית בידי תובע לפנות לבית המשפט לצורך הגשת תביעה, בבחינת "כוח תביעה" שרק עם התגבשותו, מתחיל מניין ההתיישנות ... "כוח תביעה" במשמעות זו פירושו קיום אפשרות ממשית בידי תובע להגיש תביעה משפטית ולזכות בסעד המבוקש, ככל שהוא יעמוד בנטל ההוכחה העובדתי ובנטל הביסוס המשפטי של תביעתו. המועד להיווצרות עילת התובענה לצורך התיישנות הוא, אפוא, המועד שבו נתגבשו העובדות המקימות זכות לסעד, וכאשר נתון בידי התובע כוח קונקרטי </w:t>
      </w:r>
      <w:r w:rsidRPr="002A1C7D">
        <w:rPr>
          <w:b/>
          <w:bCs/>
          <w:rtl/>
        </w:rPr>
        <w:t>לממש</w:t>
      </w:r>
      <w:r w:rsidRPr="002A1C7D">
        <w:rPr>
          <w:b/>
          <w:bCs/>
          <w:spacing w:val="10"/>
          <w:rtl/>
        </w:rPr>
        <w:t xml:space="preserve"> הלכה למעשה את זכות התביעה שבידו בדרך של פנייה לערכאות. אין די בקיום זכות תביעה מושגית-תיאורטית בלבד בידי התובע. נדרשת בשלות של זכות התביעה במובן קיומו של כוח, הלכה למעשה, לפנות לבית המשפט בתביעה משפטית, ולזכות בסעד אם תוכח התביעה ...  רק משמתקיימים תנאים אלה במלואם, מתחיל </w:t>
      </w:r>
      <w:r w:rsidRPr="00956C59">
        <w:rPr>
          <w:b/>
          <w:bCs/>
          <w:spacing w:val="10"/>
          <w:rtl/>
        </w:rPr>
        <w:t>מירוץ ההתיישנות".</w:t>
      </w:r>
    </w:p>
    <w:p w:rsidR="002A1C7D" w:rsidRPr="00745FA4" w:rsidRDefault="002A1C7D" w:rsidP="002A1C7D">
      <w:pPr>
        <w:tabs>
          <w:tab w:val="left" w:pos="509"/>
        </w:tabs>
        <w:overflowPunct w:val="0"/>
        <w:autoSpaceDE w:val="0"/>
        <w:autoSpaceDN w:val="0"/>
        <w:adjustRightInd w:val="0"/>
        <w:ind w:left="793" w:right="851"/>
        <w:jc w:val="both"/>
        <w:rPr>
          <w:rFonts w:ascii="David" w:hAnsi="David"/>
          <w:b/>
          <w:bCs/>
          <w:spacing w:val="10"/>
          <w:sz w:val="28"/>
          <w:szCs w:val="28"/>
          <w:rtl/>
        </w:rPr>
      </w:pPr>
    </w:p>
    <w:p w:rsidR="002A1C7D" w:rsidRPr="00164CDC" w:rsidRDefault="002A1C7D" w:rsidP="00CB2B5B">
      <w:pPr>
        <w:pStyle w:val="a8"/>
        <w:numPr>
          <w:ilvl w:val="0"/>
          <w:numId w:val="1"/>
        </w:numPr>
        <w:tabs>
          <w:tab w:val="left" w:pos="674"/>
        </w:tabs>
        <w:spacing w:after="240" w:line="360" w:lineRule="auto"/>
        <w:ind w:left="674" w:hanging="630"/>
        <w:rPr>
          <w:rFonts w:cs="David"/>
        </w:rPr>
      </w:pPr>
      <w:r w:rsidRPr="00745FA4">
        <w:rPr>
          <w:rFonts w:cs="David"/>
          <w:rtl/>
        </w:rPr>
        <w:lastRenderedPageBreak/>
        <w:t xml:space="preserve">ובמלים פשוטות </w:t>
      </w:r>
      <w:r w:rsidRPr="00164CDC">
        <w:rPr>
          <w:rFonts w:cs="David"/>
          <w:rtl/>
        </w:rPr>
        <w:t xml:space="preserve">– רק </w:t>
      </w:r>
      <w:r w:rsidRPr="00164CDC">
        <w:rPr>
          <w:rFonts w:cs="David"/>
          <w:b/>
          <w:bCs/>
          <w:rtl/>
        </w:rPr>
        <w:t>כאשר יש בידי התובע את הכוח להגיש את התביעה, מתחיל מירוץ ההתיישנות.</w:t>
      </w:r>
      <w:r w:rsidRPr="00164CDC">
        <w:rPr>
          <w:rFonts w:cs="David"/>
          <w:rtl/>
        </w:rPr>
        <w:t xml:space="preserve"> בענייננו – המערער יטען כי</w:t>
      </w:r>
      <w:r w:rsidR="00592C88" w:rsidRPr="00164CDC">
        <w:rPr>
          <w:rFonts w:cs="David"/>
          <w:rtl/>
        </w:rPr>
        <w:t xml:space="preserve"> </w:t>
      </w:r>
      <w:r w:rsidR="00CB2B5B">
        <w:rPr>
          <w:rFonts w:cs="David"/>
          <w:rtl/>
        </w:rPr>
        <w:t>מירוץ ההתיישנות לא מתחיל לפני ה</w:t>
      </w:r>
      <w:r w:rsidR="00592C88" w:rsidRPr="00164CDC">
        <w:rPr>
          <w:rFonts w:cs="David"/>
          <w:rtl/>
        </w:rPr>
        <w:t>מועד בו ניתנה החלטת הגורם המוסמך על הפ</w:t>
      </w:r>
      <w:r w:rsidR="00CB2B5B">
        <w:rPr>
          <w:rFonts w:cs="David"/>
          <w:rtl/>
        </w:rPr>
        <w:t>סקת עבודתו</w:t>
      </w:r>
      <w:r w:rsidR="00592C88" w:rsidRPr="00164CDC">
        <w:rPr>
          <w:rFonts w:cs="David"/>
          <w:rtl/>
        </w:rPr>
        <w:t>.</w:t>
      </w:r>
      <w:r w:rsidR="00EE5402" w:rsidRPr="00164CDC">
        <w:rPr>
          <w:rFonts w:cs="David"/>
          <w:rtl/>
        </w:rPr>
        <w:t xml:space="preserve"> </w:t>
      </w:r>
    </w:p>
    <w:p w:rsidR="002A1C7D" w:rsidRPr="00956C59" w:rsidRDefault="002A1C7D" w:rsidP="00F756EA">
      <w:pPr>
        <w:pStyle w:val="a8"/>
        <w:numPr>
          <w:ilvl w:val="0"/>
          <w:numId w:val="1"/>
        </w:numPr>
        <w:tabs>
          <w:tab w:val="left" w:pos="674"/>
        </w:tabs>
        <w:spacing w:after="240" w:line="360" w:lineRule="auto"/>
        <w:ind w:left="674" w:hanging="630"/>
        <w:rPr>
          <w:rFonts w:cs="David"/>
        </w:rPr>
      </w:pPr>
      <w:r w:rsidRPr="00956C59">
        <w:rPr>
          <w:rFonts w:cs="David"/>
          <w:b/>
          <w:bCs/>
          <w:rtl/>
        </w:rPr>
        <w:t xml:space="preserve">טעה בית דין קמא בעניין ההחלטה על הפסקת עבודתו של המערער – </w:t>
      </w:r>
    </w:p>
    <w:p w:rsidR="002A1C7D" w:rsidRPr="00AD5378" w:rsidRDefault="002A1C7D" w:rsidP="000C1CD1">
      <w:pPr>
        <w:pStyle w:val="a8"/>
        <w:numPr>
          <w:ilvl w:val="1"/>
          <w:numId w:val="1"/>
        </w:numPr>
        <w:tabs>
          <w:tab w:val="left" w:pos="1394"/>
        </w:tabs>
        <w:spacing w:after="240" w:line="360" w:lineRule="auto"/>
        <w:ind w:left="1394" w:hanging="630"/>
        <w:rPr>
          <w:rFonts w:cs="David"/>
        </w:rPr>
      </w:pPr>
      <w:r w:rsidRPr="00745FA4">
        <w:rPr>
          <w:rFonts w:cs="David"/>
          <w:rtl/>
        </w:rPr>
        <w:t>המערער יטען כי בכל הכבוד למשרד האוצר, הגורם היחידי שמוסמך להחליט על סיום תפקידו</w:t>
      </w:r>
      <w:r w:rsidRPr="00AD5378">
        <w:rPr>
          <w:rFonts w:cs="David"/>
          <w:rtl/>
        </w:rPr>
        <w:t xml:space="preserve"> הוא נצי</w:t>
      </w:r>
      <w:r w:rsidR="000C1CD1">
        <w:rPr>
          <w:rFonts w:cs="David"/>
          <w:rtl/>
        </w:rPr>
        <w:t>ב</w:t>
      </w:r>
      <w:r w:rsidRPr="00AD5378">
        <w:rPr>
          <w:rFonts w:cs="David"/>
          <w:rtl/>
        </w:rPr>
        <w:t xml:space="preserve"> השירות</w:t>
      </w:r>
      <w:r w:rsidR="00C02D74">
        <w:rPr>
          <w:rFonts w:cs="David"/>
          <w:rtl/>
        </w:rPr>
        <w:t xml:space="preserve"> (שהחלטתו במקרה של המערער ניתנה בניגוד לדין)</w:t>
      </w:r>
      <w:r w:rsidRPr="00AD5378">
        <w:rPr>
          <w:rFonts w:cs="David"/>
          <w:rtl/>
        </w:rPr>
        <w:t xml:space="preserve">. לפיכך, המכתב של החשבת הכללית דאז בחודש אוגוסט 2012 </w:t>
      </w:r>
      <w:r w:rsidR="00E126B3" w:rsidRPr="00574032">
        <w:rPr>
          <w:rFonts w:cs="David"/>
          <w:rtl/>
        </w:rPr>
        <w:t>ש</w:t>
      </w:r>
      <w:r w:rsidR="004A5F15">
        <w:rPr>
          <w:rFonts w:cs="David"/>
          <w:rtl/>
        </w:rPr>
        <w:t xml:space="preserve">בפועל </w:t>
      </w:r>
      <w:r w:rsidR="00E126B3" w:rsidRPr="00574032">
        <w:rPr>
          <w:rFonts w:cs="David"/>
          <w:b/>
          <w:bCs/>
          <w:rtl/>
        </w:rPr>
        <w:t>רק מבטלת את סמכויותיו כחשב להתחייב בשם המדינה</w:t>
      </w:r>
      <w:r w:rsidR="00E126B3" w:rsidRPr="00574032">
        <w:rPr>
          <w:rFonts w:cs="David"/>
          <w:rtl/>
        </w:rPr>
        <w:t xml:space="preserve">,  </w:t>
      </w:r>
      <w:r w:rsidRPr="00AD5378">
        <w:rPr>
          <w:rFonts w:cs="David"/>
          <w:rtl/>
        </w:rPr>
        <w:t>לא יכול היה להפסיק את עבודתו בשירות המדינה.</w:t>
      </w:r>
    </w:p>
    <w:p w:rsidR="002A1C7D" w:rsidRPr="00912F96" w:rsidRDefault="002A1C7D" w:rsidP="000C1CD1">
      <w:pPr>
        <w:pStyle w:val="a8"/>
        <w:numPr>
          <w:ilvl w:val="1"/>
          <w:numId w:val="1"/>
        </w:numPr>
        <w:tabs>
          <w:tab w:val="left" w:pos="1394"/>
        </w:tabs>
        <w:spacing w:after="240" w:line="360" w:lineRule="auto"/>
        <w:ind w:left="1394" w:hanging="630"/>
        <w:rPr>
          <w:rFonts w:cs="David"/>
        </w:rPr>
      </w:pPr>
      <w:r w:rsidRPr="00912F96">
        <w:rPr>
          <w:rFonts w:cs="David"/>
          <w:b/>
          <w:bCs/>
          <w:rtl/>
        </w:rPr>
        <w:t xml:space="preserve">הגורם המוסמך להפסקת עבודתו של הממונה הוא </w:t>
      </w:r>
      <w:r w:rsidRPr="00AD5378">
        <w:rPr>
          <w:rFonts w:cs="David"/>
          <w:b/>
          <w:bCs/>
          <w:rtl/>
        </w:rPr>
        <w:t>נצי</w:t>
      </w:r>
      <w:r w:rsidR="00E126B3" w:rsidRPr="00574032">
        <w:rPr>
          <w:rFonts w:cs="David"/>
          <w:b/>
          <w:bCs/>
          <w:rtl/>
        </w:rPr>
        <w:t>ב ה</w:t>
      </w:r>
      <w:r w:rsidRPr="00AD5378">
        <w:rPr>
          <w:rFonts w:cs="David"/>
          <w:b/>
          <w:bCs/>
          <w:rtl/>
        </w:rPr>
        <w:t>שירות</w:t>
      </w:r>
      <w:r>
        <w:rPr>
          <w:rFonts w:cs="David"/>
          <w:rtl/>
        </w:rPr>
        <w:t xml:space="preserve"> – כאמור בסעיף 4 לחוזה הבכירים (שאותו ציטט בית הדין קמא בסעיף 2 לפסק הדין, תוך התעלמות ממשמעותו). </w:t>
      </w:r>
      <w:r w:rsidR="000C1CD1">
        <w:rPr>
          <w:rFonts w:cs="David"/>
          <w:rtl/>
        </w:rPr>
        <w:t xml:space="preserve">נזכיר כי </w:t>
      </w:r>
      <w:r w:rsidR="000C1CD1">
        <w:rPr>
          <w:rFonts w:cs="David"/>
          <w:b/>
          <w:bCs/>
          <w:rtl/>
        </w:rPr>
        <w:t>החלטת</w:t>
      </w:r>
      <w:r w:rsidR="000C1CD1" w:rsidRPr="00912F96">
        <w:rPr>
          <w:rFonts w:cs="David"/>
          <w:b/>
          <w:bCs/>
          <w:rtl/>
        </w:rPr>
        <w:t xml:space="preserve"> </w:t>
      </w:r>
      <w:r w:rsidRPr="00912F96">
        <w:rPr>
          <w:rFonts w:cs="David"/>
          <w:b/>
          <w:bCs/>
          <w:rtl/>
        </w:rPr>
        <w:t xml:space="preserve">נציב השירות </w:t>
      </w:r>
      <w:r w:rsidR="000C1CD1">
        <w:rPr>
          <w:rFonts w:cs="David"/>
          <w:b/>
          <w:bCs/>
          <w:rtl/>
        </w:rPr>
        <w:t>נמסרה למערער</w:t>
      </w:r>
      <w:r w:rsidRPr="00912F96">
        <w:rPr>
          <w:rFonts w:cs="David"/>
          <w:b/>
          <w:bCs/>
          <w:rtl/>
        </w:rPr>
        <w:t xml:space="preserve"> רק בחודש דצמבר 2012.</w:t>
      </w:r>
    </w:p>
    <w:p w:rsidR="002A1C7D" w:rsidRDefault="002A1C7D" w:rsidP="0092761A">
      <w:pPr>
        <w:pStyle w:val="a8"/>
        <w:numPr>
          <w:ilvl w:val="1"/>
          <w:numId w:val="1"/>
        </w:numPr>
        <w:tabs>
          <w:tab w:val="left" w:pos="1394"/>
        </w:tabs>
        <w:spacing w:after="240" w:line="360" w:lineRule="auto"/>
        <w:ind w:left="1394" w:hanging="630"/>
        <w:rPr>
          <w:rFonts w:cs="David"/>
        </w:rPr>
      </w:pPr>
      <w:r>
        <w:rPr>
          <w:rFonts w:cs="David"/>
          <w:rtl/>
        </w:rPr>
        <w:t xml:space="preserve">המערער יוסיף ויטען כי קביעתו השגויה של בית הדין קמא כי כבר </w:t>
      </w:r>
      <w:r w:rsidR="0092761A">
        <w:rPr>
          <w:rFonts w:cs="David"/>
          <w:rtl/>
        </w:rPr>
        <w:t>ביום 5.8.2012, ה</w:t>
      </w:r>
      <w:r>
        <w:rPr>
          <w:rFonts w:cs="David"/>
          <w:rtl/>
        </w:rPr>
        <w:t xml:space="preserve">מועד שבו חתמה החשבת </w:t>
      </w:r>
      <w:r w:rsidR="0092761A">
        <w:rPr>
          <w:rFonts w:cs="David"/>
          <w:rtl/>
        </w:rPr>
        <w:t xml:space="preserve">הכללית דאז </w:t>
      </w:r>
      <w:r>
        <w:rPr>
          <w:rFonts w:cs="David"/>
          <w:rtl/>
        </w:rPr>
        <w:t xml:space="preserve">על מכתב </w:t>
      </w:r>
      <w:r w:rsidR="0092761A">
        <w:rPr>
          <w:rFonts w:cs="David"/>
          <w:rtl/>
        </w:rPr>
        <w:t xml:space="preserve">השולל את סמכויותיו של המערער, </w:t>
      </w:r>
      <w:r>
        <w:rPr>
          <w:rFonts w:cs="David"/>
          <w:rtl/>
        </w:rPr>
        <w:t xml:space="preserve">קמה עילת התביעה </w:t>
      </w:r>
      <w:r w:rsidR="0092761A">
        <w:rPr>
          <w:rFonts w:cs="David"/>
          <w:rtl/>
        </w:rPr>
        <w:t xml:space="preserve">- </w:t>
      </w:r>
      <w:r>
        <w:rPr>
          <w:rFonts w:cs="David"/>
          <w:rtl/>
        </w:rPr>
        <w:t>אינה הגיונית, בכל הכבוד, שכן נ</w:t>
      </w:r>
      <w:r w:rsidRPr="00912F96">
        <w:rPr>
          <w:rFonts w:cs="David"/>
          <w:rtl/>
        </w:rPr>
        <w:t xml:space="preserve">ציבות שרות המדינה </w:t>
      </w:r>
      <w:r>
        <w:rPr>
          <w:rFonts w:cs="David"/>
          <w:rtl/>
        </w:rPr>
        <w:t xml:space="preserve">היא שחתומה על החוזה, והיא </w:t>
      </w:r>
      <w:r w:rsidRPr="00912F96">
        <w:rPr>
          <w:rFonts w:cs="David"/>
          <w:rtl/>
        </w:rPr>
        <w:t>לא הפסיקה את עבודתו ולא הפרה את החוזה</w:t>
      </w:r>
      <w:r>
        <w:rPr>
          <w:rFonts w:cs="David"/>
          <w:rtl/>
        </w:rPr>
        <w:t xml:space="preserve"> בחודש אוגוסט 2012, ולכן הוא כלל לא יכול היה לתבוע בהיעדר החלטה של הנציבות.</w:t>
      </w:r>
    </w:p>
    <w:p w:rsidR="002A1C7D" w:rsidRPr="00592C88" w:rsidRDefault="002A1C7D" w:rsidP="00E9558F">
      <w:pPr>
        <w:pStyle w:val="a8"/>
        <w:numPr>
          <w:ilvl w:val="1"/>
          <w:numId w:val="1"/>
        </w:numPr>
        <w:tabs>
          <w:tab w:val="left" w:pos="1394"/>
        </w:tabs>
        <w:spacing w:after="240" w:line="360" w:lineRule="auto"/>
        <w:ind w:left="1394" w:hanging="630"/>
        <w:rPr>
          <w:rFonts w:cs="David"/>
        </w:rPr>
      </w:pPr>
      <w:r w:rsidRPr="00592C88">
        <w:rPr>
          <w:rFonts w:cs="David"/>
          <w:b/>
          <w:bCs/>
          <w:rtl/>
        </w:rPr>
        <w:t xml:space="preserve">לכן, ובניגוד לטעות אליה נתפס בית הדין </w:t>
      </w:r>
      <w:r w:rsidR="00C02D74">
        <w:rPr>
          <w:rFonts w:cs="David"/>
          <w:b/>
          <w:bCs/>
          <w:rtl/>
        </w:rPr>
        <w:t xml:space="preserve">הנכבד </w:t>
      </w:r>
      <w:r w:rsidRPr="00592C88">
        <w:rPr>
          <w:rFonts w:cs="David"/>
          <w:b/>
          <w:bCs/>
          <w:rtl/>
        </w:rPr>
        <w:t xml:space="preserve">קמא אשר התייחס להודעת נציב השירות </w:t>
      </w:r>
      <w:r w:rsidR="00E9558F">
        <w:rPr>
          <w:rFonts w:cs="David"/>
          <w:b/>
          <w:bCs/>
          <w:rtl/>
        </w:rPr>
        <w:t>ולמסמך אישור הגמלאות</w:t>
      </w:r>
      <w:r w:rsidR="0092761A">
        <w:rPr>
          <w:rFonts w:cs="David"/>
          <w:b/>
          <w:bCs/>
          <w:rtl/>
        </w:rPr>
        <w:t xml:space="preserve"> </w:t>
      </w:r>
      <w:r w:rsidRPr="00592C88">
        <w:rPr>
          <w:rFonts w:cs="David"/>
          <w:b/>
          <w:bCs/>
          <w:rtl/>
        </w:rPr>
        <w:t xml:space="preserve">כהודעה טכנית, </w:t>
      </w:r>
      <w:r w:rsidR="00EE5402" w:rsidRPr="00592C88">
        <w:rPr>
          <w:rFonts w:cs="David"/>
          <w:b/>
          <w:bCs/>
          <w:rtl/>
        </w:rPr>
        <w:t>עילת התביעה בפועל לא התגבשה לפני ש</w:t>
      </w:r>
      <w:r w:rsidRPr="00592C88">
        <w:rPr>
          <w:rFonts w:cs="David"/>
          <w:b/>
          <w:bCs/>
          <w:rtl/>
        </w:rPr>
        <w:t xml:space="preserve">הגורם המוסמך הודיע על סיום </w:t>
      </w:r>
      <w:r w:rsidR="00956C59">
        <w:rPr>
          <w:rFonts w:cs="David"/>
          <w:b/>
          <w:bCs/>
          <w:rtl/>
        </w:rPr>
        <w:t>העסקתו של המערער</w:t>
      </w:r>
      <w:r w:rsidRPr="00592C88">
        <w:rPr>
          <w:rFonts w:cs="David"/>
          <w:b/>
          <w:bCs/>
          <w:rtl/>
        </w:rPr>
        <w:t>.</w:t>
      </w:r>
    </w:p>
    <w:p w:rsidR="002A1C7D" w:rsidRPr="00AC7EBB" w:rsidRDefault="002A1C7D" w:rsidP="00F756EA">
      <w:pPr>
        <w:pStyle w:val="a8"/>
        <w:numPr>
          <w:ilvl w:val="0"/>
          <w:numId w:val="1"/>
        </w:numPr>
        <w:tabs>
          <w:tab w:val="left" w:pos="674"/>
        </w:tabs>
        <w:spacing w:after="240" w:line="360" w:lineRule="auto"/>
        <w:ind w:left="674" w:hanging="630"/>
        <w:rPr>
          <w:rFonts w:cs="David"/>
        </w:rPr>
      </w:pPr>
      <w:r>
        <w:rPr>
          <w:rFonts w:cs="David"/>
          <w:b/>
          <w:bCs/>
          <w:rtl/>
        </w:rPr>
        <w:t xml:space="preserve">טעה בית דין קמא כאשר התעלם ממכלול העובדות המקימות את עילת התביעה – </w:t>
      </w:r>
    </w:p>
    <w:p w:rsidR="002A1C7D" w:rsidRDefault="002A1C7D" w:rsidP="00F756EA">
      <w:pPr>
        <w:pStyle w:val="a8"/>
        <w:numPr>
          <w:ilvl w:val="1"/>
          <w:numId w:val="1"/>
        </w:numPr>
        <w:tabs>
          <w:tab w:val="left" w:pos="1394"/>
        </w:tabs>
        <w:spacing w:after="240" w:line="360" w:lineRule="auto"/>
        <w:ind w:left="1394" w:hanging="630"/>
        <w:rPr>
          <w:rFonts w:cs="David"/>
        </w:rPr>
      </w:pPr>
      <w:r>
        <w:rPr>
          <w:rFonts w:cs="David"/>
          <w:rtl/>
        </w:rPr>
        <w:t>המערער יוסיף ויטען סיום עבודה של עובד מדינה, בוודאי לאחר כארבעים ושתיים שנות עבודה, מביאה לשורת התרחשויות הקשורות זו בזאת, ואשר לא ניתן לנתקן, ובעיקר הכוונה לתשלום הגמלה המגיע</w:t>
      </w:r>
      <w:r w:rsidR="003344EF">
        <w:rPr>
          <w:rFonts w:cs="David"/>
          <w:rtl/>
        </w:rPr>
        <w:t>ה</w:t>
      </w:r>
      <w:r>
        <w:rPr>
          <w:rFonts w:cs="David"/>
          <w:rtl/>
        </w:rPr>
        <w:t xml:space="preserve"> לעובד מדינה הפרוש לגמלאות. </w:t>
      </w:r>
    </w:p>
    <w:p w:rsidR="002A1C7D" w:rsidRDefault="002A1C7D" w:rsidP="000C1CD1">
      <w:pPr>
        <w:pStyle w:val="a8"/>
        <w:numPr>
          <w:ilvl w:val="1"/>
          <w:numId w:val="1"/>
        </w:numPr>
        <w:tabs>
          <w:tab w:val="left" w:pos="1394"/>
        </w:tabs>
        <w:spacing w:after="240" w:line="360" w:lineRule="auto"/>
        <w:ind w:left="1394" w:hanging="630"/>
        <w:rPr>
          <w:rFonts w:cs="David"/>
        </w:rPr>
      </w:pPr>
      <w:r w:rsidRPr="0060749D">
        <w:rPr>
          <w:rFonts w:cs="David"/>
          <w:rtl/>
        </w:rPr>
        <w:t xml:space="preserve">בכל הכבוד, הקביעה </w:t>
      </w:r>
      <w:r w:rsidR="000C1CD1">
        <w:rPr>
          <w:rFonts w:cs="David"/>
          <w:rtl/>
        </w:rPr>
        <w:t xml:space="preserve">של בית הדין קמא בסעיף 27 לפסק הדין, </w:t>
      </w:r>
      <w:r w:rsidRPr="0060749D">
        <w:rPr>
          <w:rFonts w:cs="David"/>
          <w:rtl/>
        </w:rPr>
        <w:t xml:space="preserve">כי </w:t>
      </w:r>
      <w:r>
        <w:rPr>
          <w:rFonts w:cs="David"/>
          <w:rtl/>
        </w:rPr>
        <w:t xml:space="preserve">כבר ביום </w:t>
      </w:r>
      <w:r w:rsidRPr="0060749D">
        <w:rPr>
          <w:rFonts w:cs="David"/>
          <w:rtl/>
        </w:rPr>
        <w:t>5.8.12 "</w:t>
      </w:r>
      <w:r w:rsidRPr="0060749D">
        <w:rPr>
          <w:rFonts w:cs="David"/>
          <w:i/>
          <w:iCs/>
          <w:rtl/>
        </w:rPr>
        <w:t xml:space="preserve">השתכלל </w:t>
      </w:r>
      <w:r w:rsidR="000C1CD1">
        <w:rPr>
          <w:rFonts w:cs="David"/>
          <w:i/>
          <w:iCs/>
          <w:rtl/>
        </w:rPr>
        <w:t xml:space="preserve">בידיו </w:t>
      </w:r>
      <w:r w:rsidRPr="0060749D">
        <w:rPr>
          <w:rFonts w:cs="David"/>
          <w:i/>
          <w:iCs/>
          <w:rtl/>
        </w:rPr>
        <w:t>כוח תביעה</w:t>
      </w:r>
      <w:r w:rsidR="000C1CD1">
        <w:rPr>
          <w:rFonts w:cs="David"/>
          <w:i/>
          <w:iCs/>
          <w:rtl/>
        </w:rPr>
        <w:t xml:space="preserve"> קונקרטי</w:t>
      </w:r>
      <w:r w:rsidRPr="0060749D">
        <w:rPr>
          <w:rFonts w:cs="David"/>
          <w:i/>
          <w:iCs/>
          <w:rtl/>
        </w:rPr>
        <w:t xml:space="preserve"> והתגבשה עילת </w:t>
      </w:r>
      <w:r w:rsidR="000C1CD1">
        <w:rPr>
          <w:rFonts w:cs="David"/>
          <w:i/>
          <w:iCs/>
          <w:rtl/>
        </w:rPr>
        <w:t>תביעתו</w:t>
      </w:r>
      <w:r w:rsidRPr="0060749D">
        <w:rPr>
          <w:rFonts w:cs="David"/>
          <w:rtl/>
        </w:rPr>
        <w:t xml:space="preserve">" לצורך התיישנות, מפרידה </w:t>
      </w:r>
      <w:r>
        <w:rPr>
          <w:rFonts w:cs="David"/>
          <w:rtl/>
        </w:rPr>
        <w:t xml:space="preserve">בין המרכיבים השונים של הפרישה לגמלאות ויוצרת הפרדה מלאכותית בין רכיבי הפרישה השונים. </w:t>
      </w:r>
    </w:p>
    <w:p w:rsidR="002A1C7D" w:rsidRPr="0060749D" w:rsidRDefault="002A1C7D" w:rsidP="002A1C7D">
      <w:pPr>
        <w:pStyle w:val="a8"/>
        <w:tabs>
          <w:tab w:val="left" w:pos="1394"/>
        </w:tabs>
        <w:spacing w:after="240" w:line="360" w:lineRule="auto"/>
        <w:ind w:left="1394"/>
        <w:rPr>
          <w:rFonts w:cs="David"/>
          <w:rtl/>
        </w:rPr>
      </w:pPr>
      <w:r>
        <w:rPr>
          <w:rFonts w:cs="David"/>
          <w:rtl/>
        </w:rPr>
        <w:t>המערער יטען כי לא ניתן להפריד בין רכיבים אלה, ויש לקחת בחשבון את "</w:t>
      </w:r>
      <w:r>
        <w:rPr>
          <w:rFonts w:cs="David"/>
          <w:b/>
          <w:bCs/>
          <w:rtl/>
        </w:rPr>
        <w:t xml:space="preserve">מכלול העובדות והמהותיות המולידות את הזכות לסעד". </w:t>
      </w:r>
      <w:r w:rsidRPr="002A1C7D">
        <w:rPr>
          <w:rFonts w:cs="David"/>
          <w:rtl/>
        </w:rPr>
        <w:t xml:space="preserve">ראו </w:t>
      </w:r>
      <w:r w:rsidRPr="0060749D">
        <w:rPr>
          <w:rFonts w:cs="David"/>
          <w:rtl/>
        </w:rPr>
        <w:t xml:space="preserve">סעיף 24 לפסק הדין המפנה לפסק הדין בעניין אפרידר </w:t>
      </w:r>
      <w:r>
        <w:rPr>
          <w:rFonts w:cs="David"/>
          <w:rtl/>
        </w:rPr>
        <w:t xml:space="preserve">- </w:t>
      </w:r>
      <w:r w:rsidRPr="0060749D">
        <w:rPr>
          <w:rFonts w:cs="David"/>
          <w:rtl/>
        </w:rPr>
        <w:t>רע"א 6774/19 ‏</w:t>
      </w:r>
      <w:r w:rsidRPr="002A1C7D">
        <w:rPr>
          <w:rFonts w:cs="David"/>
          <w:b/>
          <w:bCs/>
          <w:rtl/>
        </w:rPr>
        <w:t>אפרידר החברה לשיכון ופיתוח לישראל בע"מ נ' עיריית ראש העין</w:t>
      </w:r>
      <w:r w:rsidRPr="0060749D">
        <w:rPr>
          <w:rFonts w:cs="David"/>
          <w:rtl/>
        </w:rPr>
        <w:t xml:space="preserve"> (16.4.2020);</w:t>
      </w:r>
    </w:p>
    <w:p w:rsidR="002A1C7D" w:rsidRDefault="002A1C7D" w:rsidP="000C1CD1">
      <w:pPr>
        <w:pStyle w:val="a8"/>
        <w:numPr>
          <w:ilvl w:val="1"/>
          <w:numId w:val="1"/>
        </w:numPr>
        <w:tabs>
          <w:tab w:val="left" w:pos="1394"/>
        </w:tabs>
        <w:spacing w:after="240" w:line="360" w:lineRule="auto"/>
        <w:ind w:left="1394" w:hanging="630"/>
        <w:rPr>
          <w:rFonts w:cs="David"/>
        </w:rPr>
      </w:pPr>
      <w:r>
        <w:rPr>
          <w:rFonts w:cs="David"/>
          <w:rtl/>
        </w:rPr>
        <w:lastRenderedPageBreak/>
        <w:t>לפיכך, וכאשר בוחנים את מכלול העובדות – לא קמה עילה לפני שהמערער התחיל לקבל גמלה, ולמצער – המועד בו ניתנה לו ההודעה על הגמלה שחל בחודש דצמבר 2012.</w:t>
      </w:r>
    </w:p>
    <w:p w:rsidR="002A1C7D" w:rsidRPr="0060749D" w:rsidRDefault="002A1C7D" w:rsidP="00F756EA">
      <w:pPr>
        <w:pStyle w:val="a8"/>
        <w:numPr>
          <w:ilvl w:val="0"/>
          <w:numId w:val="1"/>
        </w:numPr>
        <w:tabs>
          <w:tab w:val="left" w:pos="674"/>
        </w:tabs>
        <w:spacing w:after="240" w:line="360" w:lineRule="auto"/>
        <w:ind w:left="674" w:hanging="630"/>
        <w:rPr>
          <w:rFonts w:cs="David"/>
        </w:rPr>
      </w:pPr>
      <w:r>
        <w:rPr>
          <w:rFonts w:cs="David"/>
          <w:b/>
          <w:bCs/>
          <w:rtl/>
        </w:rPr>
        <w:t xml:space="preserve">טעה בית דין קמא כאשר התעלם מהחובה למיצוי הליכים – </w:t>
      </w:r>
    </w:p>
    <w:p w:rsidR="002A1C7D" w:rsidRPr="00912F96" w:rsidRDefault="002A1C7D" w:rsidP="00F756EA">
      <w:pPr>
        <w:pStyle w:val="a8"/>
        <w:numPr>
          <w:ilvl w:val="1"/>
          <w:numId w:val="1"/>
        </w:numPr>
        <w:tabs>
          <w:tab w:val="left" w:pos="1394"/>
        </w:tabs>
        <w:spacing w:after="240" w:line="360" w:lineRule="auto"/>
        <w:ind w:left="1394" w:hanging="630"/>
        <w:rPr>
          <w:rFonts w:cs="David"/>
        </w:rPr>
      </w:pPr>
      <w:r w:rsidRPr="00912F96">
        <w:rPr>
          <w:rFonts w:cs="David"/>
          <w:rtl/>
        </w:rPr>
        <w:t xml:space="preserve">מבלי לגרוע מהטענה כי רק במועד שבו הופרש המערער לגמלאות קמה זכות התביעה, יטען המערער כי למעשה לא היה יכול להגיש תביעתו כבר בחודש אוגוסט 2012, שכן מיד היתה עולה נגדו טענה על אי מיצוי הליכים. </w:t>
      </w:r>
    </w:p>
    <w:p w:rsidR="002A1C7D" w:rsidRPr="00912F96" w:rsidRDefault="002A1C7D" w:rsidP="00F756EA">
      <w:pPr>
        <w:pStyle w:val="a8"/>
        <w:numPr>
          <w:ilvl w:val="1"/>
          <w:numId w:val="1"/>
        </w:numPr>
        <w:tabs>
          <w:tab w:val="left" w:pos="1394"/>
        </w:tabs>
        <w:spacing w:after="240" w:line="360" w:lineRule="auto"/>
        <w:ind w:left="1394" w:hanging="630"/>
        <w:rPr>
          <w:rFonts w:cs="David"/>
        </w:rPr>
      </w:pPr>
      <w:r w:rsidRPr="00912F96">
        <w:rPr>
          <w:rFonts w:cs="David"/>
          <w:rtl/>
        </w:rPr>
        <w:t>טענה זאת אינה טענה בעלמא, שכן המערער פנה למשיבה – לאחר שנדרש לא להגיע לעבודתו - באמצעות בא כוחו, בדרישה להחזירו לעבודה ולשלם לו את שכרו, אך לא נענה כלל. רק לאחר למעלה מחודשיים בעקבות פנייה נוספת ליועץ המשפטי של משרד האוצר ושיחת טלפון בין ב"כ המערער לעו"ד מהמחלקה המשפטית של המשרד, התקבלה תשובה המתעלמת לחלוטין מהעובדות, מהחוזה ומהחוק, ועומדת על עמדתה המופרכת של המדינה (ראו סעיף 34 לכתב התביעה).</w:t>
      </w:r>
    </w:p>
    <w:p w:rsidR="002A1C7D" w:rsidRDefault="002A1C7D" w:rsidP="00F756EA">
      <w:pPr>
        <w:pStyle w:val="a8"/>
        <w:numPr>
          <w:ilvl w:val="1"/>
          <w:numId w:val="1"/>
        </w:numPr>
        <w:tabs>
          <w:tab w:val="left" w:pos="1394"/>
        </w:tabs>
        <w:spacing w:after="240" w:line="360" w:lineRule="auto"/>
        <w:ind w:left="1394" w:hanging="630"/>
        <w:rPr>
          <w:rFonts w:cs="David"/>
        </w:rPr>
      </w:pPr>
      <w:r w:rsidRPr="00912F96">
        <w:rPr>
          <w:rFonts w:cs="David"/>
          <w:rtl/>
        </w:rPr>
        <w:t>אם היה המערער מגיש תביעתו בטרם התקבלה תשובת המדינה, בוודאי שהיה נטען נגדו כי לא מיצה את ההליכים וכי היה עליו להמתין ולראות מה משיבה המדינה לבא כוחו, והאם חל שינוי בעמדתה. לפיכך, אין מקום לקבל את הניסיון הפסול לקבוע כי כבר בחודש אוגוסט 2012 היה יכול המערער להגיש תביעתו.</w:t>
      </w:r>
    </w:p>
    <w:p w:rsidR="00086099" w:rsidRPr="00574032" w:rsidRDefault="00086099" w:rsidP="00592C88">
      <w:pPr>
        <w:pStyle w:val="a8"/>
        <w:tabs>
          <w:tab w:val="left" w:pos="1394"/>
        </w:tabs>
        <w:spacing w:after="240" w:line="360" w:lineRule="auto"/>
        <w:ind w:left="1394"/>
        <w:rPr>
          <w:rFonts w:cs="David"/>
        </w:rPr>
      </w:pPr>
      <w:r w:rsidRPr="00592C88">
        <w:rPr>
          <w:rFonts w:cs="David"/>
          <w:rtl/>
        </w:rPr>
        <w:t xml:space="preserve">המערער יטען כי למצער יש לראות את המועד בו </w:t>
      </w:r>
      <w:r w:rsidRPr="00592C88">
        <w:rPr>
          <w:rFonts w:ascii="David" w:hAnsi="David" w:cs="David"/>
          <w:rtl/>
        </w:rPr>
        <w:t xml:space="preserve">התקבלה תשובת משרד האוצר לפנייתו, </w:t>
      </w:r>
      <w:r w:rsidRPr="00592C88">
        <w:rPr>
          <w:rFonts w:ascii="David" w:hAnsi="David" w:cs="David"/>
          <w:b/>
          <w:bCs/>
          <w:rtl/>
        </w:rPr>
        <w:t xml:space="preserve">ביום 24.10.2012, </w:t>
      </w:r>
      <w:r w:rsidRPr="00592C88">
        <w:rPr>
          <w:rFonts w:ascii="David" w:hAnsi="David" w:cs="David"/>
          <w:rtl/>
        </w:rPr>
        <w:t>כמועד שבו החל מירוץ ההתיישנות לעניין הגשת התביעה</w:t>
      </w:r>
      <w:r w:rsidR="00EE5402" w:rsidRPr="00592C88">
        <w:rPr>
          <w:rFonts w:ascii="David" w:hAnsi="David" w:cs="David"/>
          <w:rtl/>
        </w:rPr>
        <w:t xml:space="preserve">, שהוגשה ביום 3.10.20 (סעיף 28 </w:t>
      </w:r>
      <w:r w:rsidR="00592C88" w:rsidRPr="00592C88">
        <w:rPr>
          <w:rFonts w:ascii="David" w:hAnsi="David" w:cs="David"/>
          <w:rtl/>
        </w:rPr>
        <w:t>לפסק הדין</w:t>
      </w:r>
      <w:r w:rsidR="00EE5402" w:rsidRPr="00592C88">
        <w:rPr>
          <w:rFonts w:ascii="David" w:hAnsi="David" w:cs="David"/>
          <w:rtl/>
        </w:rPr>
        <w:t>) וגם במקרה כזה המערער לא איחר בהגשת התביעה</w:t>
      </w:r>
      <w:r w:rsidR="00EE5402" w:rsidRPr="00592C88">
        <w:rPr>
          <w:rFonts w:cs="David"/>
          <w:rtl/>
        </w:rPr>
        <w:t>.</w:t>
      </w:r>
    </w:p>
    <w:p w:rsidR="00086099" w:rsidRDefault="00086099" w:rsidP="00574032">
      <w:pPr>
        <w:pStyle w:val="a8"/>
        <w:numPr>
          <w:ilvl w:val="0"/>
          <w:numId w:val="1"/>
        </w:numPr>
        <w:tabs>
          <w:tab w:val="left" w:pos="674"/>
        </w:tabs>
        <w:spacing w:after="240" w:line="360" w:lineRule="auto"/>
        <w:ind w:left="674" w:hanging="630"/>
        <w:rPr>
          <w:rFonts w:cs="David"/>
        </w:rPr>
      </w:pPr>
      <w:r w:rsidRPr="00574032">
        <w:rPr>
          <w:rFonts w:cs="David"/>
          <w:b/>
          <w:bCs/>
          <w:rtl/>
        </w:rPr>
        <w:t>זכות הגישה לערכאות מחייבת מתן הזדמנות למערער להעלות את טענות</w:t>
      </w:r>
      <w:r w:rsidR="00166E74">
        <w:rPr>
          <w:rFonts w:cs="David"/>
          <w:b/>
          <w:bCs/>
          <w:rtl/>
        </w:rPr>
        <w:t>י</w:t>
      </w:r>
      <w:r w:rsidRPr="00574032">
        <w:rPr>
          <w:rFonts w:cs="David"/>
          <w:b/>
          <w:bCs/>
          <w:rtl/>
        </w:rPr>
        <w:t xml:space="preserve">ו </w:t>
      </w:r>
      <w:r>
        <w:rPr>
          <w:rFonts w:cs="David"/>
          <w:rtl/>
        </w:rPr>
        <w:t xml:space="preserve">- </w:t>
      </w:r>
    </w:p>
    <w:p w:rsidR="00086099" w:rsidRDefault="00166E74" w:rsidP="00AD5378">
      <w:pPr>
        <w:pStyle w:val="a8"/>
        <w:numPr>
          <w:ilvl w:val="1"/>
          <w:numId w:val="1"/>
        </w:numPr>
        <w:tabs>
          <w:tab w:val="left" w:pos="1394"/>
        </w:tabs>
        <w:spacing w:after="240" w:line="360" w:lineRule="auto"/>
        <w:ind w:left="1394" w:hanging="630"/>
        <w:rPr>
          <w:rFonts w:cs="David"/>
        </w:rPr>
      </w:pPr>
      <w:r>
        <w:rPr>
          <w:rFonts w:cs="David"/>
          <w:rtl/>
        </w:rPr>
        <w:t>המערער יוסיף ויטען כי טעה בית הדין קמא כאשר לא נתן משקל מספיק לכך שמשמעות החלטתו היא מניעת זכות הגישה של המערער לערכאות בעניין שבו ברור שהמדינה לא פעלה בהתאם להוראות החוזה שהיא עצמה ניסחה.</w:t>
      </w:r>
    </w:p>
    <w:p w:rsidR="00166E74" w:rsidRPr="00767599" w:rsidRDefault="00166E74" w:rsidP="00AD5378">
      <w:pPr>
        <w:pStyle w:val="a8"/>
        <w:numPr>
          <w:ilvl w:val="1"/>
          <w:numId w:val="1"/>
        </w:numPr>
        <w:tabs>
          <w:tab w:val="left" w:pos="1394"/>
        </w:tabs>
        <w:spacing w:after="240" w:line="360" w:lineRule="auto"/>
        <w:ind w:left="1394" w:hanging="630"/>
        <w:rPr>
          <w:rFonts w:cs="David"/>
        </w:rPr>
      </w:pPr>
      <w:r>
        <w:rPr>
          <w:rFonts w:cs="David"/>
          <w:rtl/>
        </w:rPr>
        <w:t xml:space="preserve">המערער יוסיף ויטען כי במקרה זה, שבו לכל היותר עשויה להיות מחלוקת בעניין </w:t>
      </w:r>
      <w:r w:rsidR="00C805D0">
        <w:rPr>
          <w:rFonts w:cs="David"/>
          <w:rtl/>
        </w:rPr>
        <w:t>ה</w:t>
      </w:r>
      <w:r>
        <w:rPr>
          <w:rFonts w:cs="David"/>
          <w:rtl/>
        </w:rPr>
        <w:t xml:space="preserve">מועד </w:t>
      </w:r>
      <w:r w:rsidR="00C805D0">
        <w:rPr>
          <w:rFonts w:cs="David"/>
          <w:rtl/>
        </w:rPr>
        <w:t>האחרון ל</w:t>
      </w:r>
      <w:r>
        <w:rPr>
          <w:rFonts w:cs="David"/>
          <w:rtl/>
        </w:rPr>
        <w:t>הגשת התובענה, היה מקום לייחס חשיבות לזכות הגישה לערכאות, שהיא זכות חוקתית, ולהכריע לטובת המערער, בהתאם להוראות חוזה בכירים שאותו ניסחה המדינה.</w:t>
      </w:r>
    </w:p>
    <w:p w:rsidR="00166E74" w:rsidRDefault="00166E74" w:rsidP="002A1C7D">
      <w:pPr>
        <w:pStyle w:val="a8"/>
        <w:tabs>
          <w:tab w:val="left" w:pos="674"/>
        </w:tabs>
        <w:spacing w:after="240" w:line="360" w:lineRule="auto"/>
        <w:ind w:left="44"/>
        <w:rPr>
          <w:rFonts w:cs="David"/>
          <w:b/>
          <w:bCs/>
          <w:u w:val="single"/>
          <w:rtl/>
        </w:rPr>
      </w:pPr>
    </w:p>
    <w:p w:rsidR="002A1C7D" w:rsidRPr="00F7574C" w:rsidRDefault="002A1C7D" w:rsidP="002A1C7D">
      <w:pPr>
        <w:pStyle w:val="a8"/>
        <w:tabs>
          <w:tab w:val="left" w:pos="674"/>
        </w:tabs>
        <w:spacing w:after="240" w:line="360" w:lineRule="auto"/>
        <w:ind w:left="44"/>
        <w:rPr>
          <w:rFonts w:cs="David"/>
          <w:b/>
          <w:bCs/>
          <w:u w:val="single"/>
        </w:rPr>
      </w:pPr>
      <w:r w:rsidRPr="00F7574C">
        <w:rPr>
          <w:rFonts w:cs="David"/>
          <w:b/>
          <w:bCs/>
          <w:u w:val="single"/>
          <w:rtl/>
        </w:rPr>
        <w:t xml:space="preserve">טעה בית הדין </w:t>
      </w:r>
      <w:r w:rsidR="00523912">
        <w:rPr>
          <w:rFonts w:cs="David"/>
          <w:b/>
          <w:bCs/>
          <w:u w:val="single"/>
          <w:rtl/>
        </w:rPr>
        <w:t xml:space="preserve">הנכבד </w:t>
      </w:r>
      <w:r w:rsidRPr="00F7574C">
        <w:rPr>
          <w:rFonts w:cs="David"/>
          <w:b/>
          <w:bCs/>
          <w:u w:val="single"/>
          <w:rtl/>
        </w:rPr>
        <w:t>קמא כאשר קבע כי סיכויי התביעה אינם גבוהים</w:t>
      </w:r>
    </w:p>
    <w:p w:rsidR="002A1C7D" w:rsidRDefault="002A1C7D" w:rsidP="00F756EA">
      <w:pPr>
        <w:pStyle w:val="a8"/>
        <w:numPr>
          <w:ilvl w:val="0"/>
          <w:numId w:val="1"/>
        </w:numPr>
        <w:tabs>
          <w:tab w:val="left" w:pos="674"/>
        </w:tabs>
        <w:spacing w:after="240" w:line="360" w:lineRule="auto"/>
        <w:ind w:left="674" w:hanging="630"/>
        <w:rPr>
          <w:rFonts w:cs="David"/>
        </w:rPr>
      </w:pPr>
      <w:r w:rsidRPr="00F56FCD">
        <w:rPr>
          <w:rFonts w:cs="David"/>
          <w:rtl/>
        </w:rPr>
        <w:t>בסעיף 3</w:t>
      </w:r>
      <w:r>
        <w:rPr>
          <w:rFonts w:cs="David"/>
          <w:rtl/>
        </w:rPr>
        <w:t>1</w:t>
      </w:r>
      <w:r w:rsidRPr="00F56FCD">
        <w:rPr>
          <w:rFonts w:cs="David"/>
          <w:rtl/>
        </w:rPr>
        <w:t xml:space="preserve"> לפסק הדין קמא קבע בית הדין קמא </w:t>
      </w:r>
      <w:r>
        <w:rPr>
          <w:rFonts w:cs="David"/>
          <w:rtl/>
        </w:rPr>
        <w:t>כי לא התרשם מכך שסיכויי התביעה גבוהים, מאחר שכאשר "</w:t>
      </w:r>
      <w:r w:rsidRPr="002A1C7D">
        <w:rPr>
          <w:i/>
          <w:iCs/>
          <w:rtl/>
        </w:rPr>
        <w:t xml:space="preserve">חוזה עבודה כולל </w:t>
      </w:r>
      <w:r w:rsidRPr="002A1C7D">
        <w:rPr>
          <w:b/>
          <w:bCs/>
          <w:i/>
          <w:iCs/>
          <w:rtl/>
        </w:rPr>
        <w:t>הוראה המרשה לצד לחוזה לסיימו בכל עת לפני תום תקופתו</w:t>
      </w:r>
      <w:r w:rsidRPr="002A1C7D">
        <w:rPr>
          <w:i/>
          <w:iCs/>
          <w:rtl/>
        </w:rPr>
        <w:t>, כפי שקיים גם בענייננו, ניתן לסיים את החוזה מבלי להפר אותו</w:t>
      </w:r>
      <w:r>
        <w:rPr>
          <w:rFonts w:cs="David"/>
          <w:rtl/>
        </w:rPr>
        <w:t>" (</w:t>
      </w:r>
      <w:r w:rsidRPr="00355243">
        <w:rPr>
          <w:rFonts w:cs="David"/>
          <w:i/>
          <w:iCs/>
          <w:rtl/>
        </w:rPr>
        <w:t>ההדגשה במקור – הח"מ</w:t>
      </w:r>
      <w:r>
        <w:rPr>
          <w:rFonts w:cs="David"/>
          <w:rtl/>
        </w:rPr>
        <w:t>).</w:t>
      </w:r>
    </w:p>
    <w:p w:rsidR="002A1C7D" w:rsidRDefault="002A1C7D" w:rsidP="00164CDC">
      <w:pPr>
        <w:pStyle w:val="a8"/>
        <w:numPr>
          <w:ilvl w:val="0"/>
          <w:numId w:val="1"/>
        </w:numPr>
        <w:tabs>
          <w:tab w:val="left" w:pos="674"/>
        </w:tabs>
        <w:spacing w:after="240" w:line="360" w:lineRule="auto"/>
        <w:ind w:left="674" w:hanging="630"/>
        <w:rPr>
          <w:rFonts w:cs="David"/>
        </w:rPr>
      </w:pPr>
      <w:r>
        <w:rPr>
          <w:rFonts w:cs="David"/>
          <w:rtl/>
        </w:rPr>
        <w:lastRenderedPageBreak/>
        <w:t>בכך נתפס בית הדין קמא לטעות מהותית, שכן חוזה הבכירים קובע פרוצדורה ברורה על מנת שניתן יהיה לסיים את החוזה לפני תום תוקפו – כאשר נדרשת פנייה מנומקת של מנכ"ל המשרד לנציב שירות המדינה ואישור הנציב וועדת השירות</w:t>
      </w:r>
      <w:r w:rsidR="00C805D0">
        <w:rPr>
          <w:rFonts w:cs="David"/>
          <w:rtl/>
        </w:rPr>
        <w:t>.</w:t>
      </w:r>
      <w:r w:rsidR="00EE5402">
        <w:rPr>
          <w:rFonts w:cs="David"/>
          <w:rtl/>
        </w:rPr>
        <w:t xml:space="preserve"> </w:t>
      </w:r>
      <w:r>
        <w:rPr>
          <w:rFonts w:cs="David"/>
          <w:rtl/>
        </w:rPr>
        <w:t>אין חולק כי לא נעשתה פנייה כאמור ולא התקבלה החלטה של וועדת השירות.</w:t>
      </w:r>
    </w:p>
    <w:p w:rsidR="002A1C7D" w:rsidRPr="005C0D90" w:rsidRDefault="002A1C7D" w:rsidP="002A1C7D">
      <w:pPr>
        <w:pStyle w:val="a8"/>
        <w:tabs>
          <w:tab w:val="left" w:pos="674"/>
        </w:tabs>
        <w:spacing w:after="240" w:line="360" w:lineRule="auto"/>
        <w:ind w:left="674"/>
        <w:rPr>
          <w:rFonts w:cs="David"/>
        </w:rPr>
      </w:pPr>
      <w:r>
        <w:rPr>
          <w:rFonts w:cs="David"/>
          <w:rtl/>
        </w:rPr>
        <w:t>בנסיבות אלה, כאשר לא בוצע ההליך המתאים להפסקת תוקפו של החוזה לפני תום התקופה, לא ניתן היה לקבוע כי סיכויי התביעה אינם גבוהים. נהפוך הוא.</w:t>
      </w:r>
    </w:p>
    <w:p w:rsidR="002A1C7D" w:rsidRDefault="002A1C7D" w:rsidP="002A1C7D">
      <w:pPr>
        <w:pStyle w:val="a8"/>
        <w:tabs>
          <w:tab w:val="left" w:pos="674"/>
        </w:tabs>
        <w:spacing w:after="240" w:line="360" w:lineRule="auto"/>
        <w:ind w:left="44"/>
        <w:rPr>
          <w:rFonts w:cs="David"/>
          <w:rtl/>
        </w:rPr>
      </w:pPr>
    </w:p>
    <w:p w:rsidR="002A1C7D" w:rsidRDefault="002A1C7D" w:rsidP="002A1C7D">
      <w:pPr>
        <w:pStyle w:val="a8"/>
        <w:tabs>
          <w:tab w:val="left" w:pos="674"/>
        </w:tabs>
        <w:spacing w:after="240" w:line="360" w:lineRule="auto"/>
        <w:rPr>
          <w:rFonts w:cs="David"/>
          <w:b/>
          <w:bCs/>
          <w:u w:val="single"/>
        </w:rPr>
      </w:pPr>
      <w:r>
        <w:rPr>
          <w:rFonts w:cs="David"/>
          <w:b/>
          <w:bCs/>
          <w:u w:val="single"/>
          <w:rtl/>
        </w:rPr>
        <w:t>למצער – היה על בית הדין קמא לדחות את התביעה אך ורק לתקופה שקדמה לחודש אוקטובר 2012</w:t>
      </w:r>
    </w:p>
    <w:p w:rsidR="002A1C7D" w:rsidRDefault="002A1C7D" w:rsidP="00F756EA">
      <w:pPr>
        <w:pStyle w:val="a8"/>
        <w:numPr>
          <w:ilvl w:val="0"/>
          <w:numId w:val="1"/>
        </w:numPr>
        <w:tabs>
          <w:tab w:val="left" w:pos="674"/>
        </w:tabs>
        <w:spacing w:after="240" w:line="360" w:lineRule="auto"/>
        <w:ind w:left="674" w:hanging="630"/>
        <w:rPr>
          <w:rFonts w:cs="David"/>
        </w:rPr>
      </w:pPr>
      <w:r w:rsidRPr="00B81328">
        <w:rPr>
          <w:rFonts w:cs="David"/>
          <w:rtl/>
        </w:rPr>
        <w:t xml:space="preserve">המערער יוסיף ויטען כי למצער היה על בית הדין קמא לדחות את התביעה אך ורק ביחס לרכיבי התביעה שקודמים לחודש אוקטובר 2012. </w:t>
      </w:r>
    </w:p>
    <w:p w:rsidR="002A1C7D" w:rsidRDefault="002A1C7D" w:rsidP="00F756EA">
      <w:pPr>
        <w:pStyle w:val="a8"/>
        <w:numPr>
          <w:ilvl w:val="0"/>
          <w:numId w:val="1"/>
        </w:numPr>
        <w:tabs>
          <w:tab w:val="left" w:pos="674"/>
        </w:tabs>
        <w:spacing w:after="240" w:line="360" w:lineRule="auto"/>
        <w:ind w:left="674" w:hanging="630"/>
        <w:rPr>
          <w:rFonts w:cs="David"/>
        </w:rPr>
      </w:pPr>
      <w:r>
        <w:rPr>
          <w:rFonts w:cs="David"/>
          <w:rtl/>
        </w:rPr>
        <w:t>המערער יטען כי התביעה לתשלום השכר מכוח חוזה הבכירים היא מסוג התביעות בהן יש לראות את העילה כעילה המתחדשת מדי חודש בחודשו – במועד בו היה אמור להיות משולם למערער השכר.</w:t>
      </w:r>
    </w:p>
    <w:p w:rsidR="002A1C7D" w:rsidRPr="00B81328" w:rsidRDefault="002A1C7D" w:rsidP="00F756EA">
      <w:pPr>
        <w:pStyle w:val="a8"/>
        <w:numPr>
          <w:ilvl w:val="0"/>
          <w:numId w:val="1"/>
        </w:numPr>
        <w:tabs>
          <w:tab w:val="left" w:pos="674"/>
        </w:tabs>
        <w:spacing w:after="240" w:line="360" w:lineRule="auto"/>
        <w:ind w:left="674" w:hanging="630"/>
        <w:rPr>
          <w:rStyle w:val="a7"/>
          <w:rFonts w:cs="David"/>
        </w:rPr>
      </w:pPr>
      <w:r w:rsidRPr="00B81328">
        <w:rPr>
          <w:rFonts w:cs="David"/>
          <w:rtl/>
        </w:rPr>
        <w:t xml:space="preserve">בעניין זה היה מקום להחיל את הכללים שנקבעו ביחס לתשלום גמלה, המתחדשת מדי חודש בחודש – כפי שנקבע בפסק הדין בתיק </w:t>
      </w:r>
      <w:r w:rsidRPr="00B81328">
        <w:rPr>
          <w:rFonts w:ascii="David" w:hAnsi="David" w:cs="David"/>
          <w:rtl/>
        </w:rPr>
        <w:t xml:space="preserve">בג"צ 3514/07 </w:t>
      </w:r>
      <w:r w:rsidRPr="00574032">
        <w:rPr>
          <w:rFonts w:ascii="David" w:hAnsi="David" w:cs="David"/>
          <w:b/>
          <w:bCs/>
          <w:u w:val="single"/>
          <w:rtl/>
        </w:rPr>
        <w:t>מבטחים נ' פיורסט</w:t>
      </w:r>
      <w:r w:rsidRPr="00B81328">
        <w:rPr>
          <w:rFonts w:ascii="David" w:hAnsi="David" w:cs="David"/>
          <w:rtl/>
        </w:rPr>
        <w:t xml:space="preserve"> , ניתן ביום 13.5.12 והאסמכתאות המפורטות שם; ראו גם </w:t>
      </w:r>
      <w:r w:rsidRPr="00B81328">
        <w:rPr>
          <w:rStyle w:val="a7"/>
          <w:rFonts w:ascii="David" w:hAnsi="David" w:cs="David"/>
          <w:rtl/>
        </w:rPr>
        <w:t xml:space="preserve">סעש (תל אביב) 38544-10/12  </w:t>
      </w:r>
      <w:r w:rsidRPr="00B81328">
        <w:rPr>
          <w:rStyle w:val="a7"/>
          <w:rFonts w:ascii="David" w:hAnsi="David" w:cs="David"/>
          <w:b/>
          <w:bCs/>
          <w:u w:val="single"/>
          <w:rtl/>
        </w:rPr>
        <w:t>ראובן בן דוד נ' מנהלת הגמלאות - משרד האוצר ואח').</w:t>
      </w:r>
    </w:p>
    <w:p w:rsidR="00985B99" w:rsidRDefault="00985B99" w:rsidP="00985B99">
      <w:pPr>
        <w:rPr>
          <w:rtl/>
        </w:rPr>
      </w:pPr>
    </w:p>
    <w:p w:rsidR="002A1C7D" w:rsidRPr="00985B99" w:rsidRDefault="002A1C7D" w:rsidP="00985B99">
      <w:pPr>
        <w:rPr>
          <w:rtl/>
        </w:rPr>
      </w:pPr>
    </w:p>
    <w:p w:rsidR="00374B8F" w:rsidRPr="000F14D4" w:rsidRDefault="00374B8F" w:rsidP="000F14D4">
      <w:pPr>
        <w:pStyle w:val="7"/>
        <w:numPr>
          <w:ilvl w:val="0"/>
          <w:numId w:val="3"/>
        </w:numPr>
        <w:spacing w:after="240" w:line="360" w:lineRule="auto"/>
        <w:ind w:left="674" w:hanging="630"/>
        <w:rPr>
          <w:rFonts w:cs="David"/>
          <w:sz w:val="26"/>
          <w:szCs w:val="26"/>
        </w:rPr>
      </w:pPr>
      <w:r w:rsidRPr="000F14D4">
        <w:rPr>
          <w:rFonts w:cs="David"/>
          <w:sz w:val="26"/>
          <w:szCs w:val="26"/>
          <w:rtl/>
        </w:rPr>
        <w:t xml:space="preserve">טעה בית הדין </w:t>
      </w:r>
      <w:r w:rsidR="00523912">
        <w:rPr>
          <w:rFonts w:cs="David"/>
          <w:sz w:val="26"/>
          <w:szCs w:val="26"/>
          <w:rtl/>
        </w:rPr>
        <w:t xml:space="preserve">הנכבד </w:t>
      </w:r>
      <w:r w:rsidRPr="000F14D4">
        <w:rPr>
          <w:rFonts w:cs="David"/>
          <w:sz w:val="26"/>
          <w:szCs w:val="26"/>
          <w:rtl/>
        </w:rPr>
        <w:t xml:space="preserve">קמא כאשר קבע </w:t>
      </w:r>
      <w:r w:rsidR="000F14D4" w:rsidRPr="000F14D4">
        <w:rPr>
          <w:rFonts w:cs="David"/>
          <w:sz w:val="26"/>
          <w:szCs w:val="26"/>
          <w:rtl/>
        </w:rPr>
        <w:t>שהיה על המערער להגיש</w:t>
      </w:r>
      <w:r w:rsidRPr="000F14D4">
        <w:rPr>
          <w:rFonts w:cs="David"/>
          <w:sz w:val="26"/>
          <w:szCs w:val="26"/>
          <w:rtl/>
        </w:rPr>
        <w:t xml:space="preserve"> ערעור במועד הקבוע בחוק</w:t>
      </w:r>
      <w:r w:rsidR="00EE5402" w:rsidRPr="000F14D4">
        <w:rPr>
          <w:rFonts w:cs="David"/>
          <w:sz w:val="26"/>
          <w:szCs w:val="26"/>
          <w:rtl/>
        </w:rPr>
        <w:t xml:space="preserve"> הגימלאות</w:t>
      </w:r>
    </w:p>
    <w:p w:rsidR="00722932" w:rsidRDefault="00722932" w:rsidP="00722932">
      <w:pPr>
        <w:pStyle w:val="a8"/>
        <w:tabs>
          <w:tab w:val="left" w:pos="674"/>
        </w:tabs>
        <w:spacing w:after="240" w:line="360" w:lineRule="auto"/>
        <w:rPr>
          <w:rFonts w:cs="David"/>
          <w:b/>
          <w:bCs/>
          <w:u w:val="single"/>
          <w:rtl/>
        </w:rPr>
      </w:pPr>
      <w:r>
        <w:rPr>
          <w:rFonts w:cs="David"/>
          <w:b/>
          <w:bCs/>
          <w:u w:val="single"/>
          <w:rtl/>
        </w:rPr>
        <w:t>הכרעתו השגויה של בית הדין קמא</w:t>
      </w:r>
    </w:p>
    <w:p w:rsidR="00FF79F6" w:rsidRDefault="009C4A8E" w:rsidP="00F756EA">
      <w:pPr>
        <w:pStyle w:val="a8"/>
        <w:numPr>
          <w:ilvl w:val="0"/>
          <w:numId w:val="1"/>
        </w:numPr>
        <w:tabs>
          <w:tab w:val="left" w:pos="674"/>
        </w:tabs>
        <w:spacing w:after="240" w:line="360" w:lineRule="auto"/>
        <w:ind w:left="674" w:hanging="630"/>
        <w:rPr>
          <w:rFonts w:cs="David"/>
        </w:rPr>
      </w:pPr>
      <w:r>
        <w:rPr>
          <w:rFonts w:cs="David"/>
          <w:rtl/>
        </w:rPr>
        <w:t xml:space="preserve">המשיבות טענו כי </w:t>
      </w:r>
      <w:r w:rsidR="009D3069">
        <w:rPr>
          <w:rFonts w:cs="David"/>
          <w:rtl/>
        </w:rPr>
        <w:t>סעיף 43 ל</w:t>
      </w:r>
      <w:r>
        <w:rPr>
          <w:rFonts w:cs="David"/>
          <w:rtl/>
        </w:rPr>
        <w:t xml:space="preserve">חוק הגימלאות </w:t>
      </w:r>
      <w:r w:rsidR="0017017A">
        <w:rPr>
          <w:rFonts w:cs="David"/>
          <w:rtl/>
        </w:rPr>
        <w:t xml:space="preserve">והתקנות שהותקנו על פיו </w:t>
      </w:r>
      <w:r>
        <w:rPr>
          <w:rFonts w:cs="David"/>
          <w:rtl/>
        </w:rPr>
        <w:t>חל</w:t>
      </w:r>
      <w:r w:rsidR="0017017A">
        <w:rPr>
          <w:rFonts w:cs="David"/>
          <w:rtl/>
        </w:rPr>
        <w:t>ים</w:t>
      </w:r>
      <w:r>
        <w:rPr>
          <w:rFonts w:cs="David"/>
          <w:rtl/>
        </w:rPr>
        <w:t xml:space="preserve"> על תקופת עבודתו השנייה של המערער במסגרתה הועסק בחוזה בכירים, וכי היה על המערער להגיש תביעתו תוך 60 ימים מה</w:t>
      </w:r>
      <w:r w:rsidR="00722932">
        <w:rPr>
          <w:rFonts w:cs="David"/>
          <w:rtl/>
        </w:rPr>
        <w:t xml:space="preserve">יום שהתקבלה ההחלטה בנוגע לגימלה המגיעה לו. </w:t>
      </w:r>
      <w:r w:rsidR="00FF79F6">
        <w:rPr>
          <w:rFonts w:cs="David"/>
          <w:rtl/>
        </w:rPr>
        <w:t>המערער טוען כי הוא רשאי היה להגיש את תביעתו עד לשבע שנים ממועד קבלת ההודעה על ה</w:t>
      </w:r>
      <w:r w:rsidR="009D3069">
        <w:rPr>
          <w:rFonts w:cs="David"/>
          <w:rtl/>
        </w:rPr>
        <w:t xml:space="preserve">גמלה, וכי הגיש תביעתו במועד. </w:t>
      </w:r>
    </w:p>
    <w:p w:rsidR="00722932" w:rsidRDefault="00722932" w:rsidP="00574032">
      <w:pPr>
        <w:pStyle w:val="a8"/>
        <w:numPr>
          <w:ilvl w:val="0"/>
          <w:numId w:val="1"/>
        </w:numPr>
        <w:tabs>
          <w:tab w:val="left" w:pos="674"/>
        </w:tabs>
        <w:spacing w:after="240" w:line="360" w:lineRule="auto"/>
        <w:ind w:left="674" w:hanging="630"/>
        <w:rPr>
          <w:rFonts w:cs="David"/>
        </w:rPr>
      </w:pPr>
      <w:r>
        <w:rPr>
          <w:rFonts w:cs="David"/>
          <w:rtl/>
        </w:rPr>
        <w:t xml:space="preserve">בית הדין </w:t>
      </w:r>
      <w:r w:rsidR="009D3069">
        <w:rPr>
          <w:rFonts w:cs="David"/>
          <w:rtl/>
        </w:rPr>
        <w:t>קמא אימץ את טענת המשיבות, וקבע</w:t>
      </w:r>
      <w:r>
        <w:rPr>
          <w:rFonts w:cs="David"/>
          <w:rtl/>
        </w:rPr>
        <w:t xml:space="preserve">, </w:t>
      </w:r>
      <w:r w:rsidR="009D3069">
        <w:rPr>
          <w:rFonts w:cs="David"/>
          <w:rtl/>
        </w:rPr>
        <w:t>בכל הזהירות הנדרשת</w:t>
      </w:r>
      <w:r w:rsidR="009D3069" w:rsidRPr="0082762F">
        <w:rPr>
          <w:rFonts w:cs="David"/>
          <w:color w:val="FFC000"/>
          <w:rtl/>
        </w:rPr>
        <w:t xml:space="preserve"> </w:t>
      </w:r>
      <w:r w:rsidR="009D3069">
        <w:rPr>
          <w:rFonts w:cs="David"/>
          <w:rtl/>
        </w:rPr>
        <w:t xml:space="preserve">- </w:t>
      </w:r>
      <w:r>
        <w:rPr>
          <w:rFonts w:cs="David"/>
          <w:rtl/>
        </w:rPr>
        <w:t xml:space="preserve">מבלי </w:t>
      </w:r>
      <w:r w:rsidR="009D3069">
        <w:rPr>
          <w:rFonts w:cs="David"/>
          <w:rtl/>
        </w:rPr>
        <w:t>שנכנס</w:t>
      </w:r>
      <w:r>
        <w:rPr>
          <w:rFonts w:cs="David"/>
          <w:rtl/>
        </w:rPr>
        <w:t xml:space="preserve"> לעומקם של דברים</w:t>
      </w:r>
      <w:r w:rsidR="009D3069">
        <w:rPr>
          <w:rFonts w:cs="David"/>
          <w:rtl/>
        </w:rPr>
        <w:t xml:space="preserve"> - </w:t>
      </w:r>
      <w:r>
        <w:rPr>
          <w:rFonts w:cs="David"/>
          <w:rtl/>
        </w:rPr>
        <w:t>כי "</w:t>
      </w:r>
      <w:r w:rsidRPr="00722932">
        <w:rPr>
          <w:rFonts w:cs="David"/>
          <w:i/>
          <w:iCs/>
          <w:rtl/>
        </w:rPr>
        <w:t>על זכותו של המערער לגמלה חלות הזכויות הקבועות בחוק הגמלאות, ובכלל זה הזכות להגיש ערעור גמלאות....</w:t>
      </w:r>
      <w:r>
        <w:rPr>
          <w:rFonts w:cs="David"/>
          <w:rtl/>
        </w:rPr>
        <w:t xml:space="preserve">". </w:t>
      </w:r>
      <w:r>
        <w:rPr>
          <w:rStyle w:val="ac"/>
          <w:rtl/>
        </w:rPr>
        <w:footnoteReference w:id="19"/>
      </w:r>
    </w:p>
    <w:p w:rsidR="009C4A8E" w:rsidRDefault="009C4A8E" w:rsidP="00F756EA">
      <w:pPr>
        <w:pStyle w:val="a8"/>
        <w:numPr>
          <w:ilvl w:val="0"/>
          <w:numId w:val="1"/>
        </w:numPr>
        <w:tabs>
          <w:tab w:val="left" w:pos="674"/>
        </w:tabs>
        <w:spacing w:after="240" w:line="360" w:lineRule="auto"/>
        <w:ind w:left="674" w:hanging="630"/>
        <w:rPr>
          <w:rFonts w:cs="David"/>
        </w:rPr>
      </w:pPr>
      <w:r>
        <w:rPr>
          <w:rFonts w:cs="David"/>
          <w:rtl/>
        </w:rPr>
        <w:lastRenderedPageBreak/>
        <w:t>כפי שנסביר להלן, ובכל הכבוד, קביעה זאת שגויה מיסודה, מתעלמת לחלוטין מלשונו של חוזה הבכירים וממהות החוזה</w:t>
      </w:r>
      <w:r w:rsidR="00722932">
        <w:rPr>
          <w:rFonts w:cs="David"/>
          <w:rtl/>
        </w:rPr>
        <w:t>, ונקבעה מבלי לבחון לעומק את טענות המערער</w:t>
      </w:r>
      <w:r w:rsidR="00FF79F6">
        <w:rPr>
          <w:rFonts w:cs="David"/>
          <w:rtl/>
        </w:rPr>
        <w:t xml:space="preserve"> ואת הוראות חוזה הבכירים</w:t>
      </w:r>
      <w:r>
        <w:rPr>
          <w:rFonts w:cs="David"/>
          <w:rtl/>
        </w:rPr>
        <w:t>.</w:t>
      </w:r>
      <w:r w:rsidR="00722932">
        <w:rPr>
          <w:rFonts w:cs="David"/>
          <w:rtl/>
        </w:rPr>
        <w:t xml:space="preserve"> </w:t>
      </w:r>
    </w:p>
    <w:p w:rsidR="00722932" w:rsidRDefault="00722932" w:rsidP="00355243">
      <w:pPr>
        <w:pStyle w:val="a8"/>
        <w:tabs>
          <w:tab w:val="left" w:pos="674"/>
        </w:tabs>
        <w:spacing w:after="0" w:line="360" w:lineRule="auto"/>
        <w:ind w:left="674"/>
        <w:rPr>
          <w:rFonts w:cs="David"/>
        </w:rPr>
      </w:pPr>
    </w:p>
    <w:p w:rsidR="002518F9" w:rsidRDefault="002518F9" w:rsidP="002518F9">
      <w:pPr>
        <w:pStyle w:val="a8"/>
        <w:tabs>
          <w:tab w:val="left" w:pos="674"/>
        </w:tabs>
        <w:spacing w:after="240" w:line="360" w:lineRule="auto"/>
        <w:rPr>
          <w:rFonts w:cs="David"/>
          <w:b/>
          <w:bCs/>
          <w:u w:val="single"/>
          <w:rtl/>
        </w:rPr>
      </w:pPr>
      <w:r w:rsidRPr="002518F9">
        <w:rPr>
          <w:rFonts w:cs="David"/>
          <w:b/>
          <w:bCs/>
          <w:u w:val="single"/>
          <w:rtl/>
        </w:rPr>
        <w:t xml:space="preserve">טעה בית הדין </w:t>
      </w:r>
      <w:r w:rsidR="00523912">
        <w:rPr>
          <w:rFonts w:cs="David"/>
          <w:b/>
          <w:bCs/>
          <w:u w:val="single"/>
          <w:rtl/>
        </w:rPr>
        <w:t xml:space="preserve">הנכבד </w:t>
      </w:r>
      <w:r w:rsidRPr="002518F9">
        <w:rPr>
          <w:rFonts w:cs="David"/>
          <w:b/>
          <w:bCs/>
          <w:u w:val="single"/>
          <w:rtl/>
        </w:rPr>
        <w:t xml:space="preserve">קמא כאשר לא </w:t>
      </w:r>
      <w:r>
        <w:rPr>
          <w:rFonts w:cs="David"/>
          <w:b/>
          <w:bCs/>
          <w:u w:val="single"/>
          <w:rtl/>
        </w:rPr>
        <w:t>התייחס למשמעות של ניסוח החוזה על ידי המדינה</w:t>
      </w:r>
    </w:p>
    <w:p w:rsidR="002B3B9D" w:rsidRDefault="002518F9" w:rsidP="00F756EA">
      <w:pPr>
        <w:pStyle w:val="a8"/>
        <w:numPr>
          <w:ilvl w:val="0"/>
          <w:numId w:val="1"/>
        </w:numPr>
        <w:tabs>
          <w:tab w:val="left" w:pos="674"/>
        </w:tabs>
        <w:spacing w:after="240" w:line="360" w:lineRule="auto"/>
        <w:ind w:left="674" w:hanging="630"/>
        <w:rPr>
          <w:rFonts w:cs="David"/>
        </w:rPr>
      </w:pPr>
      <w:r w:rsidRPr="007C00B3">
        <w:rPr>
          <w:rFonts w:cs="David"/>
          <w:rtl/>
        </w:rPr>
        <w:t xml:space="preserve">המסמך הבסיסי להבנת מערכת היחסים בין הצדדים, ומהם החוקים החלים עליה, הוא </w:t>
      </w:r>
      <w:r w:rsidRPr="0057045E">
        <w:rPr>
          <w:rFonts w:cs="David"/>
          <w:rtl/>
        </w:rPr>
        <w:t xml:space="preserve">חוזה הבכירים עליו חתם </w:t>
      </w:r>
      <w:r w:rsidR="002B3B9D">
        <w:rPr>
          <w:rFonts w:cs="David"/>
          <w:rtl/>
        </w:rPr>
        <w:t>המערער</w:t>
      </w:r>
      <w:r w:rsidRPr="007C00B3">
        <w:rPr>
          <w:rFonts w:cs="David"/>
          <w:rtl/>
        </w:rPr>
        <w:t xml:space="preserve">. </w:t>
      </w:r>
      <w:r w:rsidRPr="002B3B9D">
        <w:rPr>
          <w:rFonts w:cs="David"/>
          <w:b/>
          <w:bCs/>
          <w:rtl/>
        </w:rPr>
        <w:t xml:space="preserve">מדובר בחוזה שנוסח ונכתב על ידי המדינה, כאשר </w:t>
      </w:r>
      <w:r w:rsidR="002B3B9D" w:rsidRPr="002B3B9D">
        <w:rPr>
          <w:rFonts w:cs="David"/>
          <w:b/>
          <w:bCs/>
          <w:rtl/>
        </w:rPr>
        <w:t xml:space="preserve">המערער </w:t>
      </w:r>
      <w:r w:rsidRPr="002B3B9D">
        <w:rPr>
          <w:rFonts w:cs="David"/>
          <w:b/>
          <w:bCs/>
          <w:rtl/>
        </w:rPr>
        <w:t>לא יכול היה לשנות בו מילה או פסיק.</w:t>
      </w:r>
      <w:r w:rsidRPr="007C00B3">
        <w:rPr>
          <w:rFonts w:cs="David"/>
          <w:rtl/>
        </w:rPr>
        <w:t xml:space="preserve"> </w:t>
      </w:r>
    </w:p>
    <w:p w:rsidR="002518F9" w:rsidRDefault="002518F9" w:rsidP="009D3069">
      <w:pPr>
        <w:pStyle w:val="a8"/>
        <w:tabs>
          <w:tab w:val="left" w:pos="674"/>
        </w:tabs>
        <w:spacing w:after="240" w:line="360" w:lineRule="auto"/>
        <w:ind w:left="674"/>
        <w:rPr>
          <w:rFonts w:cs="David"/>
        </w:rPr>
      </w:pPr>
      <w:r w:rsidRPr="007C00B3">
        <w:rPr>
          <w:rFonts w:cs="David"/>
          <w:rtl/>
        </w:rPr>
        <w:t xml:space="preserve">כאשר מדובר בחוזה שנוסח על ידי המדינה בלבד, </w:t>
      </w:r>
      <w:r w:rsidR="009D3069">
        <w:rPr>
          <w:rFonts w:cs="David"/>
          <w:rtl/>
        </w:rPr>
        <w:t xml:space="preserve">כחוזה אחיד ממש, </w:t>
      </w:r>
      <w:r w:rsidRPr="007C00B3">
        <w:rPr>
          <w:rFonts w:cs="David"/>
          <w:rtl/>
        </w:rPr>
        <w:t xml:space="preserve">המשמעות הפרשנית ברורה: אף </w:t>
      </w:r>
      <w:r w:rsidRPr="009D3069">
        <w:rPr>
          <w:rFonts w:cs="David"/>
          <w:b/>
          <w:bCs/>
          <w:rtl/>
        </w:rPr>
        <w:t>אם יש ספק פרשני</w:t>
      </w:r>
      <w:r w:rsidR="009D3069">
        <w:rPr>
          <w:rFonts w:cs="David"/>
          <w:b/>
          <w:bCs/>
          <w:rtl/>
        </w:rPr>
        <w:t xml:space="preserve"> </w:t>
      </w:r>
      <w:r w:rsidRPr="009D3069">
        <w:rPr>
          <w:rFonts w:cs="David"/>
          <w:b/>
          <w:bCs/>
          <w:rtl/>
        </w:rPr>
        <w:t>יש לפרש את החוזה לרעת המדינה</w:t>
      </w:r>
      <w:r w:rsidR="009D3069">
        <w:rPr>
          <w:rFonts w:cs="David"/>
          <w:b/>
          <w:bCs/>
          <w:rtl/>
        </w:rPr>
        <w:t xml:space="preserve"> </w:t>
      </w:r>
      <w:r w:rsidR="009D3069">
        <w:rPr>
          <w:rFonts w:cs="David"/>
          <w:rtl/>
        </w:rPr>
        <w:t>(נציין כי לטעמנו אין ספק פרשני במקרה זה, שכן החוזה אינו קובע שעל תקופת העבודה בחוזה בכירים חל סעיף 43 לחוק הגימלאות</w:t>
      </w:r>
      <w:r w:rsidR="00575D1A">
        <w:rPr>
          <w:rFonts w:cs="David"/>
          <w:rtl/>
        </w:rPr>
        <w:t>, וזאת בהינתן הקביעה המפורשת בהסכם כי חוק הגימלאות כולו אינו חל על העסקת המערער בחוזה הבכירים, כפי שיפורט</w:t>
      </w:r>
      <w:r w:rsidR="009D3069">
        <w:rPr>
          <w:rFonts w:cs="David"/>
          <w:rtl/>
        </w:rPr>
        <w:t>)</w:t>
      </w:r>
      <w:r w:rsidRPr="007C00B3">
        <w:rPr>
          <w:rFonts w:cs="David"/>
          <w:rtl/>
        </w:rPr>
        <w:t>.</w:t>
      </w:r>
    </w:p>
    <w:p w:rsidR="002B3B9D" w:rsidRDefault="002B3B9D" w:rsidP="00E9558F">
      <w:pPr>
        <w:pStyle w:val="a8"/>
        <w:numPr>
          <w:ilvl w:val="0"/>
          <w:numId w:val="1"/>
        </w:numPr>
        <w:tabs>
          <w:tab w:val="left" w:pos="674"/>
        </w:tabs>
        <w:spacing w:after="240" w:line="360" w:lineRule="auto"/>
        <w:ind w:left="674" w:hanging="630"/>
        <w:rPr>
          <w:rFonts w:cs="David"/>
        </w:rPr>
      </w:pPr>
      <w:r>
        <w:rPr>
          <w:rFonts w:cs="David"/>
          <w:rtl/>
        </w:rPr>
        <w:t xml:space="preserve">בית הדין </w:t>
      </w:r>
      <w:r w:rsidR="00E9558F">
        <w:rPr>
          <w:rFonts w:cs="David"/>
          <w:rtl/>
        </w:rPr>
        <w:t xml:space="preserve">הנכבד </w:t>
      </w:r>
      <w:r>
        <w:rPr>
          <w:rFonts w:cs="David"/>
          <w:rtl/>
        </w:rPr>
        <w:t>קמא התעלם לחלוטין מעובדה זאת וממשמעותה המשפטית, ולא ייחס כל חשיבות לעניין זה. בכל הכבוד, בכך</w:t>
      </w:r>
      <w:r w:rsidR="009D3069">
        <w:rPr>
          <w:rFonts w:cs="David"/>
          <w:rtl/>
        </w:rPr>
        <w:t xml:space="preserve"> </w:t>
      </w:r>
      <w:r>
        <w:rPr>
          <w:rFonts w:cs="David"/>
          <w:rtl/>
        </w:rPr>
        <w:t>טעה בית הדין קמא טעות מהותית</w:t>
      </w:r>
      <w:r w:rsidR="009D3069">
        <w:rPr>
          <w:rFonts w:cs="David"/>
          <w:rtl/>
        </w:rPr>
        <w:t xml:space="preserve">, שכן </w:t>
      </w:r>
      <w:r w:rsidR="009D3069" w:rsidRPr="009D3069">
        <w:rPr>
          <w:rFonts w:cs="David"/>
          <w:b/>
          <w:bCs/>
          <w:rtl/>
        </w:rPr>
        <w:t>חוזה הבכירים אינו מפנה בצורה מפורשת לסעיף 43 לחוק הגימלאות, ובהיעדר הפנייה מפורשת – סעיף 43 לחוק הגימלאות אינו חל על היחסים בין הצדדים</w:t>
      </w:r>
      <w:r>
        <w:rPr>
          <w:rFonts w:cs="David"/>
          <w:rtl/>
        </w:rPr>
        <w:t>.</w:t>
      </w:r>
    </w:p>
    <w:p w:rsidR="002D7E29" w:rsidRDefault="002D7E29" w:rsidP="00F756EA">
      <w:pPr>
        <w:pStyle w:val="a8"/>
        <w:numPr>
          <w:ilvl w:val="0"/>
          <w:numId w:val="1"/>
        </w:numPr>
        <w:tabs>
          <w:tab w:val="left" w:pos="674"/>
        </w:tabs>
        <w:spacing w:after="240" w:line="360" w:lineRule="auto"/>
        <w:ind w:left="674" w:hanging="630"/>
        <w:rPr>
          <w:rFonts w:cs="David"/>
        </w:rPr>
      </w:pPr>
      <w:r>
        <w:rPr>
          <w:rFonts w:cs="David"/>
          <w:rtl/>
        </w:rPr>
        <w:t xml:space="preserve">יתרה מכך, טעה בית הדין </w:t>
      </w:r>
      <w:r w:rsidR="00E9558F">
        <w:rPr>
          <w:rFonts w:cs="David"/>
          <w:rtl/>
        </w:rPr>
        <w:t xml:space="preserve">הנכבד </w:t>
      </w:r>
      <w:r>
        <w:rPr>
          <w:rFonts w:cs="David"/>
          <w:rtl/>
        </w:rPr>
        <w:t xml:space="preserve">קמא גם בכך שהתעלם ממהותו של חוזה הבכירים – </w:t>
      </w:r>
      <w:r w:rsidRPr="00C02D74">
        <w:rPr>
          <w:rFonts w:cs="David"/>
          <w:b/>
          <w:bCs/>
          <w:rtl/>
        </w:rPr>
        <w:t>אשר נוע</w:t>
      </w:r>
      <w:r w:rsidR="00EE5402" w:rsidRPr="00C02D74">
        <w:rPr>
          <w:rFonts w:cs="David"/>
          <w:b/>
          <w:bCs/>
          <w:rtl/>
        </w:rPr>
        <w:t>ד</w:t>
      </w:r>
      <w:r w:rsidRPr="00C02D74">
        <w:rPr>
          <w:rFonts w:cs="David"/>
          <w:b/>
          <w:bCs/>
          <w:rtl/>
        </w:rPr>
        <w:t xml:space="preserve"> </w:t>
      </w:r>
      <w:r w:rsidRPr="00C02D74">
        <w:rPr>
          <w:rFonts w:cs="David"/>
          <w:b/>
          <w:bCs/>
          <w:u w:val="single"/>
          <w:rtl/>
        </w:rPr>
        <w:t>להטיב</w:t>
      </w:r>
      <w:r w:rsidRPr="00C02D74">
        <w:rPr>
          <w:rFonts w:cs="David"/>
          <w:b/>
          <w:bCs/>
          <w:rtl/>
        </w:rPr>
        <w:t xml:space="preserve"> עם עובדים שלא היתה אפשרות להעסיק אותם בתנאים הקבועים לעובדי דירוג-דרגה</w:t>
      </w:r>
      <w:r>
        <w:rPr>
          <w:rFonts w:cs="David"/>
          <w:rtl/>
        </w:rPr>
        <w:t>. המדינה באה להטיב עם עובדים אלה, כנגד הוויתור שלהם על הקביעות, ועל רקע מהות זאת היה מקום לבחון האם סעיף 43 לחוק הגמלאות מיטיב עם המערער או לאו.</w:t>
      </w:r>
    </w:p>
    <w:p w:rsidR="002D7E29" w:rsidRDefault="002D7E29" w:rsidP="000F14D4">
      <w:pPr>
        <w:pStyle w:val="a8"/>
        <w:tabs>
          <w:tab w:val="left" w:pos="674"/>
        </w:tabs>
        <w:spacing w:after="240" w:line="360" w:lineRule="auto"/>
        <w:ind w:left="674"/>
        <w:rPr>
          <w:rFonts w:cs="David"/>
        </w:rPr>
      </w:pPr>
      <w:r>
        <w:rPr>
          <w:rFonts w:cs="David"/>
          <w:rtl/>
        </w:rPr>
        <w:t>מאחר שסעיף 43 לחוק הגמלאות מגביל את המערער ומקצר את זכות התביעה משבע שנים לזכות ערעור בת 60 ימים, נקודת המוצא היתה צריכה להיות שאם רצתה המדינה להגביל את המערער – היא היתה כותבת זאת במפורש, דבר שלא נעשה בפועל.</w:t>
      </w:r>
    </w:p>
    <w:p w:rsidR="00523912" w:rsidRDefault="00523912" w:rsidP="00355243">
      <w:pPr>
        <w:pStyle w:val="a8"/>
        <w:tabs>
          <w:tab w:val="left" w:pos="674"/>
        </w:tabs>
        <w:spacing w:after="0" w:line="360" w:lineRule="auto"/>
        <w:rPr>
          <w:rFonts w:cs="David"/>
          <w:b/>
          <w:bCs/>
          <w:u w:val="single"/>
          <w:rtl/>
        </w:rPr>
      </w:pPr>
    </w:p>
    <w:p w:rsidR="00580511" w:rsidRPr="002518F9" w:rsidRDefault="002518F9" w:rsidP="002518F9">
      <w:pPr>
        <w:pStyle w:val="a8"/>
        <w:tabs>
          <w:tab w:val="left" w:pos="674"/>
        </w:tabs>
        <w:spacing w:after="240" w:line="360" w:lineRule="auto"/>
        <w:rPr>
          <w:rFonts w:cs="David"/>
          <w:b/>
          <w:bCs/>
          <w:u w:val="single"/>
          <w:rtl/>
        </w:rPr>
      </w:pPr>
      <w:r w:rsidRPr="002518F9">
        <w:rPr>
          <w:rFonts w:cs="David"/>
          <w:b/>
          <w:bCs/>
          <w:u w:val="single"/>
          <w:rtl/>
        </w:rPr>
        <w:t>טעה בית הדין קמא כאשר לא ייחס חשיבות לכך שהכלל הוא שחוק הגימלאות אינו חל על תקופת עבודתו השנייה של המערער</w:t>
      </w:r>
    </w:p>
    <w:p w:rsidR="00985B99" w:rsidRPr="002B3B9D" w:rsidRDefault="00985B99" w:rsidP="00F756EA">
      <w:pPr>
        <w:pStyle w:val="a8"/>
        <w:numPr>
          <w:ilvl w:val="0"/>
          <w:numId w:val="1"/>
        </w:numPr>
        <w:tabs>
          <w:tab w:val="left" w:pos="674"/>
        </w:tabs>
        <w:spacing w:after="240" w:line="360" w:lineRule="auto"/>
        <w:ind w:left="674" w:hanging="630"/>
        <w:rPr>
          <w:rFonts w:cs="David"/>
        </w:rPr>
      </w:pPr>
      <w:r w:rsidRPr="002E2B87">
        <w:rPr>
          <w:rFonts w:cs="David"/>
          <w:rtl/>
        </w:rPr>
        <w:t>סעיף 11 לחוזה הבכירים עליו חתם המשיב קובע כי – "</w:t>
      </w:r>
      <w:r w:rsidRPr="002E2B87">
        <w:rPr>
          <w:rFonts w:cs="David"/>
          <w:b/>
          <w:bCs/>
          <w:i/>
          <w:iCs/>
          <w:rtl/>
        </w:rPr>
        <w:t>על תקופת עבודתו של העובד לפי חוזה זה</w:t>
      </w:r>
      <w:r w:rsidRPr="002E2B87">
        <w:rPr>
          <w:rFonts w:cs="David"/>
          <w:b/>
          <w:bCs/>
          <w:i/>
          <w:iCs/>
          <w:u w:val="single"/>
          <w:rtl/>
        </w:rPr>
        <w:t xml:space="preserve"> לא</w:t>
      </w:r>
      <w:r w:rsidRPr="002E2B87">
        <w:rPr>
          <w:rFonts w:cs="David"/>
          <w:b/>
          <w:bCs/>
          <w:i/>
          <w:iCs/>
          <w:rtl/>
        </w:rPr>
        <w:t xml:space="preserve"> יחול חוק שירות המדינה (גימלאות) (נוסח משולב), התש"ל – 1970 (להלן - חוק הגימלאות)".</w:t>
      </w:r>
    </w:p>
    <w:p w:rsidR="00580511" w:rsidRPr="002B3B9D" w:rsidRDefault="002518F9" w:rsidP="00F756EA">
      <w:pPr>
        <w:pStyle w:val="a8"/>
        <w:numPr>
          <w:ilvl w:val="0"/>
          <w:numId w:val="1"/>
        </w:numPr>
        <w:tabs>
          <w:tab w:val="left" w:pos="674"/>
        </w:tabs>
        <w:spacing w:after="240" w:line="360" w:lineRule="auto"/>
        <w:ind w:left="674" w:hanging="630"/>
        <w:rPr>
          <w:rFonts w:cs="David"/>
        </w:rPr>
      </w:pPr>
      <w:r w:rsidRPr="002B3B9D">
        <w:rPr>
          <w:rFonts w:cs="David"/>
          <w:b/>
          <w:bCs/>
          <w:rtl/>
        </w:rPr>
        <w:t xml:space="preserve">סעיף 11 האמור קובע, אם כן, את </w:t>
      </w:r>
      <w:r w:rsidRPr="006B2174">
        <w:rPr>
          <w:rFonts w:cs="David"/>
          <w:b/>
          <w:bCs/>
          <w:u w:val="single"/>
          <w:rtl/>
        </w:rPr>
        <w:t xml:space="preserve">הכלל </w:t>
      </w:r>
      <w:r w:rsidRPr="002B3B9D">
        <w:rPr>
          <w:rFonts w:cs="David"/>
          <w:b/>
          <w:bCs/>
          <w:rtl/>
        </w:rPr>
        <w:t xml:space="preserve">לפיו על תקופת עבודתו של העובד לפי חוזה הבכירים </w:t>
      </w:r>
      <w:r w:rsidRPr="006B2174">
        <w:rPr>
          <w:rFonts w:cs="David"/>
          <w:b/>
          <w:bCs/>
          <w:u w:val="single"/>
          <w:rtl/>
        </w:rPr>
        <w:t>לא</w:t>
      </w:r>
      <w:r w:rsidRPr="002B3B9D">
        <w:rPr>
          <w:rFonts w:cs="David"/>
          <w:b/>
          <w:bCs/>
          <w:rtl/>
        </w:rPr>
        <w:t xml:space="preserve"> חל</w:t>
      </w:r>
      <w:r w:rsidR="006B2174">
        <w:rPr>
          <w:rFonts w:cs="David"/>
          <w:b/>
          <w:bCs/>
          <w:rtl/>
        </w:rPr>
        <w:t>ות</w:t>
      </w:r>
      <w:r w:rsidRPr="002B3B9D">
        <w:rPr>
          <w:rFonts w:cs="David"/>
          <w:b/>
          <w:bCs/>
          <w:rtl/>
        </w:rPr>
        <w:t xml:space="preserve"> </w:t>
      </w:r>
      <w:r w:rsidR="006B2174">
        <w:rPr>
          <w:rFonts w:cs="David"/>
          <w:b/>
          <w:bCs/>
          <w:rtl/>
        </w:rPr>
        <w:t xml:space="preserve">הוראות </w:t>
      </w:r>
      <w:r w:rsidRPr="002B3B9D">
        <w:rPr>
          <w:rFonts w:cs="David"/>
          <w:b/>
          <w:bCs/>
          <w:rtl/>
        </w:rPr>
        <w:t>חוק הגימלאות.</w:t>
      </w:r>
      <w:r w:rsidR="002B3B9D" w:rsidRPr="002B3B9D">
        <w:rPr>
          <w:rFonts w:cs="David"/>
          <w:b/>
          <w:bCs/>
          <w:rtl/>
        </w:rPr>
        <w:t xml:space="preserve"> </w:t>
      </w:r>
    </w:p>
    <w:p w:rsidR="002B3B9D" w:rsidRDefault="002B3B9D" w:rsidP="002B3B9D">
      <w:pPr>
        <w:pStyle w:val="a8"/>
        <w:tabs>
          <w:tab w:val="left" w:pos="674"/>
        </w:tabs>
        <w:spacing w:after="240" w:line="360" w:lineRule="auto"/>
        <w:ind w:left="674"/>
        <w:rPr>
          <w:rFonts w:cs="David"/>
          <w:rtl/>
        </w:rPr>
      </w:pPr>
      <w:r w:rsidRPr="006B2174">
        <w:rPr>
          <w:rFonts w:cs="David"/>
          <w:b/>
          <w:bCs/>
          <w:rtl/>
        </w:rPr>
        <w:lastRenderedPageBreak/>
        <w:t>כל חריג לכלל זה חייב היה להיכתב במפורש ובצורה ברורה</w:t>
      </w:r>
      <w:r>
        <w:rPr>
          <w:rFonts w:cs="David"/>
          <w:rtl/>
        </w:rPr>
        <w:t>. ודוק – אם רצתה המדינה לקבוע כי המועד הקובע לערעור על הגימלה לפי חוזה הבכירים הוא בהתאם לחוק, היה הדבר צריך להיכתב במפורש בחוזה.</w:t>
      </w:r>
    </w:p>
    <w:p w:rsidR="002B3B9D" w:rsidRPr="00722932" w:rsidRDefault="002B3B9D" w:rsidP="002B3B9D">
      <w:pPr>
        <w:pStyle w:val="a8"/>
        <w:tabs>
          <w:tab w:val="left" w:pos="674"/>
        </w:tabs>
        <w:spacing w:after="240" w:line="360" w:lineRule="auto"/>
        <w:ind w:left="674"/>
        <w:rPr>
          <w:rFonts w:cs="David"/>
          <w:b/>
          <w:bCs/>
        </w:rPr>
      </w:pPr>
      <w:r>
        <w:rPr>
          <w:rFonts w:cs="David"/>
          <w:rtl/>
        </w:rPr>
        <w:t xml:space="preserve">כידוע, ופסק הדין אינו מתיימר לקבוע אחרת, </w:t>
      </w:r>
      <w:r w:rsidR="00722932">
        <w:rPr>
          <w:rFonts w:cs="David"/>
          <w:b/>
          <w:bCs/>
          <w:rtl/>
        </w:rPr>
        <w:t xml:space="preserve">חוזה הבכירים </w:t>
      </w:r>
      <w:r w:rsidR="00722932" w:rsidRPr="00E332AC">
        <w:rPr>
          <w:rFonts w:cs="David"/>
          <w:b/>
          <w:bCs/>
          <w:u w:val="single"/>
          <w:rtl/>
        </w:rPr>
        <w:t>אינו</w:t>
      </w:r>
      <w:r w:rsidR="00722932">
        <w:rPr>
          <w:rFonts w:cs="David"/>
          <w:b/>
          <w:bCs/>
          <w:rtl/>
        </w:rPr>
        <w:t xml:space="preserve"> קובע כי חוק הגמלאות חל גם על המועד הקובע להגשת ערעור</w:t>
      </w:r>
      <w:r w:rsidR="006B2174">
        <w:rPr>
          <w:rFonts w:cs="David"/>
          <w:b/>
          <w:bCs/>
          <w:rtl/>
        </w:rPr>
        <w:t xml:space="preserve"> </w:t>
      </w:r>
      <w:r w:rsidR="006B2174">
        <w:rPr>
          <w:rFonts w:cs="David"/>
          <w:rtl/>
        </w:rPr>
        <w:t>(סעיף 43 לחוק הגימלאות)</w:t>
      </w:r>
      <w:r w:rsidR="00722932" w:rsidRPr="006B2174">
        <w:rPr>
          <w:rFonts w:cs="David"/>
          <w:rtl/>
        </w:rPr>
        <w:t>.</w:t>
      </w:r>
      <w:r w:rsidR="00722932">
        <w:rPr>
          <w:rFonts w:cs="David"/>
          <w:b/>
          <w:bCs/>
          <w:rtl/>
        </w:rPr>
        <w:t xml:space="preserve"> </w:t>
      </w:r>
    </w:p>
    <w:p w:rsidR="002518F9" w:rsidRPr="00E332AC" w:rsidRDefault="007223B4" w:rsidP="00F756EA">
      <w:pPr>
        <w:pStyle w:val="a8"/>
        <w:numPr>
          <w:ilvl w:val="0"/>
          <w:numId w:val="1"/>
        </w:numPr>
        <w:tabs>
          <w:tab w:val="left" w:pos="674"/>
        </w:tabs>
        <w:spacing w:after="240" w:line="360" w:lineRule="auto"/>
        <w:ind w:left="674" w:hanging="630"/>
        <w:rPr>
          <w:rFonts w:cs="David"/>
        </w:rPr>
      </w:pPr>
      <w:r>
        <w:rPr>
          <w:rFonts w:cs="David"/>
          <w:rtl/>
        </w:rPr>
        <w:t>טעה בית הדין קמא כאשר התעלם</w:t>
      </w:r>
      <w:r w:rsidR="00E332AC">
        <w:rPr>
          <w:rFonts w:cs="David"/>
          <w:rtl/>
        </w:rPr>
        <w:t xml:space="preserve"> </w:t>
      </w:r>
      <w:r>
        <w:rPr>
          <w:rFonts w:cs="David"/>
          <w:rtl/>
        </w:rPr>
        <w:t>מ</w:t>
      </w:r>
      <w:r w:rsidR="00E332AC">
        <w:rPr>
          <w:rFonts w:cs="David"/>
          <w:rtl/>
        </w:rPr>
        <w:t xml:space="preserve">הכלל </w:t>
      </w:r>
      <w:r>
        <w:rPr>
          <w:rFonts w:cs="David"/>
          <w:rtl/>
        </w:rPr>
        <w:t>הבסיסי בפרשנות חוזים</w:t>
      </w:r>
      <w:r w:rsidR="00E332AC">
        <w:rPr>
          <w:rFonts w:cs="David"/>
          <w:rtl/>
        </w:rPr>
        <w:t xml:space="preserve">, </w:t>
      </w:r>
      <w:r>
        <w:rPr>
          <w:rFonts w:cs="David"/>
          <w:rtl/>
        </w:rPr>
        <w:t xml:space="preserve">ולפיו </w:t>
      </w:r>
      <w:r w:rsidR="00E332AC">
        <w:rPr>
          <w:rFonts w:cs="David"/>
          <w:rtl/>
        </w:rPr>
        <w:t xml:space="preserve">מקום בו נקבע כלל בחוזה – על ידי המדינה שניסחה את החוזה </w:t>
      </w:r>
      <w:r w:rsidR="00E332AC" w:rsidRPr="007223B4">
        <w:rPr>
          <w:rFonts w:cs="David"/>
          <w:b/>
          <w:bCs/>
          <w:rtl/>
        </w:rPr>
        <w:t xml:space="preserve">– </w:t>
      </w:r>
      <w:r w:rsidR="00E332AC" w:rsidRPr="007223B4">
        <w:rPr>
          <w:rFonts w:cs="David"/>
          <w:b/>
          <w:bCs/>
          <w:u w:val="single"/>
          <w:rtl/>
        </w:rPr>
        <w:t>כל חריג לכלל זה חייב להיכתב במפורש</w:t>
      </w:r>
      <w:r w:rsidR="00E332AC">
        <w:rPr>
          <w:rFonts w:cs="David"/>
          <w:rtl/>
        </w:rPr>
        <w:t xml:space="preserve">. מאחר שהמדינה בחרה להתעלם משאלה זאת, בחוזה אותו ניסחה, </w:t>
      </w:r>
      <w:r w:rsidR="00E332AC">
        <w:rPr>
          <w:rFonts w:cs="David"/>
          <w:b/>
          <w:bCs/>
          <w:rtl/>
        </w:rPr>
        <w:t>הרי שהמועד הקבוע להגשת ערעור בחוק הגימלאות אינו חל על היחסים בין הצדדים, כפי שנקבעו בחוזה הבכירים.</w:t>
      </w:r>
    </w:p>
    <w:p w:rsidR="00FC1D83" w:rsidRDefault="00FC1D83" w:rsidP="00355243">
      <w:pPr>
        <w:pStyle w:val="a8"/>
        <w:tabs>
          <w:tab w:val="left" w:pos="674"/>
        </w:tabs>
        <w:spacing w:after="0" w:line="360" w:lineRule="auto"/>
        <w:rPr>
          <w:rFonts w:cs="David"/>
          <w:b/>
          <w:bCs/>
          <w:u w:val="single"/>
          <w:rtl/>
        </w:rPr>
      </w:pPr>
    </w:p>
    <w:p w:rsidR="00E332AC" w:rsidRDefault="00E332AC" w:rsidP="00AD5378">
      <w:pPr>
        <w:pStyle w:val="a8"/>
        <w:tabs>
          <w:tab w:val="left" w:pos="674"/>
        </w:tabs>
        <w:spacing w:after="240" w:line="360" w:lineRule="auto"/>
        <w:rPr>
          <w:rFonts w:cs="David"/>
          <w:b/>
          <w:bCs/>
          <w:u w:val="single"/>
          <w:rtl/>
        </w:rPr>
      </w:pPr>
      <w:r w:rsidRPr="002518F9">
        <w:rPr>
          <w:rFonts w:cs="David"/>
          <w:b/>
          <w:bCs/>
          <w:u w:val="single"/>
          <w:rtl/>
        </w:rPr>
        <w:t xml:space="preserve">טעה בית הדין קמא </w:t>
      </w:r>
      <w:r w:rsidR="00491A25">
        <w:rPr>
          <w:rFonts w:cs="David"/>
          <w:b/>
          <w:bCs/>
          <w:u w:val="single"/>
          <w:rtl/>
        </w:rPr>
        <w:t xml:space="preserve">בקביעה הכוללנית </w:t>
      </w:r>
      <w:r w:rsidR="00FE1A18">
        <w:rPr>
          <w:rFonts w:cs="David"/>
          <w:b/>
          <w:bCs/>
          <w:u w:val="single"/>
          <w:rtl/>
        </w:rPr>
        <w:t>בדבר הזכויות החלות על המערער מכוח</w:t>
      </w:r>
      <w:r w:rsidR="001705DA">
        <w:rPr>
          <w:rFonts w:cs="David"/>
          <w:b/>
          <w:bCs/>
          <w:u w:val="single"/>
          <w:rtl/>
        </w:rPr>
        <w:t xml:space="preserve"> חוק </w:t>
      </w:r>
      <w:r w:rsidR="00FE1A18">
        <w:rPr>
          <w:rFonts w:cs="David"/>
          <w:b/>
          <w:bCs/>
          <w:u w:val="single"/>
          <w:rtl/>
        </w:rPr>
        <w:t>הגמלאות</w:t>
      </w:r>
    </w:p>
    <w:p w:rsidR="006B2174" w:rsidRDefault="006B2174" w:rsidP="00F756EA">
      <w:pPr>
        <w:pStyle w:val="a8"/>
        <w:numPr>
          <w:ilvl w:val="0"/>
          <w:numId w:val="1"/>
        </w:numPr>
        <w:tabs>
          <w:tab w:val="left" w:pos="674"/>
        </w:tabs>
        <w:spacing w:after="240" w:line="360" w:lineRule="auto"/>
        <w:ind w:left="674" w:hanging="630"/>
        <w:rPr>
          <w:rFonts w:cs="David"/>
        </w:rPr>
      </w:pPr>
      <w:r>
        <w:rPr>
          <w:rFonts w:cs="David"/>
          <w:rtl/>
        </w:rPr>
        <w:t>בית הדין קמא קבע, בסעיף 38 לפסק הדין, כי בהתאם לסעיף 12(ה) לחוזה הבכירים</w:t>
      </w:r>
      <w:r w:rsidR="0017017A">
        <w:rPr>
          <w:rFonts w:cs="David"/>
          <w:rtl/>
        </w:rPr>
        <w:t xml:space="preserve"> - "</w:t>
      </w:r>
      <w:r w:rsidR="0017017A">
        <w:rPr>
          <w:rFonts w:cs="David"/>
          <w:b/>
          <w:bCs/>
          <w:i/>
          <w:iCs/>
          <w:rtl/>
        </w:rPr>
        <w:t xml:space="preserve">על זכותו של התובע לגמלה חלות </w:t>
      </w:r>
      <w:r w:rsidR="0017017A">
        <w:rPr>
          <w:rFonts w:cs="David"/>
          <w:b/>
          <w:bCs/>
          <w:i/>
          <w:iCs/>
          <w:u w:val="single"/>
          <w:rtl/>
        </w:rPr>
        <w:t>הזכויות</w:t>
      </w:r>
      <w:r w:rsidR="0017017A">
        <w:rPr>
          <w:rFonts w:cs="David"/>
          <w:b/>
          <w:bCs/>
          <w:i/>
          <w:iCs/>
          <w:rtl/>
        </w:rPr>
        <w:t xml:space="preserve"> הקבועות בחוק הגמלאות, ובכלל זה </w:t>
      </w:r>
      <w:r w:rsidR="0017017A">
        <w:rPr>
          <w:rFonts w:cs="David"/>
          <w:b/>
          <w:bCs/>
          <w:i/>
          <w:iCs/>
          <w:u w:val="single"/>
          <w:rtl/>
        </w:rPr>
        <w:t>הזכות</w:t>
      </w:r>
      <w:r w:rsidR="0017017A">
        <w:rPr>
          <w:rFonts w:cs="David"/>
          <w:b/>
          <w:bCs/>
          <w:i/>
          <w:iCs/>
          <w:rtl/>
        </w:rPr>
        <w:t xml:space="preserve"> להגיש ערעור גמלאות לפי סעיף 43 לחוק הגמלאות במועד שנקבע בתקנות הגמלאות</w:t>
      </w:r>
      <w:r w:rsidR="0017017A" w:rsidRPr="0017017A">
        <w:rPr>
          <w:rFonts w:cs="David"/>
          <w:rtl/>
        </w:rPr>
        <w:t>".</w:t>
      </w:r>
    </w:p>
    <w:p w:rsidR="0017017A" w:rsidRDefault="0017017A" w:rsidP="007223B4">
      <w:pPr>
        <w:pStyle w:val="a8"/>
        <w:tabs>
          <w:tab w:val="left" w:pos="674"/>
        </w:tabs>
        <w:spacing w:after="240" w:line="360" w:lineRule="auto"/>
        <w:ind w:left="674"/>
        <w:rPr>
          <w:rFonts w:cs="David"/>
        </w:rPr>
      </w:pPr>
      <w:r>
        <w:rPr>
          <w:rFonts w:cs="David"/>
          <w:rtl/>
        </w:rPr>
        <w:t xml:space="preserve">טעה בית הדין קמא </w:t>
      </w:r>
      <w:r w:rsidR="007223B4">
        <w:rPr>
          <w:rFonts w:cs="David"/>
          <w:rtl/>
        </w:rPr>
        <w:t xml:space="preserve">כאשר התייחס לזכות לערעור לפי סעיף 43 לחוק הגמלאות כ – "זכות" שניתנה למערער. </w:t>
      </w:r>
    </w:p>
    <w:p w:rsidR="00FE1A18" w:rsidRDefault="00FE1A18" w:rsidP="00F756EA">
      <w:pPr>
        <w:pStyle w:val="a8"/>
        <w:numPr>
          <w:ilvl w:val="0"/>
          <w:numId w:val="1"/>
        </w:numPr>
        <w:tabs>
          <w:tab w:val="left" w:pos="674"/>
        </w:tabs>
        <w:spacing w:after="240" w:line="360" w:lineRule="auto"/>
        <w:ind w:left="674" w:hanging="630"/>
        <w:rPr>
          <w:rFonts w:cs="David"/>
        </w:rPr>
      </w:pPr>
      <w:r w:rsidRPr="0057045E">
        <w:rPr>
          <w:rFonts w:cs="David"/>
          <w:rtl/>
        </w:rPr>
        <w:t>סעיף 12 לחוזה הבכירים</w:t>
      </w:r>
      <w:r>
        <w:rPr>
          <w:rFonts w:cs="David"/>
          <w:rtl/>
        </w:rPr>
        <w:t>, אליו התייחס בית הדין קמא בסעיף 36 לפסק הדין,</w:t>
      </w:r>
      <w:r w:rsidRPr="0057045E">
        <w:rPr>
          <w:rFonts w:cs="David"/>
          <w:rtl/>
        </w:rPr>
        <w:t xml:space="preserve"> קובע את העיקרון לפיו תצורף תקופת השירות בחוזה בכירים לתקופת השירות על פי כתב המינוי. בשל חשיבותו של סעיף זה נביא את הרישא לסעיף ככתבו וכלשונו:</w:t>
      </w:r>
    </w:p>
    <w:p w:rsidR="00FE1A18" w:rsidRDefault="001D1380" w:rsidP="00985B99">
      <w:pPr>
        <w:tabs>
          <w:tab w:val="left" w:pos="620"/>
        </w:tabs>
        <w:spacing w:after="120" w:line="360" w:lineRule="auto"/>
        <w:ind w:left="620"/>
        <w:jc w:val="both"/>
        <w:rPr>
          <w:rFonts w:cs="David"/>
          <w:rtl/>
        </w:rPr>
      </w:pPr>
      <w:r w:rsidRPr="00985B99">
        <w:rPr>
          <w:rFonts w:cs="David"/>
          <w:noProof/>
          <w:lang w:eastAsia="en-US"/>
        </w:rPr>
        <w:drawing>
          <wp:inline distT="0" distB="0" distL="0" distR="0">
            <wp:extent cx="5629275" cy="800100"/>
            <wp:effectExtent l="0" t="0" r="9525" b="0"/>
            <wp:docPr id="1" name="תמונה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29275" cy="800100"/>
                    </a:xfrm>
                    <a:prstGeom prst="rect">
                      <a:avLst/>
                    </a:prstGeom>
                    <a:noFill/>
                    <a:ln>
                      <a:noFill/>
                    </a:ln>
                  </pic:spPr>
                </pic:pic>
              </a:graphicData>
            </a:graphic>
          </wp:inline>
        </w:drawing>
      </w:r>
    </w:p>
    <w:p w:rsidR="00FE1A18" w:rsidRPr="00491A25" w:rsidRDefault="00FE1A18" w:rsidP="00491A25">
      <w:pPr>
        <w:spacing w:after="240" w:line="360" w:lineRule="auto"/>
        <w:ind w:left="620"/>
        <w:jc w:val="both"/>
        <w:rPr>
          <w:rFonts w:cs="David"/>
          <w:b/>
          <w:bCs/>
          <w:rtl/>
        </w:rPr>
      </w:pPr>
      <w:r>
        <w:rPr>
          <w:rFonts w:cs="David"/>
          <w:rtl/>
        </w:rPr>
        <w:t xml:space="preserve">סעיף 12 האמור מפרט את </w:t>
      </w:r>
      <w:r w:rsidRPr="00073D5E">
        <w:rPr>
          <w:rFonts w:cs="David"/>
          <w:b/>
          <w:bCs/>
          <w:rtl/>
        </w:rPr>
        <w:t>התנאים השונים</w:t>
      </w:r>
      <w:r>
        <w:rPr>
          <w:rFonts w:cs="David"/>
          <w:b/>
          <w:bCs/>
          <w:rtl/>
        </w:rPr>
        <w:t xml:space="preserve"> לצירוף התקופה ולגובה הג</w:t>
      </w:r>
      <w:r w:rsidRPr="00073D5E">
        <w:rPr>
          <w:rFonts w:cs="David"/>
          <w:b/>
          <w:bCs/>
          <w:rtl/>
        </w:rPr>
        <w:t xml:space="preserve">מלה שתשולם </w:t>
      </w:r>
      <w:r w:rsidRPr="00073D5E">
        <w:rPr>
          <w:rFonts w:cs="David"/>
          <w:b/>
          <w:bCs/>
          <w:u w:val="single"/>
          <w:rtl/>
        </w:rPr>
        <w:t>למשיב עבור שתי התקופות</w:t>
      </w:r>
      <w:r>
        <w:rPr>
          <w:rFonts w:cs="David"/>
          <w:b/>
          <w:bCs/>
          <w:rtl/>
        </w:rPr>
        <w:t xml:space="preserve">.  </w:t>
      </w:r>
      <w:r>
        <w:rPr>
          <w:rFonts w:cs="David"/>
          <w:rtl/>
        </w:rPr>
        <w:t xml:space="preserve">ודוק - </w:t>
      </w:r>
      <w:r w:rsidRPr="00491A25">
        <w:rPr>
          <w:rFonts w:cs="David"/>
          <w:b/>
          <w:bCs/>
          <w:rtl/>
        </w:rPr>
        <w:t xml:space="preserve">צירוף התקופות אינו קובע כי </w:t>
      </w:r>
      <w:r>
        <w:rPr>
          <w:rFonts w:cs="David"/>
          <w:b/>
          <w:bCs/>
          <w:rtl/>
        </w:rPr>
        <w:t>"</w:t>
      </w:r>
      <w:r w:rsidRPr="00491A25">
        <w:rPr>
          <w:rFonts w:cs="David"/>
          <w:b/>
          <w:bCs/>
          <w:rtl/>
        </w:rPr>
        <w:t>הזכות</w:t>
      </w:r>
      <w:r>
        <w:rPr>
          <w:rFonts w:cs="David"/>
          <w:b/>
          <w:bCs/>
          <w:rtl/>
        </w:rPr>
        <w:t>"</w:t>
      </w:r>
      <w:r w:rsidRPr="00491A25">
        <w:rPr>
          <w:rFonts w:cs="David"/>
          <w:b/>
          <w:bCs/>
          <w:rtl/>
        </w:rPr>
        <w:t xml:space="preserve"> לערעור תהיה על פי חוק הגמלאות</w:t>
      </w:r>
      <w:r>
        <w:rPr>
          <w:rFonts w:cs="David"/>
          <w:b/>
          <w:bCs/>
          <w:rtl/>
        </w:rPr>
        <w:t>, אלא אך ורק "</w:t>
      </w:r>
      <w:r>
        <w:rPr>
          <w:rFonts w:cs="David"/>
          <w:b/>
          <w:bCs/>
          <w:u w:val="single"/>
          <w:rtl/>
        </w:rPr>
        <w:t>הזכות לגימלאות</w:t>
      </w:r>
      <w:r>
        <w:rPr>
          <w:rFonts w:cs="David"/>
          <w:b/>
          <w:bCs/>
          <w:rtl/>
        </w:rPr>
        <w:t>"</w:t>
      </w:r>
      <w:r w:rsidRPr="00491A25">
        <w:rPr>
          <w:rFonts w:cs="David"/>
          <w:b/>
          <w:bCs/>
          <w:rtl/>
        </w:rPr>
        <w:t>.</w:t>
      </w:r>
    </w:p>
    <w:p w:rsidR="0017017A" w:rsidRDefault="0017017A" w:rsidP="00DB0310">
      <w:pPr>
        <w:pStyle w:val="a8"/>
        <w:numPr>
          <w:ilvl w:val="0"/>
          <w:numId w:val="1"/>
        </w:numPr>
        <w:tabs>
          <w:tab w:val="left" w:pos="674"/>
        </w:tabs>
        <w:spacing w:after="240" w:line="360" w:lineRule="auto"/>
        <w:ind w:left="674" w:hanging="630"/>
        <w:rPr>
          <w:rFonts w:cs="David"/>
        </w:rPr>
      </w:pPr>
      <w:r>
        <w:rPr>
          <w:rFonts w:cs="David"/>
          <w:rtl/>
        </w:rPr>
        <w:t>ס</w:t>
      </w:r>
      <w:r w:rsidRPr="0017017A">
        <w:rPr>
          <w:rFonts w:cs="David"/>
          <w:rtl/>
        </w:rPr>
        <w:t xml:space="preserve">עיף 43 לחוק הגימלאות </w:t>
      </w:r>
      <w:r w:rsidRPr="00FE1A18">
        <w:rPr>
          <w:rFonts w:cs="David"/>
          <w:b/>
          <w:bCs/>
          <w:u w:val="single"/>
          <w:rtl/>
        </w:rPr>
        <w:t xml:space="preserve">מגביל </w:t>
      </w:r>
      <w:r w:rsidRPr="007223B4">
        <w:rPr>
          <w:rFonts w:cs="David"/>
          <w:b/>
          <w:bCs/>
          <w:rtl/>
        </w:rPr>
        <w:t>את זכותו הטבעית של עובד לפנות לערכאות</w:t>
      </w:r>
      <w:r w:rsidRPr="0017017A">
        <w:rPr>
          <w:rFonts w:cs="David"/>
          <w:rtl/>
        </w:rPr>
        <w:t xml:space="preserve">. ההתייחסות של בית הדין קמא להגבלת המועד להגשת הערעור כ – "זכות" שניתנה למערער במסגרת חוזה הבכירים שגויה מיסודה. </w:t>
      </w:r>
      <w:r w:rsidRPr="007223B4">
        <w:rPr>
          <w:rFonts w:cs="David"/>
          <w:b/>
          <w:bCs/>
          <w:u w:val="single"/>
          <w:rtl/>
        </w:rPr>
        <w:t>אין מדובר בזכות, אלא בהגבלת זכות קיימת</w:t>
      </w:r>
      <w:r w:rsidRPr="0017017A">
        <w:rPr>
          <w:rFonts w:cs="David"/>
          <w:rtl/>
        </w:rPr>
        <w:t>.</w:t>
      </w:r>
    </w:p>
    <w:p w:rsidR="0017017A" w:rsidRDefault="007223B4" w:rsidP="00DB0310">
      <w:pPr>
        <w:pStyle w:val="a8"/>
        <w:tabs>
          <w:tab w:val="left" w:pos="674"/>
        </w:tabs>
        <w:spacing w:after="240" w:line="360" w:lineRule="auto"/>
        <w:ind w:left="674"/>
        <w:rPr>
          <w:rFonts w:cs="David"/>
        </w:rPr>
      </w:pPr>
      <w:r>
        <w:rPr>
          <w:rFonts w:cs="David"/>
          <w:rtl/>
        </w:rPr>
        <w:t>המערער יטען</w:t>
      </w:r>
      <w:r w:rsidR="0017017A" w:rsidRPr="006B2174">
        <w:rPr>
          <w:rFonts w:cs="David"/>
          <w:b/>
          <w:bCs/>
          <w:rtl/>
        </w:rPr>
        <w:t xml:space="preserve"> </w:t>
      </w:r>
      <w:r w:rsidRPr="007223B4">
        <w:rPr>
          <w:rFonts w:cs="David"/>
          <w:rtl/>
        </w:rPr>
        <w:t>כי</w:t>
      </w:r>
      <w:r w:rsidR="0017017A" w:rsidRPr="007223B4">
        <w:rPr>
          <w:rFonts w:cs="David"/>
          <w:rtl/>
        </w:rPr>
        <w:t xml:space="preserve"> </w:t>
      </w:r>
      <w:r w:rsidRPr="00DB0310">
        <w:rPr>
          <w:rFonts w:cs="David"/>
          <w:b/>
          <w:bCs/>
          <w:rtl/>
        </w:rPr>
        <w:t>מדובר בהוראה</w:t>
      </w:r>
      <w:r w:rsidR="0017017A" w:rsidRPr="00DB0310">
        <w:rPr>
          <w:rFonts w:cs="David"/>
          <w:b/>
          <w:bCs/>
          <w:rtl/>
        </w:rPr>
        <w:t xml:space="preserve"> </w:t>
      </w:r>
      <w:r w:rsidRPr="00DB0310">
        <w:rPr>
          <w:rFonts w:cs="David"/>
          <w:b/>
          <w:bCs/>
          <w:rtl/>
        </w:rPr>
        <w:t>מגבילה</w:t>
      </w:r>
      <w:r w:rsidR="0017017A" w:rsidRPr="00DB0310">
        <w:rPr>
          <w:rFonts w:cs="David"/>
          <w:b/>
          <w:bCs/>
          <w:rtl/>
        </w:rPr>
        <w:t xml:space="preserve"> </w:t>
      </w:r>
      <w:r w:rsidRPr="00DB0310">
        <w:rPr>
          <w:rFonts w:cs="David"/>
          <w:b/>
          <w:bCs/>
          <w:rtl/>
        </w:rPr>
        <w:t>ש</w:t>
      </w:r>
      <w:r w:rsidR="00DB0310" w:rsidRPr="00DB0310">
        <w:rPr>
          <w:rFonts w:cs="David"/>
          <w:b/>
          <w:bCs/>
          <w:rtl/>
        </w:rPr>
        <w:t>גורעת מ</w:t>
      </w:r>
      <w:r w:rsidR="0017017A" w:rsidRPr="00DB0310">
        <w:rPr>
          <w:rFonts w:cs="David"/>
          <w:b/>
          <w:bCs/>
          <w:rtl/>
        </w:rPr>
        <w:t>זכויותיו של העובד</w:t>
      </w:r>
      <w:r w:rsidR="00DB0310" w:rsidRPr="00DB0310">
        <w:rPr>
          <w:rFonts w:cs="David"/>
          <w:b/>
          <w:bCs/>
          <w:rtl/>
        </w:rPr>
        <w:t xml:space="preserve"> ואינה מוסיפה להן</w:t>
      </w:r>
      <w:r w:rsidRPr="00DB0310">
        <w:rPr>
          <w:rFonts w:cs="David"/>
          <w:b/>
          <w:bCs/>
          <w:rtl/>
        </w:rPr>
        <w:t xml:space="preserve">, </w:t>
      </w:r>
      <w:r w:rsidR="00DB0310" w:rsidRPr="008B4055">
        <w:rPr>
          <w:rFonts w:cs="David"/>
          <w:b/>
          <w:bCs/>
          <w:rtl/>
        </w:rPr>
        <w:t>בניגוד מוחלט לכוונת הצדדים, כפי שעולה ממטרות הוזה ותנאיו</w:t>
      </w:r>
      <w:r w:rsidR="00DB0310" w:rsidRPr="00DB0310">
        <w:rPr>
          <w:rFonts w:cs="David"/>
          <w:b/>
          <w:bCs/>
          <w:rtl/>
        </w:rPr>
        <w:t xml:space="preserve">, </w:t>
      </w:r>
      <w:r w:rsidRPr="00DB0310">
        <w:rPr>
          <w:rFonts w:cs="David"/>
          <w:b/>
          <w:bCs/>
          <w:rtl/>
        </w:rPr>
        <w:t>ועל כן אין לראות בה זכות</w:t>
      </w:r>
      <w:r w:rsidR="0017017A" w:rsidRPr="006B2174">
        <w:rPr>
          <w:rFonts w:cs="David"/>
          <w:rtl/>
        </w:rPr>
        <w:t xml:space="preserve">. </w:t>
      </w:r>
      <w:r>
        <w:rPr>
          <w:rFonts w:cs="David"/>
          <w:rtl/>
        </w:rPr>
        <w:t xml:space="preserve">לטעמנו, </w:t>
      </w:r>
      <w:r w:rsidR="0017017A" w:rsidRPr="006B2174">
        <w:rPr>
          <w:rFonts w:cs="David"/>
          <w:rtl/>
        </w:rPr>
        <w:t>הזכות של העובד להגיש תביעה נגד קביעת הממונה עומדת בעינה, מבלי שהחוזה מבקש להגבילה או לבטלה.</w:t>
      </w:r>
    </w:p>
    <w:p w:rsidR="00FE1A18" w:rsidRDefault="00FE1A18" w:rsidP="00FE1A18">
      <w:pPr>
        <w:pStyle w:val="a8"/>
        <w:tabs>
          <w:tab w:val="left" w:pos="674"/>
        </w:tabs>
        <w:spacing w:after="240" w:line="360" w:lineRule="auto"/>
        <w:rPr>
          <w:rFonts w:cs="David"/>
          <w:b/>
          <w:bCs/>
          <w:u w:val="single"/>
          <w:rtl/>
        </w:rPr>
      </w:pPr>
      <w:r w:rsidRPr="002518F9">
        <w:rPr>
          <w:rFonts w:cs="David"/>
          <w:b/>
          <w:bCs/>
          <w:u w:val="single"/>
          <w:rtl/>
        </w:rPr>
        <w:lastRenderedPageBreak/>
        <w:t xml:space="preserve">טעה בית הדין </w:t>
      </w:r>
      <w:r w:rsidR="00523912">
        <w:rPr>
          <w:rFonts w:cs="David"/>
          <w:b/>
          <w:bCs/>
          <w:u w:val="single"/>
          <w:rtl/>
        </w:rPr>
        <w:t xml:space="preserve">הנכבד </w:t>
      </w:r>
      <w:r w:rsidRPr="002518F9">
        <w:rPr>
          <w:rFonts w:cs="David"/>
          <w:b/>
          <w:bCs/>
          <w:u w:val="single"/>
          <w:rtl/>
        </w:rPr>
        <w:t xml:space="preserve">קמא </w:t>
      </w:r>
      <w:r>
        <w:rPr>
          <w:rFonts w:cs="David"/>
          <w:b/>
          <w:bCs/>
          <w:u w:val="single"/>
          <w:rtl/>
        </w:rPr>
        <w:t>כאשר התעלם מהוראות סעיף 13 לחוזה הבכירים</w:t>
      </w:r>
    </w:p>
    <w:p w:rsidR="00FE1A18" w:rsidRDefault="00FE1A18" w:rsidP="00574032">
      <w:pPr>
        <w:pStyle w:val="a8"/>
        <w:numPr>
          <w:ilvl w:val="0"/>
          <w:numId w:val="1"/>
        </w:numPr>
        <w:tabs>
          <w:tab w:val="left" w:pos="674"/>
        </w:tabs>
        <w:spacing w:after="240" w:line="360" w:lineRule="auto"/>
        <w:ind w:left="674" w:hanging="630"/>
        <w:rPr>
          <w:rFonts w:cs="David"/>
        </w:rPr>
      </w:pPr>
      <w:r>
        <w:rPr>
          <w:rFonts w:cs="David"/>
          <w:rtl/>
        </w:rPr>
        <w:t xml:space="preserve">בית הדין קמא בחר לנתח, בכל הכבוד – בצורה שגויה, את סעיף 12 לחוזה הבכירים, תוך שהוא מתעלם לחלוטין מסעיף 13 לחוזה, אשר מפריך את התחולה של חוק הגמלאות על תקופת העבודה לפי חוזה בכירים. </w:t>
      </w:r>
    </w:p>
    <w:p w:rsidR="00985B99" w:rsidRPr="00373974" w:rsidRDefault="00985B99" w:rsidP="00F756EA">
      <w:pPr>
        <w:pStyle w:val="a8"/>
        <w:numPr>
          <w:ilvl w:val="0"/>
          <w:numId w:val="1"/>
        </w:numPr>
        <w:tabs>
          <w:tab w:val="left" w:pos="674"/>
        </w:tabs>
        <w:spacing w:after="240" w:line="360" w:lineRule="auto"/>
        <w:ind w:left="674" w:hanging="630"/>
        <w:rPr>
          <w:rFonts w:cs="David"/>
        </w:rPr>
      </w:pPr>
      <w:r w:rsidRPr="00373974">
        <w:rPr>
          <w:rFonts w:cs="David"/>
          <w:rtl/>
        </w:rPr>
        <w:t>סעיף 13 לחוזה הבכירים קובע כי</w:t>
      </w:r>
      <w:r w:rsidRPr="00373974">
        <w:rPr>
          <w:rFonts w:cs="David"/>
          <w:b/>
          <w:bCs/>
          <w:rtl/>
        </w:rPr>
        <w:t xml:space="preserve"> - "</w:t>
      </w:r>
      <w:r w:rsidRPr="00373974">
        <w:rPr>
          <w:rFonts w:cs="David"/>
          <w:b/>
          <w:bCs/>
          <w:i/>
          <w:iCs/>
          <w:rtl/>
        </w:rPr>
        <w:t xml:space="preserve">חוזה זה יראוהו </w:t>
      </w:r>
      <w:r w:rsidRPr="00FE1A18">
        <w:rPr>
          <w:rFonts w:cs="David"/>
          <w:b/>
          <w:bCs/>
          <w:i/>
          <w:iCs/>
          <w:u w:val="single"/>
          <w:rtl/>
        </w:rPr>
        <w:t>כהסכם וכחוזה יחידי</w:t>
      </w:r>
      <w:r w:rsidRPr="00373974">
        <w:rPr>
          <w:rFonts w:cs="David"/>
          <w:b/>
          <w:bCs/>
          <w:i/>
          <w:iCs/>
          <w:rtl/>
        </w:rPr>
        <w:t xml:space="preserve"> לפי סעיף 92 ו – 107(א)(2) לחוק הגימלאות</w:t>
      </w:r>
      <w:r w:rsidRPr="00373974">
        <w:rPr>
          <w:rFonts w:cs="David"/>
          <w:b/>
          <w:bCs/>
          <w:rtl/>
        </w:rPr>
        <w:t>".</w:t>
      </w:r>
      <w:r w:rsidR="001705DA">
        <w:rPr>
          <w:rFonts w:cs="David"/>
          <w:rtl/>
        </w:rPr>
        <w:t xml:space="preserve"> </w:t>
      </w:r>
    </w:p>
    <w:p w:rsidR="00985B99" w:rsidRDefault="00985B99" w:rsidP="00985B99">
      <w:pPr>
        <w:tabs>
          <w:tab w:val="left" w:pos="620"/>
        </w:tabs>
        <w:spacing w:after="240" w:line="360" w:lineRule="auto"/>
        <w:ind w:left="620"/>
        <w:jc w:val="both"/>
        <w:rPr>
          <w:rFonts w:cs="David"/>
          <w:b/>
          <w:bCs/>
          <w:rtl/>
        </w:rPr>
      </w:pPr>
      <w:r>
        <w:rPr>
          <w:rFonts w:cs="David"/>
          <w:b/>
          <w:bCs/>
          <w:rtl/>
        </w:rPr>
        <w:t>סעיף 107(א)(2) לחוק הגימלאות קובע כך -</w:t>
      </w:r>
    </w:p>
    <w:p w:rsidR="00985B99" w:rsidRPr="00985B99" w:rsidRDefault="00985B99" w:rsidP="00985B99">
      <w:pPr>
        <w:tabs>
          <w:tab w:val="left" w:pos="620"/>
        </w:tabs>
        <w:spacing w:after="240" w:line="360" w:lineRule="auto"/>
        <w:ind w:left="620"/>
        <w:jc w:val="both"/>
        <w:rPr>
          <w:b/>
          <w:bCs/>
          <w:rtl/>
        </w:rPr>
      </w:pPr>
      <w:r w:rsidRPr="00985B99">
        <w:rPr>
          <w:rStyle w:val="wsubclausecontent1"/>
          <w:rtl/>
        </w:rPr>
        <w:t xml:space="preserve">"הוראות חוק זה </w:t>
      </w:r>
      <w:r w:rsidRPr="00985B99">
        <w:rPr>
          <w:rStyle w:val="wsubclausecontent1"/>
          <w:b/>
          <w:bCs/>
          <w:u w:val="single"/>
          <w:rtl/>
        </w:rPr>
        <w:t>לא</w:t>
      </w:r>
      <w:r w:rsidRPr="00985B99">
        <w:rPr>
          <w:rStyle w:val="wsubclausecontent1"/>
          <w:rtl/>
        </w:rPr>
        <w:t xml:space="preserve"> יחולו -</w:t>
      </w:r>
    </w:p>
    <w:p w:rsidR="00985B99" w:rsidRPr="00985B99" w:rsidRDefault="00985B99" w:rsidP="00985B99">
      <w:pPr>
        <w:pStyle w:val="wsubclausewrapper"/>
        <w:ind w:left="620"/>
        <w:rPr>
          <w:rtl/>
        </w:rPr>
      </w:pPr>
      <w:r w:rsidRPr="00985B99">
        <w:rPr>
          <w:rStyle w:val="wsubclausecaption1"/>
          <w:rtl/>
        </w:rPr>
        <w:t>(1)</w:t>
      </w:r>
      <w:r w:rsidRPr="00985B99">
        <w:rPr>
          <w:rStyle w:val="wsubclausecontent1"/>
          <w:rtl/>
        </w:rPr>
        <w:t> .....</w:t>
      </w:r>
    </w:p>
    <w:p w:rsidR="00985B99" w:rsidRPr="00985B99" w:rsidRDefault="00985B99" w:rsidP="00985B99">
      <w:pPr>
        <w:pStyle w:val="wsubclausewrapper"/>
        <w:ind w:left="620"/>
        <w:rPr>
          <w:rtl/>
        </w:rPr>
      </w:pPr>
      <w:r w:rsidRPr="00985B99">
        <w:rPr>
          <w:rStyle w:val="wsubclausecaption1"/>
          <w:rtl/>
        </w:rPr>
        <w:t>(2)</w:t>
      </w:r>
      <w:r w:rsidRPr="00985B99">
        <w:rPr>
          <w:rStyle w:val="wsubclausecontent1"/>
          <w:rtl/>
        </w:rPr>
        <w:t>  </w:t>
      </w:r>
      <w:r w:rsidRPr="00985B99">
        <w:rPr>
          <w:rStyle w:val="wsubclausecontent1"/>
          <w:b/>
          <w:bCs/>
          <w:u w:val="single"/>
          <w:rtl/>
        </w:rPr>
        <w:t>על עובד המדינה המועסק כדין על פי חוזה יחידי</w:t>
      </w:r>
      <w:r w:rsidRPr="00985B99">
        <w:rPr>
          <w:rStyle w:val="wsubclausecontent1"/>
          <w:rtl/>
        </w:rPr>
        <w:t>, אם כך נקבע באותו חוזה ובמידה שנקבע;".</w:t>
      </w:r>
    </w:p>
    <w:p w:rsidR="00373974" w:rsidRDefault="00373974" w:rsidP="00F756EA">
      <w:pPr>
        <w:pStyle w:val="a8"/>
        <w:numPr>
          <w:ilvl w:val="0"/>
          <w:numId w:val="1"/>
        </w:numPr>
        <w:tabs>
          <w:tab w:val="left" w:pos="674"/>
        </w:tabs>
        <w:spacing w:after="240" w:line="360" w:lineRule="auto"/>
        <w:ind w:left="674" w:hanging="630"/>
        <w:rPr>
          <w:rFonts w:cs="David"/>
        </w:rPr>
      </w:pPr>
      <w:r>
        <w:rPr>
          <w:rFonts w:cs="David"/>
          <w:rtl/>
        </w:rPr>
        <w:t xml:space="preserve">בית הדין קמא כלל לא התייחס לסעיף 13 לחוזה הבכירים ולהפניות הקבועות בו לחוק הגימלאות. סעיף 13 האמור לחוזה הבכירים, והוראות חוק הגימלאות אליו מפנה סעיף 13, </w:t>
      </w:r>
      <w:r w:rsidR="00293273">
        <w:rPr>
          <w:rFonts w:cs="David"/>
          <w:b/>
          <w:bCs/>
          <w:rtl/>
        </w:rPr>
        <w:t>חוזרים</w:t>
      </w:r>
      <w:r w:rsidRPr="009A350B">
        <w:rPr>
          <w:rFonts w:cs="David"/>
          <w:b/>
          <w:bCs/>
          <w:rtl/>
        </w:rPr>
        <w:t xml:space="preserve"> בצורה ברורה </w:t>
      </w:r>
      <w:r w:rsidR="00293273">
        <w:rPr>
          <w:rFonts w:cs="David"/>
          <w:b/>
          <w:bCs/>
          <w:rtl/>
        </w:rPr>
        <w:t xml:space="preserve">על הכלל לפיו </w:t>
      </w:r>
      <w:r w:rsidRPr="009A350B">
        <w:rPr>
          <w:rFonts w:cs="David"/>
          <w:b/>
          <w:bCs/>
          <w:rtl/>
        </w:rPr>
        <w:t>הוראות חוק הגימלאות אינן חלות על תקופת ההעסקה בחוזה בכירים</w:t>
      </w:r>
      <w:r>
        <w:rPr>
          <w:rFonts w:cs="David"/>
          <w:rtl/>
        </w:rPr>
        <w:t xml:space="preserve"> (למעט ההוראות שנקבעו במפורש, כמובן).</w:t>
      </w:r>
    </w:p>
    <w:p w:rsidR="00E658C9" w:rsidRPr="00AD3290" w:rsidRDefault="00373974" w:rsidP="000F14D4">
      <w:pPr>
        <w:pStyle w:val="a8"/>
        <w:tabs>
          <w:tab w:val="left" w:pos="674"/>
        </w:tabs>
        <w:spacing w:after="240" w:line="360" w:lineRule="auto"/>
        <w:ind w:left="675"/>
        <w:rPr>
          <w:rFonts w:cs="David"/>
        </w:rPr>
      </w:pPr>
      <w:r w:rsidRPr="000F14D4">
        <w:rPr>
          <w:rFonts w:cs="David"/>
          <w:rtl/>
        </w:rPr>
        <w:t xml:space="preserve">כמו כן – בית הדין קמא טעה טעות מהותית כאשר התעלם מכך שכאשר ביקשה המדינה להפנות להוראות ספציפיות בחוק הגימלאות </w:t>
      </w:r>
      <w:r w:rsidRPr="00177169">
        <w:rPr>
          <w:rFonts w:cs="David"/>
          <w:rtl/>
        </w:rPr>
        <w:t>– היא עשתה זאת במפורש, כ</w:t>
      </w:r>
      <w:r w:rsidR="00E658C9" w:rsidRPr="00177169">
        <w:rPr>
          <w:rFonts w:cs="David"/>
          <w:rtl/>
        </w:rPr>
        <w:t>פי שנעשה בסעיף 13 לחוזה הבכירים</w:t>
      </w:r>
      <w:r w:rsidR="00166E74" w:rsidRPr="00956C59">
        <w:rPr>
          <w:rFonts w:cs="David"/>
          <w:rtl/>
        </w:rPr>
        <w:t xml:space="preserve">, כמו גם </w:t>
      </w:r>
      <w:r w:rsidR="000F14D4" w:rsidRPr="00956C59">
        <w:rPr>
          <w:rFonts w:cs="David"/>
          <w:rtl/>
        </w:rPr>
        <w:t>בסעיפים</w:t>
      </w:r>
      <w:r w:rsidR="000F14D4" w:rsidRPr="00745FA4">
        <w:rPr>
          <w:rFonts w:cs="David"/>
          <w:rtl/>
        </w:rPr>
        <w:t xml:space="preserve"> </w:t>
      </w:r>
      <w:r w:rsidR="00166E74" w:rsidRPr="00164CDC">
        <w:rPr>
          <w:rFonts w:cs="David"/>
          <w:rtl/>
        </w:rPr>
        <w:t xml:space="preserve">12.ד. </w:t>
      </w:r>
      <w:r w:rsidR="00EE5402" w:rsidRPr="00164CDC">
        <w:rPr>
          <w:rFonts w:cs="David"/>
          <w:rtl/>
        </w:rPr>
        <w:t>ו-12</w:t>
      </w:r>
      <w:r w:rsidR="000F14D4" w:rsidRPr="00164CDC">
        <w:rPr>
          <w:rFonts w:cs="David"/>
          <w:rtl/>
        </w:rPr>
        <w:t>.</w:t>
      </w:r>
      <w:r w:rsidR="00EE5402" w:rsidRPr="00164CDC">
        <w:rPr>
          <w:rFonts w:cs="David"/>
          <w:rtl/>
        </w:rPr>
        <w:t>ח</w:t>
      </w:r>
      <w:r w:rsidR="000F14D4" w:rsidRPr="000F14D4">
        <w:rPr>
          <w:rFonts w:cs="David"/>
          <w:rtl/>
        </w:rPr>
        <w:t>.</w:t>
      </w:r>
      <w:r w:rsidR="00EE5402" w:rsidRPr="00177169">
        <w:rPr>
          <w:rFonts w:cs="David"/>
          <w:rtl/>
        </w:rPr>
        <w:t xml:space="preserve"> </w:t>
      </w:r>
      <w:r w:rsidR="00166E74" w:rsidRPr="00177169">
        <w:rPr>
          <w:rFonts w:cs="David"/>
          <w:rtl/>
        </w:rPr>
        <w:t>לחוזה הבכירים, המפרט במפורש איזה סעיפים בחוק הגימלאות יחולו על העסקתו של המערער</w:t>
      </w:r>
      <w:r w:rsidR="006A1691" w:rsidRPr="00745FA4">
        <w:rPr>
          <w:rFonts w:cs="David"/>
          <w:rtl/>
        </w:rPr>
        <w:t>.</w:t>
      </w:r>
    </w:p>
    <w:p w:rsidR="00373974" w:rsidRDefault="00E658C9" w:rsidP="00574032">
      <w:pPr>
        <w:pStyle w:val="a8"/>
        <w:numPr>
          <w:ilvl w:val="0"/>
          <w:numId w:val="1"/>
        </w:numPr>
        <w:tabs>
          <w:tab w:val="left" w:pos="674"/>
        </w:tabs>
        <w:spacing w:after="240" w:line="360" w:lineRule="auto"/>
        <w:ind w:left="674" w:hanging="630"/>
        <w:rPr>
          <w:rFonts w:cs="David"/>
          <w:b/>
          <w:bCs/>
        </w:rPr>
      </w:pPr>
      <w:r>
        <w:rPr>
          <w:rFonts w:cs="David"/>
          <w:rtl/>
        </w:rPr>
        <w:t xml:space="preserve">ראינו, </w:t>
      </w:r>
      <w:r w:rsidR="006A1691">
        <w:rPr>
          <w:rFonts w:cs="David"/>
          <w:rtl/>
        </w:rPr>
        <w:t>אם כן,</w:t>
      </w:r>
      <w:r>
        <w:rPr>
          <w:rFonts w:cs="David"/>
          <w:rtl/>
        </w:rPr>
        <w:t xml:space="preserve"> כי כאשר </w:t>
      </w:r>
      <w:r w:rsidR="006A1691">
        <w:rPr>
          <w:rFonts w:cs="David"/>
          <w:rtl/>
        </w:rPr>
        <w:t xml:space="preserve"> המדינה רצתה להחיל הוראות ספציפיות מחוק הגמלאות היא עשתה כן במפורש. </w:t>
      </w:r>
      <w:r w:rsidR="009A350B" w:rsidRPr="009A350B">
        <w:rPr>
          <w:rFonts w:cs="David"/>
          <w:b/>
          <w:bCs/>
          <w:rtl/>
        </w:rPr>
        <w:t>בהיעדר הפנייה מפורשת למועד הערעור הקבוע ב</w:t>
      </w:r>
      <w:r w:rsidR="00DB0310">
        <w:rPr>
          <w:rFonts w:cs="David"/>
          <w:b/>
          <w:bCs/>
          <w:rtl/>
        </w:rPr>
        <w:t xml:space="preserve">תקנות שהותקנו מכוח </w:t>
      </w:r>
      <w:r w:rsidR="009A350B" w:rsidRPr="009A350B">
        <w:rPr>
          <w:rFonts w:cs="David"/>
          <w:b/>
          <w:bCs/>
          <w:rtl/>
        </w:rPr>
        <w:t xml:space="preserve">חוק הגימלאות – מועד זה אינו יכול לחול על </w:t>
      </w:r>
      <w:r w:rsidR="00E640D9">
        <w:rPr>
          <w:rFonts w:cs="David"/>
          <w:b/>
          <w:bCs/>
          <w:rtl/>
        </w:rPr>
        <w:t>מועד הערעור על קביעת גמלתו של</w:t>
      </w:r>
      <w:r w:rsidR="009A350B" w:rsidRPr="009A350B">
        <w:rPr>
          <w:rFonts w:cs="David"/>
          <w:b/>
          <w:bCs/>
          <w:rtl/>
        </w:rPr>
        <w:t xml:space="preserve"> המערער – </w:t>
      </w:r>
      <w:r w:rsidR="00B17FC0">
        <w:rPr>
          <w:rFonts w:cs="David"/>
          <w:b/>
          <w:bCs/>
          <w:rtl/>
        </w:rPr>
        <w:t>בהתאם להוראות</w:t>
      </w:r>
      <w:r w:rsidR="009A350B" w:rsidRPr="009A350B">
        <w:rPr>
          <w:rFonts w:cs="David"/>
          <w:b/>
          <w:bCs/>
          <w:rtl/>
        </w:rPr>
        <w:t xml:space="preserve"> חוזה בכירים</w:t>
      </w:r>
      <w:r w:rsidR="00B17FC0">
        <w:rPr>
          <w:rFonts w:cs="David"/>
          <w:b/>
          <w:bCs/>
          <w:rtl/>
        </w:rPr>
        <w:t>, שכתבה וניסחה המדינה</w:t>
      </w:r>
      <w:r w:rsidR="009A350B" w:rsidRPr="009A350B">
        <w:rPr>
          <w:rFonts w:cs="David"/>
          <w:b/>
          <w:bCs/>
          <w:rtl/>
        </w:rPr>
        <w:t>.</w:t>
      </w:r>
    </w:p>
    <w:p w:rsidR="00985B99" w:rsidRDefault="00985B99" w:rsidP="00F756EA">
      <w:pPr>
        <w:pStyle w:val="a8"/>
        <w:numPr>
          <w:ilvl w:val="0"/>
          <w:numId w:val="1"/>
        </w:numPr>
        <w:tabs>
          <w:tab w:val="left" w:pos="674"/>
        </w:tabs>
        <w:spacing w:after="240" w:line="360" w:lineRule="auto"/>
        <w:ind w:left="674" w:hanging="630"/>
        <w:rPr>
          <w:rFonts w:cs="David"/>
        </w:rPr>
      </w:pPr>
      <w:r w:rsidRPr="00986742">
        <w:rPr>
          <w:rFonts w:cs="David"/>
          <w:rtl/>
        </w:rPr>
        <w:t xml:space="preserve">על כן, </w:t>
      </w:r>
      <w:r w:rsidRPr="00FF79F6">
        <w:rPr>
          <w:rFonts w:cs="David"/>
          <w:b/>
          <w:bCs/>
          <w:rtl/>
        </w:rPr>
        <w:t>ומכוח חוזה הבכירים שניסחה המדינה עצמה, לא חל המועד להגשת ערעור גמלה על המשיב</w:t>
      </w:r>
      <w:r w:rsidR="00C02D74">
        <w:rPr>
          <w:rFonts w:cs="David"/>
          <w:b/>
          <w:bCs/>
          <w:rtl/>
        </w:rPr>
        <w:t xml:space="preserve"> (סעיף 43 לחוק</w:t>
      </w:r>
      <w:r w:rsidR="00293273">
        <w:rPr>
          <w:rFonts w:cs="David"/>
          <w:b/>
          <w:bCs/>
          <w:rtl/>
        </w:rPr>
        <w:t xml:space="preserve"> הגמלאות)</w:t>
      </w:r>
      <w:r w:rsidRPr="00FF79F6">
        <w:rPr>
          <w:rFonts w:cs="David"/>
          <w:b/>
          <w:bCs/>
          <w:rtl/>
        </w:rPr>
        <w:t>, והוא לא איחר בהגשת תביעתו</w:t>
      </w:r>
      <w:r w:rsidRPr="009A350B">
        <w:rPr>
          <w:rFonts w:cs="David"/>
          <w:rtl/>
        </w:rPr>
        <w:t>.</w:t>
      </w:r>
    </w:p>
    <w:p w:rsidR="00985B99" w:rsidRDefault="00985B99" w:rsidP="00985B99">
      <w:pPr>
        <w:spacing w:line="360" w:lineRule="auto"/>
        <w:ind w:left="620"/>
        <w:jc w:val="both"/>
        <w:rPr>
          <w:rFonts w:cs="David"/>
          <w:b/>
          <w:bCs/>
        </w:rPr>
      </w:pPr>
    </w:p>
    <w:p w:rsidR="00293273" w:rsidRDefault="00293273" w:rsidP="00293273">
      <w:pPr>
        <w:pStyle w:val="a8"/>
        <w:tabs>
          <w:tab w:val="left" w:pos="674"/>
        </w:tabs>
        <w:spacing w:after="240" w:line="360" w:lineRule="auto"/>
        <w:rPr>
          <w:rFonts w:cs="David"/>
          <w:b/>
          <w:bCs/>
          <w:u w:val="single"/>
          <w:rtl/>
        </w:rPr>
      </w:pPr>
      <w:r w:rsidRPr="002518F9">
        <w:rPr>
          <w:rFonts w:cs="David"/>
          <w:b/>
          <w:bCs/>
          <w:u w:val="single"/>
          <w:rtl/>
        </w:rPr>
        <w:t xml:space="preserve">טעה בית הדין קמא </w:t>
      </w:r>
      <w:r>
        <w:rPr>
          <w:rFonts w:cs="David"/>
          <w:b/>
          <w:bCs/>
          <w:u w:val="single"/>
          <w:rtl/>
        </w:rPr>
        <w:t>כאשר התעלם מפסיקתו של בית הדין האזורי בעניין גרימברג</w:t>
      </w:r>
    </w:p>
    <w:p w:rsidR="00293273" w:rsidRDefault="00293273" w:rsidP="00F756EA">
      <w:pPr>
        <w:pStyle w:val="a8"/>
        <w:numPr>
          <w:ilvl w:val="0"/>
          <w:numId w:val="1"/>
        </w:numPr>
        <w:tabs>
          <w:tab w:val="left" w:pos="674"/>
        </w:tabs>
        <w:spacing w:after="240" w:line="360" w:lineRule="auto"/>
        <w:ind w:left="674" w:hanging="630"/>
        <w:rPr>
          <w:rFonts w:cs="David"/>
        </w:rPr>
      </w:pPr>
      <w:r>
        <w:rPr>
          <w:rFonts w:cs="David"/>
          <w:rtl/>
        </w:rPr>
        <w:t xml:space="preserve">המערער הפנה את בית הדין קמא לפסק דין שניתן </w:t>
      </w:r>
      <w:r w:rsidRPr="00986742">
        <w:rPr>
          <w:rFonts w:cs="David"/>
          <w:rtl/>
        </w:rPr>
        <w:t xml:space="preserve">בפרשה דומה (תעא (חיפה) 319/07 </w:t>
      </w:r>
      <w:r w:rsidRPr="00986742">
        <w:rPr>
          <w:rFonts w:cs="David"/>
          <w:b/>
          <w:bCs/>
          <w:rtl/>
        </w:rPr>
        <w:t>גרימברג סימון נ' עיריית קרית ביאליק, מדינת ישראל ואח'</w:t>
      </w:r>
      <w:r w:rsidRPr="00986742">
        <w:rPr>
          <w:rFonts w:cs="David"/>
          <w:rtl/>
        </w:rPr>
        <w:t>)</w:t>
      </w:r>
      <w:r>
        <w:rPr>
          <w:rFonts w:cs="David"/>
          <w:rtl/>
        </w:rPr>
        <w:t xml:space="preserve"> (להלן: "</w:t>
      </w:r>
      <w:r w:rsidRPr="00293273">
        <w:rPr>
          <w:rFonts w:cs="David"/>
          <w:b/>
          <w:bCs/>
          <w:rtl/>
        </w:rPr>
        <w:t>פסק דין בעניין גרימברג</w:t>
      </w:r>
      <w:r>
        <w:rPr>
          <w:rFonts w:cs="David"/>
          <w:rtl/>
        </w:rPr>
        <w:t>")</w:t>
      </w:r>
      <w:r w:rsidR="007A5900">
        <w:rPr>
          <w:rFonts w:cs="David"/>
          <w:rtl/>
        </w:rPr>
        <w:t>. בית הדין קמא קבע, בסעיף 41 לפסק הדין, כי פסק הדין בעניין גרימברג אינו מחייב אותו.</w:t>
      </w:r>
    </w:p>
    <w:p w:rsidR="007A5900" w:rsidRDefault="007A5900" w:rsidP="007A5900">
      <w:pPr>
        <w:pStyle w:val="a8"/>
        <w:tabs>
          <w:tab w:val="left" w:pos="674"/>
        </w:tabs>
        <w:spacing w:after="240" w:line="360" w:lineRule="auto"/>
        <w:ind w:left="674"/>
        <w:rPr>
          <w:rFonts w:cs="David"/>
          <w:rtl/>
        </w:rPr>
      </w:pPr>
      <w:r>
        <w:rPr>
          <w:rFonts w:cs="David"/>
          <w:rtl/>
        </w:rPr>
        <w:lastRenderedPageBreak/>
        <w:t>צדק בית הדין קמא כאשר קבע שפסק דין של בית הדין האזורי אינו מחייב אותו. טעה בית הדין קמא כאשר לא התייחס לניתוח בפסק הדין בעניין גרימברג.</w:t>
      </w:r>
    </w:p>
    <w:p w:rsidR="00985B99" w:rsidRPr="007A5900" w:rsidRDefault="007A5900" w:rsidP="00F756EA">
      <w:pPr>
        <w:pStyle w:val="a8"/>
        <w:numPr>
          <w:ilvl w:val="0"/>
          <w:numId w:val="1"/>
        </w:numPr>
        <w:tabs>
          <w:tab w:val="left" w:pos="674"/>
        </w:tabs>
        <w:spacing w:after="240" w:line="360" w:lineRule="auto"/>
        <w:ind w:left="674" w:hanging="630"/>
        <w:rPr>
          <w:rFonts w:cs="David"/>
          <w:rtl/>
        </w:rPr>
      </w:pPr>
      <w:r w:rsidRPr="007A5900">
        <w:rPr>
          <w:rFonts w:cs="David"/>
          <w:rtl/>
        </w:rPr>
        <w:t xml:space="preserve">כאמור לעיל, פסק דין גרימברג הגיע למסקנה שונה בתכלית מהמסקנה אליה הגיע בית הדין קמא. באותו מקרה, </w:t>
      </w:r>
      <w:r w:rsidR="00985B99" w:rsidRPr="007A5900">
        <w:rPr>
          <w:rFonts w:cs="David"/>
          <w:rtl/>
        </w:rPr>
        <w:t>בית הדין האיזורי לעבודה בחיפה סקר את הרקע ליצירתו של חוזה הבכירים (באותו מקרה – ברשויות המקומיות), והגיע למסקנה שלהלן:</w:t>
      </w:r>
    </w:p>
    <w:p w:rsidR="00985B99" w:rsidRDefault="00985B99" w:rsidP="00985B99">
      <w:pPr>
        <w:tabs>
          <w:tab w:val="left" w:pos="1250"/>
        </w:tabs>
        <w:spacing w:line="360" w:lineRule="auto"/>
        <w:ind w:left="1250" w:right="450" w:hanging="360"/>
        <w:jc w:val="both"/>
        <w:rPr>
          <w:rtl/>
        </w:rPr>
      </w:pPr>
      <w:r>
        <w:rPr>
          <w:rtl/>
        </w:rPr>
        <w:t xml:space="preserve">"15. מהאמור עולה, כי </w:t>
      </w:r>
      <w:r w:rsidRPr="00986742">
        <w:rPr>
          <w:b/>
          <w:bCs/>
          <w:u w:val="single"/>
          <w:rtl/>
        </w:rPr>
        <w:t>התובע הוחרג מפורשות מתחולת חוק הגמלאות אף כי זכויותיו לגמלה תקבענה על פי אותו חוק, בכפוף לתנאי החוזה</w:t>
      </w:r>
      <w:r>
        <w:rPr>
          <w:rtl/>
        </w:rPr>
        <w:t>. באופן דומה, נקבעו לתובע בחוזה זכויות מסוימות על פי חוקת העבודה, מבלי שזו חלה על התובע.</w:t>
      </w:r>
    </w:p>
    <w:p w:rsidR="00985B99" w:rsidRDefault="00985B99" w:rsidP="00985B99">
      <w:pPr>
        <w:tabs>
          <w:tab w:val="left" w:pos="1250"/>
        </w:tabs>
        <w:spacing w:after="240" w:line="360" w:lineRule="auto"/>
        <w:ind w:left="1250" w:right="450" w:hanging="360"/>
        <w:jc w:val="both"/>
        <w:rPr>
          <w:rtl/>
        </w:rPr>
      </w:pPr>
      <w:r>
        <w:rPr>
          <w:rtl/>
        </w:rPr>
        <w:t xml:space="preserve">16. לפיכך, </w:t>
      </w:r>
      <w:r w:rsidRPr="00986742">
        <w:rPr>
          <w:b/>
          <w:bCs/>
          <w:u w:val="single"/>
          <w:rtl/>
        </w:rPr>
        <w:t xml:space="preserve">אין לקבוע כי </w:t>
      </w:r>
      <w:hyperlink r:id="rId13" w:tgtFrame="Hok_32155" w:history="1">
        <w:r w:rsidRPr="00986742">
          <w:rPr>
            <w:b/>
            <w:bCs/>
            <w:u w:val="single"/>
            <w:rtl/>
          </w:rPr>
          <w:t>חוק שירות המדינה (גימלאות</w:t>
        </w:r>
      </w:hyperlink>
      <w:r w:rsidRPr="00986742">
        <w:rPr>
          <w:b/>
          <w:bCs/>
          <w:u w:val="single"/>
          <w:rtl/>
        </w:rPr>
        <w:t>) ותקנותיו לעניין המועד להגשת ערעור חלים על התובע ודין טענת ההתיישנות  להידחות</w:t>
      </w:r>
      <w:r>
        <w:rPr>
          <w:rtl/>
        </w:rPr>
        <w:t>.".</w:t>
      </w:r>
    </w:p>
    <w:p w:rsidR="00985B99" w:rsidRDefault="00355243" w:rsidP="00F756EA">
      <w:pPr>
        <w:pStyle w:val="a8"/>
        <w:numPr>
          <w:ilvl w:val="0"/>
          <w:numId w:val="1"/>
        </w:numPr>
        <w:tabs>
          <w:tab w:val="left" w:pos="674"/>
        </w:tabs>
        <w:spacing w:after="240" w:line="360" w:lineRule="auto"/>
        <w:ind w:left="674" w:hanging="630"/>
        <w:rPr>
          <w:rFonts w:cs="David"/>
        </w:rPr>
      </w:pPr>
      <w:r>
        <w:rPr>
          <w:rFonts w:cs="David"/>
          <w:rtl/>
        </w:rPr>
        <w:t xml:space="preserve">בכל הכבוד, </w:t>
      </w:r>
      <w:r w:rsidR="00985B99" w:rsidRPr="00815972">
        <w:rPr>
          <w:rFonts w:cs="David"/>
          <w:rtl/>
        </w:rPr>
        <w:t xml:space="preserve">דברים כדורבנות, </w:t>
      </w:r>
      <w:r w:rsidR="007A5900">
        <w:rPr>
          <w:rFonts w:cs="David"/>
          <w:rtl/>
        </w:rPr>
        <w:t>המשקפים את הניתוח הנכון של הוראות חוזה הבכירים</w:t>
      </w:r>
      <w:r w:rsidR="00E658C9">
        <w:rPr>
          <w:rFonts w:cs="David"/>
          <w:rtl/>
        </w:rPr>
        <w:t>, הוראות שפורשו בצורה שגויה – בכל הכבוד – על ידי בית הדין קמא</w:t>
      </w:r>
      <w:r w:rsidR="007A5900">
        <w:rPr>
          <w:rFonts w:cs="David"/>
          <w:rtl/>
        </w:rPr>
        <w:t>.</w:t>
      </w:r>
      <w:r w:rsidR="00985B99">
        <w:rPr>
          <w:rFonts w:cs="David"/>
          <w:rtl/>
        </w:rPr>
        <w:t xml:space="preserve"> </w:t>
      </w:r>
    </w:p>
    <w:p w:rsidR="00985B99" w:rsidRPr="00F6064D" w:rsidRDefault="00985B99" w:rsidP="00985B99">
      <w:pPr>
        <w:tabs>
          <w:tab w:val="left" w:pos="620"/>
        </w:tabs>
        <w:spacing w:line="360" w:lineRule="auto"/>
        <w:ind w:left="630"/>
        <w:jc w:val="both"/>
        <w:rPr>
          <w:rFonts w:cs="David"/>
        </w:rPr>
      </w:pPr>
    </w:p>
    <w:p w:rsidR="00985B99" w:rsidRDefault="00E658C9" w:rsidP="007A5900">
      <w:pPr>
        <w:pStyle w:val="a8"/>
        <w:tabs>
          <w:tab w:val="left" w:pos="674"/>
        </w:tabs>
        <w:spacing w:after="240" w:line="360" w:lineRule="auto"/>
        <w:rPr>
          <w:rFonts w:cs="David"/>
          <w:b/>
          <w:bCs/>
          <w:u w:val="single"/>
        </w:rPr>
      </w:pPr>
      <w:r>
        <w:rPr>
          <w:rFonts w:cs="David"/>
          <w:b/>
          <w:bCs/>
          <w:u w:val="single"/>
          <w:rtl/>
        </w:rPr>
        <w:t>טעה בית הדין קמא כאשר בחר להתעלם מ</w:t>
      </w:r>
      <w:r w:rsidR="00985B99" w:rsidRPr="007C00B3">
        <w:rPr>
          <w:rFonts w:cs="David"/>
          <w:b/>
          <w:bCs/>
          <w:u w:val="single"/>
          <w:rtl/>
        </w:rPr>
        <w:t>כוונות המדינה ביצירת "חוזה בכירים"</w:t>
      </w:r>
    </w:p>
    <w:p w:rsidR="00985B99" w:rsidRDefault="00E658C9" w:rsidP="00E658C9">
      <w:pPr>
        <w:spacing w:after="240" w:line="360" w:lineRule="auto"/>
        <w:jc w:val="both"/>
        <w:rPr>
          <w:rFonts w:cs="David"/>
          <w:rtl/>
        </w:rPr>
      </w:pPr>
      <w:r>
        <w:rPr>
          <w:rFonts w:cs="David"/>
          <w:rtl/>
        </w:rPr>
        <w:t>טעה בית הדין קמא כאשר התעלם מכך ש</w:t>
      </w:r>
      <w:r w:rsidR="00985B99" w:rsidRPr="007C00B3">
        <w:rPr>
          <w:rFonts w:cs="David"/>
          <w:b/>
          <w:bCs/>
          <w:rtl/>
        </w:rPr>
        <w:t>המדינה עצמה ביקש</w:t>
      </w:r>
      <w:r w:rsidR="00960E02">
        <w:rPr>
          <w:rFonts w:cs="David"/>
          <w:b/>
          <w:bCs/>
          <w:rtl/>
        </w:rPr>
        <w:t>ה</w:t>
      </w:r>
      <w:r w:rsidR="00985B99" w:rsidRPr="007C00B3">
        <w:rPr>
          <w:rFonts w:cs="David"/>
          <w:b/>
          <w:bCs/>
          <w:rtl/>
        </w:rPr>
        <w:t xml:space="preserve"> ליצור הפרדה ברורה בין העסקה לפי כתב מינוי לבין העסקה בחוזה הבכירים</w:t>
      </w:r>
      <w:r w:rsidR="00985B99">
        <w:rPr>
          <w:rFonts w:cs="David"/>
          <w:rtl/>
        </w:rPr>
        <w:t>, כך שהעסקת המ</w:t>
      </w:r>
      <w:r>
        <w:rPr>
          <w:rFonts w:cs="David"/>
          <w:rtl/>
        </w:rPr>
        <w:t>ערער – ובכירים אחרים</w:t>
      </w:r>
      <w:r w:rsidR="00985B99">
        <w:rPr>
          <w:rFonts w:cs="David"/>
          <w:rtl/>
        </w:rPr>
        <w:t>, לרבות לעניין הגמלה, תבוצע לפי כללים שונים מאלה שחלים על עובדי דירוג-דרגה.</w:t>
      </w:r>
    </w:p>
    <w:p w:rsidR="00985B99" w:rsidRDefault="00985B99" w:rsidP="00F756EA">
      <w:pPr>
        <w:pStyle w:val="a8"/>
        <w:numPr>
          <w:ilvl w:val="0"/>
          <w:numId w:val="1"/>
        </w:numPr>
        <w:tabs>
          <w:tab w:val="left" w:pos="674"/>
        </w:tabs>
        <w:spacing w:after="240" w:line="360" w:lineRule="auto"/>
        <w:ind w:left="674" w:hanging="630"/>
        <w:rPr>
          <w:rFonts w:cs="David"/>
        </w:rPr>
      </w:pPr>
      <w:r w:rsidRPr="006D22BC">
        <w:rPr>
          <w:rFonts w:cs="David"/>
          <w:rtl/>
        </w:rPr>
        <w:t>חוק שירות המדינה (מינויים)</w:t>
      </w:r>
      <w:r>
        <w:rPr>
          <w:rFonts w:cs="David"/>
          <w:rtl/>
        </w:rPr>
        <w:t>,</w:t>
      </w:r>
      <w:r w:rsidRPr="006D22BC">
        <w:rPr>
          <w:rFonts w:cs="David"/>
          <w:rtl/>
        </w:rPr>
        <w:t xml:space="preserve"> תשי"ט -1959</w:t>
      </w:r>
      <w:r>
        <w:rPr>
          <w:rFonts w:cs="David"/>
          <w:rtl/>
        </w:rPr>
        <w:t>,</w:t>
      </w:r>
      <w:r w:rsidRPr="006D22BC">
        <w:rPr>
          <w:rFonts w:cs="David"/>
          <w:rtl/>
        </w:rPr>
        <w:t xml:space="preserve"> וכן התקנות </w:t>
      </w:r>
      <w:r>
        <w:rPr>
          <w:rFonts w:cs="David"/>
          <w:rtl/>
        </w:rPr>
        <w:t xml:space="preserve">שהותקנו מכוחו, </w:t>
      </w:r>
      <w:r w:rsidRPr="006D22BC">
        <w:rPr>
          <w:rFonts w:cs="David"/>
          <w:rtl/>
        </w:rPr>
        <w:t xml:space="preserve">קובעים כי ניתן להעסיק עובד בשירות המדינה באמצעות חוזה מיוחד, </w:t>
      </w:r>
      <w:r>
        <w:rPr>
          <w:rFonts w:cs="David"/>
          <w:rtl/>
        </w:rPr>
        <w:t>במקרים מסוימים, שעיקרם הוא חיוניות המשרה והצורך בתשלום שכר גבוה מהמקובל בשירות המדינה</w:t>
      </w:r>
      <w:r w:rsidRPr="006D22BC">
        <w:rPr>
          <w:rFonts w:cs="David"/>
          <w:rtl/>
        </w:rPr>
        <w:t>.</w:t>
      </w:r>
    </w:p>
    <w:p w:rsidR="00985B99" w:rsidRDefault="00985B99" w:rsidP="00F756EA">
      <w:pPr>
        <w:pStyle w:val="a8"/>
        <w:numPr>
          <w:ilvl w:val="0"/>
          <w:numId w:val="1"/>
        </w:numPr>
        <w:tabs>
          <w:tab w:val="left" w:pos="674"/>
        </w:tabs>
        <w:spacing w:after="240" w:line="360" w:lineRule="auto"/>
        <w:ind w:left="674" w:hanging="630"/>
        <w:rPr>
          <w:rFonts w:cs="David"/>
          <w:rtl/>
        </w:rPr>
      </w:pPr>
      <w:r>
        <w:rPr>
          <w:rFonts w:cs="David"/>
          <w:rtl/>
        </w:rPr>
        <w:t xml:space="preserve">עובד, המועסק בחוזה בכירים, </w:t>
      </w:r>
      <w:r w:rsidRPr="006D22BC">
        <w:rPr>
          <w:rFonts w:cs="David"/>
          <w:rtl/>
        </w:rPr>
        <w:t>מתנתק</w:t>
      </w:r>
      <w:r>
        <w:rPr>
          <w:rFonts w:cs="David"/>
          <w:rtl/>
        </w:rPr>
        <w:t xml:space="preserve"> למעשה</w:t>
      </w:r>
      <w:r w:rsidRPr="006D22BC">
        <w:rPr>
          <w:rFonts w:cs="David"/>
          <w:rtl/>
        </w:rPr>
        <w:t xml:space="preserve"> </w:t>
      </w:r>
      <w:r>
        <w:rPr>
          <w:rFonts w:cs="David"/>
          <w:rtl/>
        </w:rPr>
        <w:t>מהדירוג בו הוא הועסק עד למעבר לחוזה בכירים</w:t>
      </w:r>
      <w:r w:rsidRPr="006D22BC">
        <w:rPr>
          <w:rFonts w:cs="David"/>
          <w:rtl/>
        </w:rPr>
        <w:t xml:space="preserve">. </w:t>
      </w:r>
      <w:r>
        <w:rPr>
          <w:rFonts w:cs="David"/>
          <w:rtl/>
        </w:rPr>
        <w:t>בעניין זה קבע בית הדין הארצי לעבודה בעניין שיפמן (</w:t>
      </w:r>
      <w:r w:rsidRPr="009D1873">
        <w:rPr>
          <w:rFonts w:cs="David"/>
          <w:rtl/>
        </w:rPr>
        <w:t xml:space="preserve">עע 1243/02  </w:t>
      </w:r>
      <w:r w:rsidRPr="00E658C9">
        <w:rPr>
          <w:rFonts w:cs="David"/>
          <w:b/>
          <w:bCs/>
          <w:rtl/>
        </w:rPr>
        <w:t>משה שיפמן ואח'  נ' מדינת ישראל</w:t>
      </w:r>
      <w:r>
        <w:rPr>
          <w:rFonts w:cs="David"/>
          <w:rtl/>
        </w:rPr>
        <w:t>) כדלקמן:</w:t>
      </w:r>
    </w:p>
    <w:p w:rsidR="00985B99" w:rsidRPr="009D1873" w:rsidRDefault="00985B99" w:rsidP="00985B99">
      <w:pPr>
        <w:spacing w:after="240" w:line="360" w:lineRule="auto"/>
        <w:ind w:left="890" w:right="450"/>
        <w:jc w:val="both"/>
      </w:pPr>
      <w:r>
        <w:rPr>
          <w:rtl/>
        </w:rPr>
        <w:t>"</w:t>
      </w:r>
      <w:r w:rsidRPr="009D1873">
        <w:rPr>
          <w:rtl/>
        </w:rPr>
        <w:t xml:space="preserve">בעצם החתימה על חוזה בכירים </w:t>
      </w:r>
      <w:r w:rsidRPr="009D1873">
        <w:rPr>
          <w:b/>
          <w:bCs/>
          <w:u w:val="single"/>
          <w:rtl/>
        </w:rPr>
        <w:t>מתנתק העובד מסולם הדרגות אליו היה שייך כעובד על פי כתב מינוי</w:t>
      </w:r>
      <w:r w:rsidRPr="009D1873">
        <w:rPr>
          <w:rtl/>
        </w:rPr>
        <w:t xml:space="preserve"> (כמשמעות מונח זה </w:t>
      </w:r>
      <w:hyperlink r:id="rId14" w:tgtFrame="Hok_32184" w:history="1">
        <w:r w:rsidRPr="009D1873">
          <w:rPr>
            <w:rtl/>
          </w:rPr>
          <w:t>בחוק שירות המדינה (מינויים), התשי"ט - 1959,</w:t>
        </w:r>
      </w:hyperlink>
      <w:r w:rsidRPr="009D1873">
        <w:rPr>
          <w:rtl/>
        </w:rPr>
        <w:t xml:space="preserve"> להלן - כתב מינוי) ועובר למסלול השונה ממסלולו הקודם על פי כתב מינוי</w:t>
      </w:r>
      <w:r>
        <w:rPr>
          <w:rtl/>
        </w:rPr>
        <w:t>"</w:t>
      </w:r>
      <w:r w:rsidRPr="009D1873">
        <w:rPr>
          <w:rtl/>
        </w:rPr>
        <w:t>.</w:t>
      </w:r>
    </w:p>
    <w:p w:rsidR="00985B99" w:rsidRPr="009D1873" w:rsidRDefault="00985B99" w:rsidP="00F756EA">
      <w:pPr>
        <w:pStyle w:val="a8"/>
        <w:numPr>
          <w:ilvl w:val="0"/>
          <w:numId w:val="1"/>
        </w:numPr>
        <w:tabs>
          <w:tab w:val="left" w:pos="674"/>
        </w:tabs>
        <w:spacing w:after="240" w:line="360" w:lineRule="auto"/>
        <w:ind w:left="674" w:hanging="630"/>
        <w:rPr>
          <w:rFonts w:cs="David"/>
          <w:rtl/>
        </w:rPr>
      </w:pPr>
      <w:r>
        <w:rPr>
          <w:rFonts w:cs="David"/>
          <w:rtl/>
        </w:rPr>
        <w:t xml:space="preserve">זאת ועוד, חוזה הבכירים אמנם הביא לשיפור שכר של עובדים שהועסקו מכוחו, אך במקביל הוא ביטל את הקביעות שהיתה לאותם עובדים, כאשר מדובר בסוג של "עסקת חבילה" לטוב או לרע, שעל מהותה עמדנו – ניתוק מהעסקה לפי כתב מינוי. ראו גם פסק הדין בתיק </w:t>
      </w:r>
      <w:hyperlink r:id="rId15" w:tgtFrame="Psak_198072" w:history="1">
        <w:r w:rsidRPr="009D1873">
          <w:rPr>
            <w:rFonts w:cs="David"/>
            <w:rtl/>
          </w:rPr>
          <w:t>עע 1029/04,</w:t>
        </w:r>
      </w:hyperlink>
      <w:r w:rsidRPr="009D1873">
        <w:rPr>
          <w:rFonts w:cs="David"/>
          <w:rtl/>
        </w:rPr>
        <w:t xml:space="preserve"> </w:t>
      </w:r>
      <w:r w:rsidRPr="00E658C9">
        <w:rPr>
          <w:rFonts w:cs="David"/>
          <w:b/>
          <w:bCs/>
          <w:rtl/>
        </w:rPr>
        <w:t>עמנואל דורנשטיין ואח' נ' מדינת ישראל</w:t>
      </w:r>
      <w:r>
        <w:rPr>
          <w:rFonts w:cs="David"/>
          <w:rtl/>
        </w:rPr>
        <w:t xml:space="preserve"> - </w:t>
      </w:r>
    </w:p>
    <w:p w:rsidR="00985B99" w:rsidRPr="009D1873" w:rsidRDefault="00985B99" w:rsidP="00985B99">
      <w:pPr>
        <w:pStyle w:val="ae"/>
        <w:spacing w:after="240" w:line="360" w:lineRule="auto"/>
        <w:ind w:left="890" w:right="450"/>
        <w:jc w:val="both"/>
        <w:rPr>
          <w:rFonts w:ascii="Times New Roman" w:hAnsi="Times New Roman" w:cs="Times New Roman"/>
          <w:sz w:val="24"/>
          <w:szCs w:val="24"/>
          <w:rtl/>
          <w:lang w:eastAsia="he-IL"/>
        </w:rPr>
      </w:pPr>
      <w:r>
        <w:rPr>
          <w:rFonts w:ascii="Times New Roman" w:hAnsi="Times New Roman" w:cs="Times New Roman"/>
          <w:sz w:val="24"/>
          <w:szCs w:val="24"/>
          <w:rtl/>
          <w:lang w:eastAsia="he-IL"/>
        </w:rPr>
        <w:lastRenderedPageBreak/>
        <w:t>"</w:t>
      </w:r>
      <w:r w:rsidRPr="009D1873">
        <w:rPr>
          <w:rFonts w:ascii="Times New Roman" w:hAnsi="Times New Roman" w:cs="Times New Roman"/>
          <w:sz w:val="24"/>
          <w:szCs w:val="24"/>
          <w:rtl/>
          <w:lang w:eastAsia="he-IL"/>
        </w:rPr>
        <w:t xml:space="preserve">חוזה הבכירים יצר מעמד מיוחד לחלק מעובדי המדינה הבכירים שהסכימו לעבוד במעמד זה. </w:t>
      </w:r>
      <w:r w:rsidRPr="009D1873">
        <w:rPr>
          <w:rFonts w:ascii="Times New Roman" w:hAnsi="Times New Roman" w:cs="Times New Roman"/>
          <w:b/>
          <w:bCs/>
          <w:sz w:val="24"/>
          <w:szCs w:val="24"/>
          <w:u w:val="single"/>
          <w:rtl/>
          <w:lang w:eastAsia="he-IL"/>
        </w:rPr>
        <w:t>חוזה הבכירים ניתק את העובדים הבכירים ממסגרת ההעסקה השגרתית שלהם, מסולם השכר החל עליהם ומתנאי הפנסיה שמקורם בחוק</w:t>
      </w:r>
      <w:r w:rsidRPr="009D1873">
        <w:rPr>
          <w:rFonts w:ascii="Times New Roman" w:hAnsi="Times New Roman" w:cs="Times New Roman"/>
          <w:sz w:val="24"/>
          <w:szCs w:val="24"/>
          <w:rtl/>
          <w:lang w:eastAsia="he-IL"/>
        </w:rPr>
        <w:t xml:space="preserve">. חוזה הבכירים ביטל את הקביעות של העובדים הבכירים ומנגד קבע רמת שכר גבוהה מזו שהיתה לאותם עובדים על פי דירוגם. מכלול הנתונים הנוגעים לחוזה הבכירים (ראו סעיף 14 לפסק הדין של בית הדין האזורי) מלמד כי </w:t>
      </w:r>
      <w:r w:rsidRPr="009D1873">
        <w:rPr>
          <w:rFonts w:ascii="Times New Roman" w:hAnsi="Times New Roman" w:cs="Times New Roman"/>
          <w:b/>
          <w:bCs/>
          <w:sz w:val="24"/>
          <w:szCs w:val="24"/>
          <w:u w:val="single"/>
          <w:rtl/>
          <w:lang w:eastAsia="he-IL"/>
        </w:rPr>
        <w:t>מדובר בהסדר מיוחד אשר נועד לנתק את העובד הבכיר ממתכונת העסקתו הקודמת וליצור לגביו מתכונת שונה הכוללת יתרונות וחסרונות, בבחינת חוחים ושושנים כאחד</w:t>
      </w:r>
      <w:r w:rsidRPr="009D1873">
        <w:rPr>
          <w:rFonts w:ascii="Times New Roman" w:hAnsi="Times New Roman" w:cs="Times New Roman"/>
          <w:sz w:val="24"/>
          <w:szCs w:val="24"/>
          <w:rtl/>
          <w:lang w:eastAsia="he-IL"/>
        </w:rPr>
        <w:t xml:space="preserve">. מדובר </w:t>
      </w:r>
      <w:r w:rsidRPr="009D1873">
        <w:rPr>
          <w:rFonts w:ascii="Times New Roman" w:hAnsi="Times New Roman" w:cs="Times New Roman"/>
          <w:b/>
          <w:bCs/>
          <w:sz w:val="24"/>
          <w:szCs w:val="24"/>
          <w:u w:val="single"/>
          <w:rtl/>
          <w:lang w:eastAsia="he-IL"/>
        </w:rPr>
        <w:t>במציאות העסקה שונה, חדשה ומיוחדת הכרוכה – במיוחד – בניתוק העובד הבכיר מסולם השכר הרגיל שלו. העסקת העובדים ב"חוזה בכירים" לא שינתה את סולמות השכר הרגילים, אלא יצרה מנגנון שניתק את העובדים מסולם השכר הרגיל וקבע להם מתכונת שונה – חילופית – של העסקה. לא יכול להיות ספק כי העסקה בחוזה בכירים, במתכונת בה מדובר, הינה שינוי מהותי במבנה ההעסקה ואין היא בבחינת שינוי בסולם השכר לגביו ניתן לבצע "תיאומים</w:t>
      </w:r>
      <w:r>
        <w:rPr>
          <w:rFonts w:ascii="Times New Roman" w:hAnsi="Times New Roman" w:cs="Times New Roman"/>
          <w:sz w:val="24"/>
          <w:szCs w:val="24"/>
          <w:rtl/>
          <w:lang w:eastAsia="he-IL"/>
        </w:rPr>
        <w:t>" ...</w:t>
      </w:r>
      <w:r w:rsidRPr="009D1873">
        <w:rPr>
          <w:rFonts w:ascii="Times New Roman" w:hAnsi="Times New Roman" w:cs="Times New Roman"/>
          <w:sz w:val="24"/>
          <w:szCs w:val="24"/>
          <w:rtl/>
          <w:lang w:eastAsia="he-IL"/>
        </w:rPr>
        <w:t xml:space="preserve">". </w:t>
      </w:r>
    </w:p>
    <w:p w:rsidR="006A1691" w:rsidRDefault="006A1691" w:rsidP="00F756EA">
      <w:pPr>
        <w:pStyle w:val="a8"/>
        <w:numPr>
          <w:ilvl w:val="0"/>
          <w:numId w:val="1"/>
        </w:numPr>
        <w:tabs>
          <w:tab w:val="left" w:pos="674"/>
        </w:tabs>
        <w:spacing w:after="240" w:line="360" w:lineRule="auto"/>
        <w:ind w:left="674" w:hanging="630"/>
        <w:rPr>
          <w:rFonts w:cs="David"/>
        </w:rPr>
      </w:pPr>
      <w:r>
        <w:rPr>
          <w:rFonts w:cs="David"/>
          <w:rtl/>
        </w:rPr>
        <w:t xml:space="preserve">ואכן, חוזה הבכירים עליו חתם המשיב, כולל הוראות רבות המעידות על כוונת המדינה להחיל מערכת כללים שונה על היחסים החוזיים עם המשיב, ולנתק אותו ממערכת הכללים הקבועה בהעסקה לפי כתבי מינוי, למעט ההוראות שהוחלו במפורש – </w:t>
      </w:r>
    </w:p>
    <w:p w:rsidR="006A1691" w:rsidRDefault="006A1691" w:rsidP="00F756EA">
      <w:pPr>
        <w:pStyle w:val="a8"/>
        <w:numPr>
          <w:ilvl w:val="1"/>
          <w:numId w:val="1"/>
        </w:numPr>
        <w:tabs>
          <w:tab w:val="left" w:pos="1394"/>
        </w:tabs>
        <w:spacing w:after="240" w:line="360" w:lineRule="auto"/>
        <w:ind w:left="1394" w:hanging="720"/>
        <w:rPr>
          <w:rFonts w:cs="David"/>
        </w:rPr>
      </w:pPr>
      <w:r w:rsidRPr="00E658C9">
        <w:rPr>
          <w:rFonts w:cs="David"/>
          <w:rtl/>
        </w:rPr>
        <w:t>כך, בחלק המבוא נכתב במפורש – "</w:t>
      </w:r>
      <w:r w:rsidRPr="00E658C9">
        <w:rPr>
          <w:rFonts w:cs="David"/>
          <w:b/>
          <w:bCs/>
          <w:i/>
          <w:iCs/>
          <w:rtl/>
        </w:rPr>
        <w:t>והעובד מסכים לביטול כתב המינוי שלו ולהיות מועסק בשירות המדינה על פי תנאי חוזה מיוחד זה;</w:t>
      </w:r>
      <w:r w:rsidRPr="00E658C9">
        <w:rPr>
          <w:rFonts w:cs="David"/>
          <w:rtl/>
        </w:rPr>
        <w:t>".</w:t>
      </w:r>
    </w:p>
    <w:p w:rsidR="006A1691" w:rsidRDefault="006A1691" w:rsidP="00F756EA">
      <w:pPr>
        <w:pStyle w:val="a8"/>
        <w:numPr>
          <w:ilvl w:val="1"/>
          <w:numId w:val="1"/>
        </w:numPr>
        <w:tabs>
          <w:tab w:val="left" w:pos="1394"/>
        </w:tabs>
        <w:spacing w:after="240" w:line="360" w:lineRule="auto"/>
        <w:ind w:left="1394" w:hanging="720"/>
        <w:rPr>
          <w:rStyle w:val="wsubclausecontent1"/>
          <w:rFonts w:cs="David"/>
        </w:rPr>
      </w:pPr>
      <w:r w:rsidRPr="00E658C9">
        <w:rPr>
          <w:rFonts w:cs="David"/>
          <w:rtl/>
        </w:rPr>
        <w:t xml:space="preserve">עוד נקבע במבוא כי החוזה נעשה לפי סעיף 40 לחוק שירות המדינה (מינויים), תשי"ט – 1959. סעיף 40 האמור, שכותרתו </w:t>
      </w:r>
      <w:r w:rsidRPr="00E658C9">
        <w:rPr>
          <w:rFonts w:ascii="David" w:hAnsi="David" w:cs="David"/>
          <w:rtl/>
        </w:rPr>
        <w:t>"חוזה מיוחד" קובע כי –</w:t>
      </w:r>
      <w:r w:rsidRPr="00985B99">
        <w:rPr>
          <w:rtl/>
        </w:rPr>
        <w:t xml:space="preserve"> "</w:t>
      </w:r>
      <w:r w:rsidRPr="00985B99">
        <w:rPr>
          <w:rStyle w:val="wsubclausecontent1"/>
          <w:rtl/>
        </w:rPr>
        <w:t xml:space="preserve">שום דבר האמור בחוק זה אינו בא למנוע את הממשלה לעשות חוזה מיוחד עם אדם שיועסק בשירות המדינה במקרים ולפי תנאים שייקבעו בתקנות על פי המלצת ועדת השירות ובהתייעצות עם ועדת העבודה של הכנסת; בעשיית חוזה מיוחד כאמור תיוצג הממשלה על ידי נציב השירות; </w:t>
      </w:r>
      <w:r w:rsidRPr="00E658C9">
        <w:rPr>
          <w:rStyle w:val="wsubclausecontent1"/>
          <w:b/>
          <w:bCs/>
          <w:u w:val="single"/>
          <w:rtl/>
        </w:rPr>
        <w:t>הוראות חוק זה לא יחולו על אדם המועסק לפי חוזה מיוחד אלא במידה שנקבע בחוזה</w:t>
      </w:r>
      <w:r w:rsidRPr="00E658C9">
        <w:rPr>
          <w:rStyle w:val="wsubclausecontent1"/>
          <w:rFonts w:cs="David"/>
          <w:rtl/>
        </w:rPr>
        <w:t>".</w:t>
      </w:r>
    </w:p>
    <w:p w:rsidR="006A1691" w:rsidRDefault="006A1691" w:rsidP="00F756EA">
      <w:pPr>
        <w:pStyle w:val="a8"/>
        <w:numPr>
          <w:ilvl w:val="1"/>
          <w:numId w:val="1"/>
        </w:numPr>
        <w:tabs>
          <w:tab w:val="left" w:pos="1394"/>
        </w:tabs>
        <w:spacing w:after="240" w:line="360" w:lineRule="auto"/>
        <w:ind w:left="1394" w:hanging="720"/>
        <w:rPr>
          <w:rFonts w:cs="David"/>
        </w:rPr>
      </w:pPr>
      <w:r w:rsidRPr="00E658C9">
        <w:rPr>
          <w:rFonts w:cs="David"/>
          <w:rtl/>
        </w:rPr>
        <w:t xml:space="preserve">סעיף 5 לחוזה הבכירים </w:t>
      </w:r>
      <w:r w:rsidR="003D7ED7">
        <w:rPr>
          <w:rFonts w:cs="David"/>
          <w:rtl/>
        </w:rPr>
        <w:t xml:space="preserve">קובע </w:t>
      </w:r>
      <w:r w:rsidRPr="00E658C9">
        <w:rPr>
          <w:rFonts w:cs="David"/>
          <w:rtl/>
        </w:rPr>
        <w:t>כי החל ממועד חתימתו – "</w:t>
      </w:r>
      <w:r w:rsidRPr="00E658C9">
        <w:rPr>
          <w:rFonts w:cs="David"/>
          <w:b/>
          <w:bCs/>
          <w:i/>
          <w:iCs/>
          <w:rtl/>
        </w:rPr>
        <w:t>יועסק העובד על פי חוזה זה ולא על פי כתב המינוי המבוטל בזה</w:t>
      </w:r>
      <w:r w:rsidRPr="00E658C9">
        <w:rPr>
          <w:rFonts w:cs="David"/>
          <w:rtl/>
        </w:rPr>
        <w:t>". והסיפא של הסעיף מחמירה וקובעת – "</w:t>
      </w:r>
      <w:r w:rsidRPr="00E658C9">
        <w:rPr>
          <w:rFonts w:cs="David"/>
          <w:b/>
          <w:bCs/>
          <w:i/>
          <w:iCs/>
          <w:rtl/>
        </w:rPr>
        <w:t>לעובד לא תהיה הזכות לחזור ולקבל כתב מינוי</w:t>
      </w:r>
      <w:r w:rsidRPr="00E658C9">
        <w:rPr>
          <w:rFonts w:cs="David"/>
          <w:rtl/>
        </w:rPr>
        <w:t>".</w:t>
      </w:r>
    </w:p>
    <w:p w:rsidR="006A1691" w:rsidRPr="00E658C9" w:rsidRDefault="006A1691" w:rsidP="00F756EA">
      <w:pPr>
        <w:pStyle w:val="a8"/>
        <w:numPr>
          <w:ilvl w:val="1"/>
          <w:numId w:val="1"/>
        </w:numPr>
        <w:tabs>
          <w:tab w:val="left" w:pos="1394"/>
        </w:tabs>
        <w:spacing w:after="240" w:line="360" w:lineRule="auto"/>
        <w:ind w:left="1394" w:hanging="720"/>
        <w:rPr>
          <w:rFonts w:cs="David"/>
        </w:rPr>
      </w:pPr>
      <w:r w:rsidRPr="00E658C9">
        <w:rPr>
          <w:rFonts w:cs="David"/>
          <w:rtl/>
        </w:rPr>
        <w:t xml:space="preserve">סעיף 7 לחוזה הבכירים קובע שורה של תנאים להם לא זכאי </w:t>
      </w:r>
      <w:r>
        <w:rPr>
          <w:rFonts w:cs="David"/>
          <w:rtl/>
        </w:rPr>
        <w:t>המערער</w:t>
      </w:r>
      <w:r w:rsidRPr="00E658C9">
        <w:rPr>
          <w:rFonts w:cs="David"/>
          <w:rtl/>
        </w:rPr>
        <w:t>, מאחר שהוא מועסק בחוזה בכירים כאמור.</w:t>
      </w:r>
    </w:p>
    <w:p w:rsidR="006A1691" w:rsidRPr="00815972" w:rsidRDefault="006A1691" w:rsidP="00F756EA">
      <w:pPr>
        <w:pStyle w:val="a8"/>
        <w:numPr>
          <w:ilvl w:val="0"/>
          <w:numId w:val="1"/>
        </w:numPr>
        <w:tabs>
          <w:tab w:val="left" w:pos="674"/>
        </w:tabs>
        <w:spacing w:after="240" w:line="360" w:lineRule="auto"/>
        <w:ind w:left="674" w:hanging="630"/>
        <w:rPr>
          <w:rFonts w:cs="David"/>
        </w:rPr>
      </w:pPr>
      <w:r>
        <w:rPr>
          <w:rFonts w:cs="David"/>
          <w:rtl/>
        </w:rPr>
        <w:t xml:space="preserve">על רקע דברים אלה, מתחדדת ומתחזקת הפרשנות לסעיפים 11, 12 ו – 13 לחוזה הבכירים של המערער, ולפיהם – </w:t>
      </w:r>
      <w:r w:rsidRPr="006A1691">
        <w:rPr>
          <w:rFonts w:cs="David"/>
          <w:b/>
          <w:bCs/>
          <w:rtl/>
        </w:rPr>
        <w:t>המדינה ניתקה את המשיב מהוראות חוק הגימלאות וסולמות השכר</w:t>
      </w:r>
      <w:r w:rsidRPr="007A5900">
        <w:rPr>
          <w:rFonts w:cs="David"/>
          <w:rtl/>
        </w:rPr>
        <w:t>, וקבעה את תנאי העסקתו בהתאם להוראות חוזה הבכירים</w:t>
      </w:r>
      <w:r>
        <w:rPr>
          <w:rFonts w:cs="David"/>
          <w:rtl/>
        </w:rPr>
        <w:t xml:space="preserve">, </w:t>
      </w:r>
      <w:r>
        <w:rPr>
          <w:rFonts w:cs="David"/>
          <w:b/>
          <w:bCs/>
          <w:rtl/>
        </w:rPr>
        <w:t>אלא אם נקבע במפורש אחרת</w:t>
      </w:r>
      <w:r w:rsidRPr="007A5900">
        <w:rPr>
          <w:rFonts w:cs="David"/>
          <w:rtl/>
        </w:rPr>
        <w:t xml:space="preserve">. </w:t>
      </w:r>
    </w:p>
    <w:p w:rsidR="00985B99" w:rsidRPr="00F6064D" w:rsidRDefault="00985B99" w:rsidP="00523912">
      <w:pPr>
        <w:pStyle w:val="a8"/>
        <w:tabs>
          <w:tab w:val="left" w:pos="674"/>
        </w:tabs>
        <w:spacing w:after="240" w:line="360" w:lineRule="auto"/>
        <w:ind w:left="674"/>
        <w:rPr>
          <w:rFonts w:cs="David"/>
        </w:rPr>
      </w:pPr>
      <w:r w:rsidRPr="00523912">
        <w:rPr>
          <w:rFonts w:cs="David"/>
          <w:b/>
          <w:bCs/>
          <w:rtl/>
        </w:rPr>
        <w:lastRenderedPageBreak/>
        <w:t xml:space="preserve">חוזה הבכירים אינו קובע כי </w:t>
      </w:r>
      <w:r w:rsidR="00E658C9" w:rsidRPr="00523912">
        <w:rPr>
          <w:rFonts w:cs="David"/>
          <w:b/>
          <w:bCs/>
          <w:rtl/>
        </w:rPr>
        <w:t>המערער</w:t>
      </w:r>
      <w:r w:rsidRPr="00523912">
        <w:rPr>
          <w:rFonts w:cs="David"/>
          <w:b/>
          <w:bCs/>
          <w:rtl/>
        </w:rPr>
        <w:t xml:space="preserve"> נדרש להגיש ערעור בהתאם להוראות חוק הגימלאות, ובהתאם – המ</w:t>
      </w:r>
      <w:r w:rsidR="00523912">
        <w:rPr>
          <w:rFonts w:cs="David"/>
          <w:b/>
          <w:bCs/>
          <w:rtl/>
        </w:rPr>
        <w:t>ערער</w:t>
      </w:r>
      <w:r w:rsidRPr="00523912">
        <w:rPr>
          <w:rFonts w:cs="David"/>
          <w:b/>
          <w:bCs/>
          <w:rtl/>
        </w:rPr>
        <w:t xml:space="preserve"> לא איחר בהגשת תביעתו</w:t>
      </w:r>
      <w:r w:rsidRPr="007A5900">
        <w:rPr>
          <w:rFonts w:cs="David"/>
          <w:rtl/>
        </w:rPr>
        <w:t>.</w:t>
      </w:r>
    </w:p>
    <w:p w:rsidR="00985B99" w:rsidRPr="00985B99" w:rsidRDefault="00985B99" w:rsidP="00985B99">
      <w:pPr>
        <w:spacing w:line="360" w:lineRule="auto"/>
        <w:ind w:left="1250" w:right="450"/>
        <w:jc w:val="both"/>
      </w:pPr>
    </w:p>
    <w:p w:rsidR="006A1691" w:rsidRPr="00580511" w:rsidRDefault="006A1691" w:rsidP="006A1691">
      <w:pPr>
        <w:pStyle w:val="a8"/>
        <w:tabs>
          <w:tab w:val="left" w:pos="674"/>
        </w:tabs>
        <w:spacing w:after="240" w:line="360" w:lineRule="auto"/>
        <w:ind w:left="44"/>
        <w:rPr>
          <w:rFonts w:cs="David"/>
          <w:b/>
          <w:bCs/>
          <w:u w:val="single"/>
        </w:rPr>
      </w:pPr>
      <w:r>
        <w:rPr>
          <w:rFonts w:cs="David"/>
          <w:b/>
          <w:bCs/>
          <w:u w:val="single"/>
          <w:rtl/>
        </w:rPr>
        <w:t>סיכום ביניים לחלק העוסק בתביעה לגמלה</w:t>
      </w:r>
    </w:p>
    <w:p w:rsidR="000916F7" w:rsidRDefault="006A1691" w:rsidP="000916F7">
      <w:pPr>
        <w:pStyle w:val="a8"/>
        <w:numPr>
          <w:ilvl w:val="0"/>
          <w:numId w:val="1"/>
        </w:numPr>
        <w:tabs>
          <w:tab w:val="left" w:pos="674"/>
        </w:tabs>
        <w:spacing w:after="240" w:line="360" w:lineRule="auto"/>
        <w:ind w:left="674" w:hanging="630"/>
        <w:rPr>
          <w:rFonts w:cs="David"/>
        </w:rPr>
      </w:pPr>
      <w:r w:rsidRPr="006A1691">
        <w:rPr>
          <w:rFonts w:cs="David"/>
          <w:rtl/>
        </w:rPr>
        <w:t xml:space="preserve">בית הדין קמא נתפס לכלל טעות כאשר קבע כי </w:t>
      </w:r>
      <w:r w:rsidR="000916F7">
        <w:rPr>
          <w:rFonts w:cs="David"/>
          <w:rtl/>
        </w:rPr>
        <w:t>המערער נדרש להגיש ערעור</w:t>
      </w:r>
      <w:r w:rsidRPr="006A1691">
        <w:rPr>
          <w:rFonts w:cs="David"/>
          <w:rtl/>
        </w:rPr>
        <w:t xml:space="preserve"> במועד הקבוע בסעיף 43 לחוק הגמלאות</w:t>
      </w:r>
      <w:r w:rsidR="000916F7">
        <w:rPr>
          <w:rFonts w:cs="David"/>
          <w:rtl/>
        </w:rPr>
        <w:t>, ולו מהטעם אין מ</w:t>
      </w:r>
      <w:r w:rsidR="00C02D74">
        <w:rPr>
          <w:rFonts w:cs="David"/>
          <w:rtl/>
        </w:rPr>
        <w:t>דובר ב"זכות", אלא ה</w:t>
      </w:r>
      <w:r w:rsidR="000916F7">
        <w:rPr>
          <w:rFonts w:cs="David"/>
          <w:rtl/>
        </w:rPr>
        <w:t>מגבלה</w:t>
      </w:r>
      <w:r w:rsidR="00C02D74">
        <w:rPr>
          <w:rFonts w:cs="David"/>
          <w:rtl/>
        </w:rPr>
        <w:t xml:space="preserve"> הגורעת מזכויותיו</w:t>
      </w:r>
      <w:r w:rsidR="000916F7">
        <w:rPr>
          <w:rFonts w:cs="David"/>
          <w:rtl/>
        </w:rPr>
        <w:t>, בניגוד ללשונו המפורשת של החוזה ובניגוד למהותו של החוזה הבכירים – להיטיב עם העובדים הזכאים לו</w:t>
      </w:r>
      <w:r w:rsidRPr="006A1691">
        <w:rPr>
          <w:rFonts w:cs="David"/>
          <w:rtl/>
        </w:rPr>
        <w:t xml:space="preserve">. </w:t>
      </w:r>
    </w:p>
    <w:p w:rsidR="00B14749" w:rsidRDefault="00B14749" w:rsidP="00F756EA">
      <w:pPr>
        <w:pStyle w:val="a8"/>
        <w:numPr>
          <w:ilvl w:val="0"/>
          <w:numId w:val="1"/>
        </w:numPr>
        <w:tabs>
          <w:tab w:val="left" w:pos="674"/>
        </w:tabs>
        <w:spacing w:after="240" w:line="360" w:lineRule="auto"/>
        <w:ind w:left="674" w:hanging="630"/>
        <w:rPr>
          <w:rFonts w:cs="David"/>
        </w:rPr>
      </w:pPr>
      <w:r>
        <w:rPr>
          <w:rFonts w:cs="David"/>
          <w:rtl/>
        </w:rPr>
        <w:t>על כן, הכרעתו של בית הדין קמא בעניין המועד להגשת תביעה בעניין הגמלאות שגויה ביסודה ואינה יכול</w:t>
      </w:r>
      <w:r w:rsidR="003D7ED7">
        <w:rPr>
          <w:rFonts w:cs="David"/>
          <w:rtl/>
        </w:rPr>
        <w:t>ה</w:t>
      </w:r>
      <w:r>
        <w:rPr>
          <w:rFonts w:cs="David"/>
          <w:rtl/>
        </w:rPr>
        <w:t xml:space="preserve"> לעמוד.</w:t>
      </w:r>
    </w:p>
    <w:p w:rsidR="000F6F7C" w:rsidRDefault="000F6F7C" w:rsidP="00355243">
      <w:pPr>
        <w:pStyle w:val="a8"/>
        <w:tabs>
          <w:tab w:val="left" w:pos="674"/>
        </w:tabs>
        <w:spacing w:after="0" w:line="360" w:lineRule="auto"/>
        <w:ind w:left="44"/>
        <w:rPr>
          <w:rFonts w:cs="David"/>
          <w:rtl/>
        </w:rPr>
      </w:pPr>
    </w:p>
    <w:p w:rsidR="00374B8F" w:rsidRPr="00B14749" w:rsidRDefault="00374B8F" w:rsidP="00F756EA">
      <w:pPr>
        <w:pStyle w:val="7"/>
        <w:numPr>
          <w:ilvl w:val="0"/>
          <w:numId w:val="3"/>
        </w:numPr>
        <w:spacing w:after="240" w:line="360" w:lineRule="auto"/>
        <w:ind w:left="674" w:hanging="630"/>
        <w:rPr>
          <w:rFonts w:cs="David"/>
          <w:sz w:val="26"/>
          <w:szCs w:val="26"/>
        </w:rPr>
      </w:pPr>
      <w:r w:rsidRPr="00B14749">
        <w:rPr>
          <w:rFonts w:cs="David"/>
          <w:sz w:val="26"/>
          <w:szCs w:val="26"/>
          <w:rtl/>
        </w:rPr>
        <w:t xml:space="preserve">טעה בית הדין </w:t>
      </w:r>
      <w:r w:rsidR="00523912">
        <w:rPr>
          <w:rFonts w:cs="David"/>
          <w:sz w:val="26"/>
          <w:szCs w:val="26"/>
          <w:rtl/>
        </w:rPr>
        <w:t xml:space="preserve">הנכבד </w:t>
      </w:r>
      <w:r w:rsidRPr="00B14749">
        <w:rPr>
          <w:rFonts w:cs="David"/>
          <w:sz w:val="26"/>
          <w:szCs w:val="26"/>
          <w:rtl/>
        </w:rPr>
        <w:t>קמא כאשר מחק את התביעה בגין עגמת נפש ונזק לא ממוני</w:t>
      </w:r>
    </w:p>
    <w:p w:rsidR="00374B8F" w:rsidRDefault="00B14749" w:rsidP="00F756EA">
      <w:pPr>
        <w:pStyle w:val="a8"/>
        <w:numPr>
          <w:ilvl w:val="0"/>
          <w:numId w:val="1"/>
        </w:numPr>
        <w:tabs>
          <w:tab w:val="left" w:pos="674"/>
        </w:tabs>
        <w:spacing w:after="240" w:line="360" w:lineRule="auto"/>
        <w:ind w:left="674" w:hanging="630"/>
        <w:rPr>
          <w:rFonts w:cs="David"/>
        </w:rPr>
      </w:pPr>
      <w:r>
        <w:rPr>
          <w:rFonts w:cs="David"/>
          <w:rtl/>
        </w:rPr>
        <w:t xml:space="preserve">בסעיף 50 לפסק הדין קובע בית הדין קמא כי </w:t>
      </w:r>
      <w:r w:rsidR="00FE5105">
        <w:rPr>
          <w:rFonts w:cs="David"/>
          <w:rtl/>
        </w:rPr>
        <w:t>בקשת המשיבות לא כללה התייחסות לתביעת המערער לפיצוי כספי בגין התנהלות המשיבות</w:t>
      </w:r>
      <w:r w:rsidR="002B6A12">
        <w:rPr>
          <w:rFonts w:cs="David"/>
          <w:rtl/>
        </w:rPr>
        <w:t xml:space="preserve"> (</w:t>
      </w:r>
      <w:r w:rsidR="002B6A12">
        <w:rPr>
          <w:rFonts w:cs="David"/>
          <w:i/>
          <w:iCs/>
          <w:rtl/>
        </w:rPr>
        <w:t>שם</w:t>
      </w:r>
      <w:r w:rsidR="002B6A12">
        <w:rPr>
          <w:rFonts w:cs="David"/>
          <w:rtl/>
        </w:rPr>
        <w:t>)</w:t>
      </w:r>
      <w:r w:rsidR="00FE5105">
        <w:rPr>
          <w:rFonts w:cs="David"/>
          <w:rtl/>
        </w:rPr>
        <w:t>. עוד מוסיף וקובע בית הדין קמא כי "</w:t>
      </w:r>
      <w:r w:rsidR="00FE5105" w:rsidRPr="00FE5105">
        <w:rPr>
          <w:rFonts w:cs="David"/>
          <w:b/>
          <w:bCs/>
          <w:i/>
          <w:iCs/>
          <w:sz w:val="26"/>
          <w:szCs w:val="26"/>
          <w:rtl/>
        </w:rPr>
        <w:t>רכיב תביעה זה בעינו עומד</w:t>
      </w:r>
      <w:r w:rsidR="00FE5105">
        <w:rPr>
          <w:rFonts w:cs="David"/>
          <w:rtl/>
        </w:rPr>
        <w:t>".</w:t>
      </w:r>
    </w:p>
    <w:p w:rsidR="00FE5105" w:rsidRDefault="00FE5105" w:rsidP="00F756EA">
      <w:pPr>
        <w:pStyle w:val="a8"/>
        <w:numPr>
          <w:ilvl w:val="0"/>
          <w:numId w:val="1"/>
        </w:numPr>
        <w:tabs>
          <w:tab w:val="left" w:pos="674"/>
        </w:tabs>
        <w:spacing w:after="240" w:line="360" w:lineRule="auto"/>
        <w:ind w:left="674" w:hanging="630"/>
        <w:rPr>
          <w:rFonts w:cs="David"/>
        </w:rPr>
      </w:pPr>
      <w:r>
        <w:rPr>
          <w:rFonts w:cs="David"/>
          <w:rtl/>
        </w:rPr>
        <w:t>למרות האמור לעיל, ואף ש</w:t>
      </w:r>
      <w:r w:rsidR="002B6A12">
        <w:rPr>
          <w:rFonts w:cs="David"/>
          <w:rtl/>
        </w:rPr>
        <w:t xml:space="preserve">בית הדין קמא קובע כי </w:t>
      </w:r>
      <w:r>
        <w:rPr>
          <w:rFonts w:cs="David"/>
          <w:rtl/>
        </w:rPr>
        <w:t>לא היתה בקשה בעניין זה, הוא מחק את תב</w:t>
      </w:r>
      <w:r w:rsidR="002B2ADF">
        <w:rPr>
          <w:rFonts w:cs="David"/>
          <w:rtl/>
        </w:rPr>
        <w:t>יעת</w:t>
      </w:r>
      <w:r w:rsidR="003D7ED7">
        <w:rPr>
          <w:rFonts w:cs="David"/>
          <w:rtl/>
        </w:rPr>
        <w:t xml:space="preserve"> המערער</w:t>
      </w:r>
      <w:r w:rsidR="002B2ADF">
        <w:rPr>
          <w:rFonts w:cs="David"/>
          <w:rtl/>
        </w:rPr>
        <w:t xml:space="preserve"> בנימוקים שגויים, המתעלמים לחלוטין מכתב התביעה, כפי שנפרט להלן:</w:t>
      </w:r>
    </w:p>
    <w:p w:rsidR="00FE5105" w:rsidRPr="002B2ADF" w:rsidRDefault="009848B0" w:rsidP="00F756EA">
      <w:pPr>
        <w:pStyle w:val="a8"/>
        <w:numPr>
          <w:ilvl w:val="0"/>
          <w:numId w:val="1"/>
        </w:numPr>
        <w:tabs>
          <w:tab w:val="left" w:pos="674"/>
        </w:tabs>
        <w:spacing w:after="240" w:line="360" w:lineRule="auto"/>
        <w:ind w:left="674" w:hanging="630"/>
        <w:rPr>
          <w:rFonts w:cs="David"/>
        </w:rPr>
      </w:pPr>
      <w:r>
        <w:rPr>
          <w:rFonts w:cs="David"/>
          <w:b/>
          <w:bCs/>
          <w:rtl/>
        </w:rPr>
        <w:t>"לא פירט בתביעתו את</w:t>
      </w:r>
      <w:r w:rsidR="00FE5105" w:rsidRPr="002B2ADF">
        <w:rPr>
          <w:rFonts w:cs="David"/>
          <w:b/>
          <w:bCs/>
          <w:rtl/>
        </w:rPr>
        <w:t xml:space="preserve"> הרקע </w:t>
      </w:r>
      <w:r>
        <w:rPr>
          <w:rFonts w:cs="David"/>
          <w:b/>
          <w:bCs/>
          <w:rtl/>
        </w:rPr>
        <w:t xml:space="preserve">העובדתי </w:t>
      </w:r>
      <w:r w:rsidR="00FE5105" w:rsidRPr="002B2ADF">
        <w:rPr>
          <w:rFonts w:cs="David"/>
          <w:b/>
          <w:bCs/>
          <w:rtl/>
        </w:rPr>
        <w:t>הרל</w:t>
      </w:r>
      <w:r>
        <w:rPr>
          <w:rFonts w:cs="David"/>
          <w:b/>
          <w:bCs/>
          <w:rtl/>
        </w:rPr>
        <w:t>וו</w:t>
      </w:r>
      <w:r w:rsidR="00FE5105" w:rsidRPr="002B2ADF">
        <w:rPr>
          <w:rFonts w:cs="David"/>
          <w:b/>
          <w:bCs/>
          <w:rtl/>
        </w:rPr>
        <w:t xml:space="preserve">נטי לפיצוי </w:t>
      </w:r>
      <w:r>
        <w:rPr>
          <w:rFonts w:cs="David"/>
          <w:b/>
          <w:bCs/>
          <w:rtl/>
        </w:rPr>
        <w:t xml:space="preserve">הכספי </w:t>
      </w:r>
      <w:r w:rsidR="00FE5105" w:rsidRPr="002B2ADF">
        <w:rPr>
          <w:rFonts w:cs="David"/>
          <w:b/>
          <w:bCs/>
          <w:rtl/>
        </w:rPr>
        <w:t>המבוקש</w:t>
      </w:r>
      <w:r>
        <w:rPr>
          <w:rFonts w:cs="David"/>
          <w:b/>
          <w:bCs/>
          <w:rtl/>
        </w:rPr>
        <w:t>"</w:t>
      </w:r>
      <w:r w:rsidR="00FE5105" w:rsidRPr="002B2ADF">
        <w:rPr>
          <w:rFonts w:cs="David"/>
          <w:b/>
          <w:bCs/>
          <w:rtl/>
        </w:rPr>
        <w:t xml:space="preserve"> – </w:t>
      </w:r>
    </w:p>
    <w:p w:rsidR="002B2ADF" w:rsidRDefault="00FE5105" w:rsidP="00F756EA">
      <w:pPr>
        <w:pStyle w:val="a8"/>
        <w:numPr>
          <w:ilvl w:val="1"/>
          <w:numId w:val="1"/>
        </w:numPr>
        <w:tabs>
          <w:tab w:val="left" w:pos="1304"/>
        </w:tabs>
        <w:spacing w:after="240" w:line="360" w:lineRule="auto"/>
        <w:ind w:left="1304" w:hanging="630"/>
        <w:rPr>
          <w:rFonts w:cs="David"/>
        </w:rPr>
      </w:pPr>
      <w:r w:rsidRPr="002B2ADF">
        <w:rPr>
          <w:rFonts w:cs="David"/>
          <w:rtl/>
        </w:rPr>
        <w:t>בכל הכבוד, בית הדין קמא התעלם לחלוטין מהדברים המפורשים שנכתבו בכתב התביעה בעניין זה:</w:t>
      </w:r>
      <w:r w:rsidR="002B2ADF" w:rsidRPr="002B2ADF">
        <w:rPr>
          <w:rFonts w:cs="David"/>
          <w:rtl/>
        </w:rPr>
        <w:t xml:space="preserve"> הן בפ</w:t>
      </w:r>
      <w:r w:rsidR="002B2ADF">
        <w:rPr>
          <w:rFonts w:cs="David"/>
          <w:rtl/>
        </w:rPr>
        <w:t>רק ב.8. לכתב התביעה והן בפרק ה' לכתב התביעה.</w:t>
      </w:r>
    </w:p>
    <w:p w:rsidR="002B2ADF" w:rsidRDefault="002B2ADF" w:rsidP="00F756EA">
      <w:pPr>
        <w:pStyle w:val="a8"/>
        <w:numPr>
          <w:ilvl w:val="1"/>
          <w:numId w:val="1"/>
        </w:numPr>
        <w:tabs>
          <w:tab w:val="left" w:pos="1304"/>
        </w:tabs>
        <w:spacing w:after="240" w:line="360" w:lineRule="auto"/>
        <w:ind w:left="1304" w:hanging="630"/>
        <w:rPr>
          <w:rFonts w:cs="David"/>
        </w:rPr>
      </w:pPr>
      <w:r>
        <w:rPr>
          <w:rFonts w:cs="David"/>
          <w:rtl/>
        </w:rPr>
        <w:t xml:space="preserve">בפרק ב.8. לכתב התביעה מסביר המערער במפורש את הרקע לתביעה בעניין זה. ראו, לדוגמא, סעיף 45 לכתב התביעה – </w:t>
      </w:r>
    </w:p>
    <w:p w:rsidR="002B2ADF" w:rsidRPr="002B2ADF" w:rsidRDefault="002B2ADF" w:rsidP="002B2ADF">
      <w:pPr>
        <w:pStyle w:val="12"/>
        <w:spacing w:before="0" w:after="240" w:line="360" w:lineRule="auto"/>
        <w:ind w:left="1754" w:right="360" w:firstLine="0"/>
        <w:rPr>
          <w:rStyle w:val="emailstyle17"/>
          <w:i/>
          <w:iCs/>
          <w:sz w:val="22"/>
        </w:rPr>
      </w:pPr>
      <w:r w:rsidRPr="002B2ADF">
        <w:rPr>
          <w:rStyle w:val="emailstyle17"/>
          <w:i/>
          <w:iCs/>
          <w:sz w:val="22"/>
          <w:rtl/>
        </w:rPr>
        <w:t xml:space="preserve">כדי לא להלאות את בית הדין הנכבד, לא נפרט  בשלב זה, במסגרת כתב התביעה, את כל הפניות הרבות של התובע לנתבעות או מי מהן, את ההתחמקות השיטתית מפניותיו וטענותיו, כמו גם את עגמת הנפש הקשה והמתמשכת שנגרמה לו מתחושת "החיזור אחר הפתחים" ומהתגובות שקיבל, שעיקרן "תמתין" ו"בודקים" את הנושא, וזאת לאורך תקופה של כ-6 שנים(!). </w:t>
      </w:r>
    </w:p>
    <w:p w:rsidR="002B2ADF" w:rsidRPr="002B2ADF" w:rsidRDefault="002B2ADF" w:rsidP="002B2ADF">
      <w:pPr>
        <w:pStyle w:val="12"/>
        <w:spacing w:before="0" w:after="240" w:line="360" w:lineRule="auto"/>
        <w:ind w:left="1754" w:right="360" w:firstLine="0"/>
        <w:rPr>
          <w:rStyle w:val="emailstyle17"/>
          <w:i/>
          <w:iCs/>
          <w:sz w:val="22"/>
        </w:rPr>
      </w:pPr>
      <w:r w:rsidRPr="002B2ADF">
        <w:rPr>
          <w:rStyle w:val="emailstyle17"/>
          <w:i/>
          <w:iCs/>
          <w:sz w:val="22"/>
          <w:rtl/>
        </w:rPr>
        <w:t xml:space="preserve">התובע חש כי הפסיד את השנים הטובות ביותר של תקופת הגימלאות, אותן נאלץ להשקיע בניסיונותיו הממושכים לנסות לקבל את זכויותיו. די אם נציין כי מדובר בעשרות פניות (לכל הפחות) מהן התעלמו הנתבעות או השיבו באיחור ולאחר עיכובים ותזכורות רבות מספור. </w:t>
      </w:r>
    </w:p>
    <w:p w:rsidR="002B2ADF" w:rsidRDefault="002B2ADF" w:rsidP="00C02D74">
      <w:pPr>
        <w:pStyle w:val="a8"/>
        <w:numPr>
          <w:ilvl w:val="1"/>
          <w:numId w:val="1"/>
        </w:numPr>
        <w:tabs>
          <w:tab w:val="left" w:pos="1304"/>
        </w:tabs>
        <w:spacing w:after="240" w:line="360" w:lineRule="auto"/>
        <w:ind w:left="1304" w:hanging="630"/>
        <w:rPr>
          <w:rFonts w:cs="David"/>
        </w:rPr>
      </w:pPr>
      <w:r>
        <w:rPr>
          <w:rFonts w:cs="David"/>
          <w:rtl/>
        </w:rPr>
        <w:lastRenderedPageBreak/>
        <w:t xml:space="preserve"> פרק ה' לכתב התביעה (</w:t>
      </w:r>
      <w:r w:rsidRPr="00BC41A8">
        <w:rPr>
          <w:rFonts w:cs="David"/>
          <w:i/>
          <w:iCs/>
          <w:rtl/>
        </w:rPr>
        <w:t>סעיפים 79 –</w:t>
      </w:r>
      <w:r w:rsidR="00BC41A8" w:rsidRPr="00BC41A8">
        <w:rPr>
          <w:rFonts w:cs="David"/>
          <w:i/>
          <w:iCs/>
          <w:rtl/>
        </w:rPr>
        <w:t xml:space="preserve"> 82 בעמודים 24 – 26 לכתב התביעה</w:t>
      </w:r>
      <w:r w:rsidR="00BC41A8">
        <w:rPr>
          <w:rFonts w:cs="David"/>
          <w:rtl/>
        </w:rPr>
        <w:t>) עוסק כולו בתביעה לפיצויים בגין עגמת נפש ובגין התנהלות שלא כדין. פרק ה' האמור מפרט באופן מלא, ואולי אף מעבר לנדרש</w:t>
      </w:r>
      <w:r w:rsidR="00C02D74">
        <w:rPr>
          <w:rFonts w:cs="David"/>
          <w:rtl/>
        </w:rPr>
        <w:t xml:space="preserve"> במסגרת של כתב תביעה</w:t>
      </w:r>
      <w:r w:rsidR="00BC41A8">
        <w:rPr>
          <w:rFonts w:cs="David"/>
          <w:rtl/>
        </w:rPr>
        <w:t xml:space="preserve">, את הסיבות לתביעה כאמור – החל מפיטוריו בניגוד לדין, ההתנהלות הקלוקלת בעניינו ועגמת הנפש שגרמו לו המשיבות. </w:t>
      </w:r>
    </w:p>
    <w:p w:rsidR="00BC41A8" w:rsidRDefault="00BC41A8" w:rsidP="00BC41A8">
      <w:pPr>
        <w:pStyle w:val="a8"/>
        <w:tabs>
          <w:tab w:val="left" w:pos="1304"/>
        </w:tabs>
        <w:spacing w:after="240" w:line="360" w:lineRule="auto"/>
        <w:ind w:left="1304"/>
        <w:rPr>
          <w:rFonts w:cs="David"/>
        </w:rPr>
      </w:pPr>
      <w:r>
        <w:rPr>
          <w:rFonts w:cs="David"/>
          <w:rtl/>
        </w:rPr>
        <w:t>למען הסדר הטוב, יצורפו פרק ב.8. ופרק ה' לכתב התביעה בנפרד להודעת ערעור זאת, ויסומנו כ – מע / 1 ו – מע / 2.</w:t>
      </w:r>
    </w:p>
    <w:p w:rsidR="00BC41A8" w:rsidRDefault="00BC41A8" w:rsidP="00F756EA">
      <w:pPr>
        <w:pStyle w:val="a8"/>
        <w:numPr>
          <w:ilvl w:val="1"/>
          <w:numId w:val="1"/>
        </w:numPr>
        <w:tabs>
          <w:tab w:val="left" w:pos="1304"/>
        </w:tabs>
        <w:spacing w:after="240" w:line="360" w:lineRule="auto"/>
        <w:ind w:left="1304" w:hanging="630"/>
        <w:rPr>
          <w:rFonts w:cs="David"/>
        </w:rPr>
      </w:pPr>
      <w:r>
        <w:rPr>
          <w:rFonts w:cs="David"/>
          <w:rtl/>
        </w:rPr>
        <w:t>קביעת בית הדין קמא כי המערער לא פירט את הרקע העובדתי הרלבנטי שגויה, אם כן, מיסודה, ובכל הכבוד – מתעלמת מהדברים המפורשים שנכתבו בכתב התביעה.</w:t>
      </w:r>
    </w:p>
    <w:p w:rsidR="00FE5105" w:rsidRPr="00BC41A8" w:rsidRDefault="009848B0" w:rsidP="00F756EA">
      <w:pPr>
        <w:pStyle w:val="a8"/>
        <w:numPr>
          <w:ilvl w:val="0"/>
          <w:numId w:val="1"/>
        </w:numPr>
        <w:tabs>
          <w:tab w:val="left" w:pos="674"/>
        </w:tabs>
        <w:spacing w:after="240" w:line="360" w:lineRule="auto"/>
        <w:ind w:left="674" w:hanging="630"/>
        <w:rPr>
          <w:rFonts w:cs="David"/>
          <w:b/>
          <w:bCs/>
        </w:rPr>
      </w:pPr>
      <w:r>
        <w:rPr>
          <w:rFonts w:cs="David"/>
          <w:b/>
          <w:bCs/>
          <w:rtl/>
        </w:rPr>
        <w:t>"</w:t>
      </w:r>
      <w:r w:rsidR="00FE5105">
        <w:rPr>
          <w:rFonts w:cs="David"/>
          <w:b/>
          <w:bCs/>
          <w:rtl/>
        </w:rPr>
        <w:t>לא הציג את כלל האסמכתאות</w:t>
      </w:r>
      <w:r>
        <w:rPr>
          <w:rFonts w:cs="David"/>
          <w:b/>
          <w:bCs/>
          <w:rtl/>
        </w:rPr>
        <w:t xml:space="preserve"> הנוגעות לעניין"</w:t>
      </w:r>
      <w:r w:rsidR="00FE5105">
        <w:rPr>
          <w:rFonts w:cs="David"/>
          <w:b/>
          <w:bCs/>
          <w:rtl/>
        </w:rPr>
        <w:t xml:space="preserve"> – </w:t>
      </w:r>
    </w:p>
    <w:p w:rsidR="00FE5105" w:rsidRDefault="00FE5105" w:rsidP="00C02D74">
      <w:pPr>
        <w:pStyle w:val="a8"/>
        <w:numPr>
          <w:ilvl w:val="1"/>
          <w:numId w:val="1"/>
        </w:numPr>
        <w:tabs>
          <w:tab w:val="left" w:pos="1304"/>
        </w:tabs>
        <w:spacing w:after="240" w:line="360" w:lineRule="auto"/>
        <w:ind w:left="1304" w:hanging="630"/>
        <w:rPr>
          <w:rFonts w:cs="David"/>
        </w:rPr>
      </w:pPr>
      <w:r>
        <w:rPr>
          <w:rFonts w:cs="David"/>
          <w:rtl/>
        </w:rPr>
        <w:t>נזכיר כי בית הדין קמא מחק את התביעה בטרם הוגש כתב ההגנה, ובוודאי שלא היה מקום להצגת כלל האסמכתאות ב</w:t>
      </w:r>
      <w:r w:rsidR="00C02D74">
        <w:rPr>
          <w:rFonts w:cs="David"/>
          <w:rtl/>
        </w:rPr>
        <w:t xml:space="preserve">אותו </w:t>
      </w:r>
      <w:r>
        <w:rPr>
          <w:rFonts w:cs="David"/>
          <w:rtl/>
        </w:rPr>
        <w:t>שלב.</w:t>
      </w:r>
    </w:p>
    <w:p w:rsidR="00FE5105" w:rsidRDefault="00FE5105" w:rsidP="00F756EA">
      <w:pPr>
        <w:pStyle w:val="a8"/>
        <w:numPr>
          <w:ilvl w:val="1"/>
          <w:numId w:val="1"/>
        </w:numPr>
        <w:tabs>
          <w:tab w:val="left" w:pos="1304"/>
        </w:tabs>
        <w:spacing w:after="240" w:line="360" w:lineRule="auto"/>
        <w:ind w:left="1304" w:hanging="630"/>
        <w:rPr>
          <w:rFonts w:cs="David"/>
        </w:rPr>
      </w:pPr>
      <w:r w:rsidRPr="00BC41A8">
        <w:rPr>
          <w:rFonts w:cs="David"/>
          <w:rtl/>
        </w:rPr>
        <w:t xml:space="preserve">כפי שכתבנו לעיל, וכפי שנכתב במפורש בכתב התביעה, </w:t>
      </w:r>
      <w:r w:rsidRPr="00BC41A8">
        <w:rPr>
          <w:rFonts w:cs="David"/>
          <w:b/>
          <w:bCs/>
          <w:rtl/>
        </w:rPr>
        <w:t>בידי המערער מאות מסמכים והתכתבויות בנושא, וצירופם בשלב של הגשת התביעה מיותר, מנוגד לתקנות והיה יוצר סרבול ובלבול בלתי נסבלים</w:t>
      </w:r>
      <w:r w:rsidRPr="00BC41A8">
        <w:rPr>
          <w:rFonts w:cs="David"/>
          <w:rtl/>
        </w:rPr>
        <w:t>.</w:t>
      </w:r>
    </w:p>
    <w:p w:rsidR="00FE5105" w:rsidRDefault="00BC41A8" w:rsidP="00F756EA">
      <w:pPr>
        <w:pStyle w:val="a8"/>
        <w:numPr>
          <w:ilvl w:val="1"/>
          <w:numId w:val="1"/>
        </w:numPr>
        <w:tabs>
          <w:tab w:val="left" w:pos="1304"/>
        </w:tabs>
        <w:spacing w:after="240" w:line="360" w:lineRule="auto"/>
        <w:ind w:left="1304" w:hanging="630"/>
        <w:rPr>
          <w:rFonts w:cs="David"/>
        </w:rPr>
      </w:pPr>
      <w:r>
        <w:rPr>
          <w:rFonts w:cs="David"/>
          <w:rtl/>
        </w:rPr>
        <w:t xml:space="preserve">לפיכך, מחיקת תביעה בשל אי הצגת מלוא האסמכתאות אינה במקומה. המערער יטען כי לכל היותר היה מקום להורות למערער לצרף אסמכתאות אלה. </w:t>
      </w:r>
    </w:p>
    <w:p w:rsidR="009848B0" w:rsidRDefault="009848B0" w:rsidP="00F756EA">
      <w:pPr>
        <w:pStyle w:val="a8"/>
        <w:numPr>
          <w:ilvl w:val="0"/>
          <w:numId w:val="1"/>
        </w:numPr>
        <w:tabs>
          <w:tab w:val="left" w:pos="674"/>
        </w:tabs>
        <w:spacing w:after="240" w:line="360" w:lineRule="auto"/>
        <w:ind w:left="674" w:hanging="630"/>
        <w:rPr>
          <w:rFonts w:cs="David"/>
          <w:b/>
          <w:bCs/>
        </w:rPr>
      </w:pPr>
      <w:r>
        <w:rPr>
          <w:rFonts w:cs="David"/>
          <w:b/>
          <w:bCs/>
          <w:rtl/>
        </w:rPr>
        <w:t xml:space="preserve">"לא כימת את תביעתו ביחס לרכיב תביעה זה לבדו" – </w:t>
      </w:r>
    </w:p>
    <w:p w:rsidR="009848B0" w:rsidRDefault="009848B0" w:rsidP="00F756EA">
      <w:pPr>
        <w:pStyle w:val="a8"/>
        <w:numPr>
          <w:ilvl w:val="1"/>
          <w:numId w:val="1"/>
        </w:numPr>
        <w:tabs>
          <w:tab w:val="left" w:pos="1304"/>
        </w:tabs>
        <w:spacing w:after="240" w:line="360" w:lineRule="auto"/>
        <w:ind w:left="1304" w:hanging="630"/>
        <w:rPr>
          <w:rFonts w:cs="David"/>
        </w:rPr>
      </w:pPr>
      <w:r>
        <w:rPr>
          <w:rFonts w:cs="David"/>
          <w:rtl/>
        </w:rPr>
        <w:t xml:space="preserve">בכל הכבוד, גם בעניין זה התעלם בית הדין קמא ממה שנכתב בכתב התביעה. </w:t>
      </w:r>
    </w:p>
    <w:p w:rsidR="009848B0" w:rsidRDefault="009848B0" w:rsidP="00F756EA">
      <w:pPr>
        <w:pStyle w:val="a8"/>
        <w:numPr>
          <w:ilvl w:val="1"/>
          <w:numId w:val="1"/>
        </w:numPr>
        <w:tabs>
          <w:tab w:val="left" w:pos="1304"/>
        </w:tabs>
        <w:spacing w:after="240" w:line="360" w:lineRule="auto"/>
        <w:ind w:left="1304" w:hanging="630"/>
        <w:rPr>
          <w:rFonts w:cs="David"/>
        </w:rPr>
      </w:pPr>
      <w:r>
        <w:rPr>
          <w:rFonts w:cs="David"/>
          <w:rtl/>
        </w:rPr>
        <w:t xml:space="preserve">ראו סעיף 82 לכתב התביעה המכמת במפורש ובנפרד רכיב זה בסך 300,000 ₪, בסוף פרק ה' העוסק בפיצוי הכספי האמור. </w:t>
      </w:r>
    </w:p>
    <w:p w:rsidR="009848B0" w:rsidRDefault="009848B0" w:rsidP="009848B0">
      <w:pPr>
        <w:pStyle w:val="a8"/>
        <w:tabs>
          <w:tab w:val="left" w:pos="1304"/>
        </w:tabs>
        <w:spacing w:after="240" w:line="360" w:lineRule="auto"/>
        <w:ind w:left="1304"/>
        <w:rPr>
          <w:rFonts w:cs="David"/>
        </w:rPr>
      </w:pPr>
      <w:r>
        <w:rPr>
          <w:rFonts w:cs="David"/>
          <w:rtl/>
        </w:rPr>
        <w:t>ראו גם סעיף 83 לכתב התביעה, המסכם את הסעדים הכספיים, ולסעיף 83.3 לכתב התביעה שם מכומת הפיצוי המבוקש בנפרד.</w:t>
      </w:r>
    </w:p>
    <w:p w:rsidR="009848B0" w:rsidRDefault="009848B0" w:rsidP="00F756EA">
      <w:pPr>
        <w:pStyle w:val="a8"/>
        <w:numPr>
          <w:ilvl w:val="0"/>
          <w:numId w:val="1"/>
        </w:numPr>
        <w:tabs>
          <w:tab w:val="left" w:pos="674"/>
        </w:tabs>
        <w:spacing w:after="240" w:line="360" w:lineRule="auto"/>
        <w:ind w:left="674" w:hanging="630"/>
        <w:rPr>
          <w:rFonts w:cs="David"/>
          <w:b/>
          <w:bCs/>
        </w:rPr>
      </w:pPr>
      <w:r>
        <w:rPr>
          <w:rFonts w:cs="David"/>
          <w:b/>
          <w:bCs/>
          <w:rtl/>
        </w:rPr>
        <w:t>לפיכך, כל הנימוקים של בית הדין קמא למחיקת תביעתו של המערער ברכיב זה שגוים, מתעלמים מהעובדות, ובכל הכבוד – אינם יכולים לעמוד.</w:t>
      </w:r>
    </w:p>
    <w:p w:rsidR="009848B0" w:rsidRDefault="009848B0" w:rsidP="009848B0">
      <w:pPr>
        <w:pStyle w:val="a8"/>
        <w:tabs>
          <w:tab w:val="left" w:pos="674"/>
        </w:tabs>
        <w:spacing w:after="240" w:line="360" w:lineRule="auto"/>
        <w:ind w:left="44"/>
        <w:rPr>
          <w:rFonts w:cs="David"/>
          <w:b/>
          <w:bCs/>
        </w:rPr>
      </w:pPr>
      <w:r>
        <w:rPr>
          <w:rFonts w:cs="David"/>
          <w:b/>
          <w:bCs/>
          <w:rtl/>
        </w:rPr>
        <w:t xml:space="preserve">מבלי לגרוע מכך, יוסיף המערער ויבהיר כדלקמן – </w:t>
      </w:r>
    </w:p>
    <w:p w:rsidR="009848B0" w:rsidRPr="002B6A12" w:rsidRDefault="002B6A12" w:rsidP="00C02D74">
      <w:pPr>
        <w:pStyle w:val="a8"/>
        <w:numPr>
          <w:ilvl w:val="0"/>
          <w:numId w:val="1"/>
        </w:numPr>
        <w:tabs>
          <w:tab w:val="left" w:pos="674"/>
        </w:tabs>
        <w:spacing w:after="240" w:line="360" w:lineRule="auto"/>
        <w:ind w:left="674" w:hanging="630"/>
        <w:rPr>
          <w:rFonts w:cs="David"/>
        </w:rPr>
      </w:pPr>
      <w:r w:rsidRPr="002B6A12">
        <w:rPr>
          <w:rFonts w:cs="David"/>
          <w:rtl/>
        </w:rPr>
        <w:t>מחיקת רכיב תביעה זה נעשתה ביום 31.5.2020, כשבעה חודשים לאחר הגשת התביעה. אם יגיש המערער תביעה חדשה עלול להיגרם לו נזק של ממש, בשל טענות התיישנות שעלולות המשיבות להעלות בעניין חלוף המועד ביחס לחלק מרכיבי התביעה</w:t>
      </w:r>
      <w:r w:rsidR="00C02D74">
        <w:rPr>
          <w:rFonts w:cs="David"/>
          <w:rtl/>
        </w:rPr>
        <w:t xml:space="preserve"> (מבלי שישתמע כי המערער מסכים לנכונות טענות כאמור, ככל שיועלו)</w:t>
      </w:r>
      <w:r w:rsidRPr="002B6A12">
        <w:rPr>
          <w:rFonts w:cs="David"/>
          <w:rtl/>
        </w:rPr>
        <w:t>.</w:t>
      </w:r>
    </w:p>
    <w:p w:rsidR="002B6A12" w:rsidRPr="00957243" w:rsidRDefault="00957243" w:rsidP="00021499">
      <w:pPr>
        <w:pStyle w:val="a8"/>
        <w:numPr>
          <w:ilvl w:val="0"/>
          <w:numId w:val="1"/>
        </w:numPr>
        <w:tabs>
          <w:tab w:val="left" w:pos="674"/>
        </w:tabs>
        <w:spacing w:after="240" w:line="360" w:lineRule="auto"/>
        <w:ind w:left="674" w:hanging="630"/>
        <w:rPr>
          <w:rFonts w:cs="David"/>
        </w:rPr>
      </w:pPr>
      <w:r w:rsidRPr="00957243">
        <w:rPr>
          <w:rFonts w:cs="David"/>
          <w:rtl/>
        </w:rPr>
        <w:lastRenderedPageBreak/>
        <w:t xml:space="preserve">מחיקת התביעה, בניגוד לכלל כי יש לנהוג ביד קמוצה בכל הקשור למחיקת תביעות, אינה יכולה לעמוד, ובית </w:t>
      </w:r>
      <w:r w:rsidR="003D7ED7">
        <w:rPr>
          <w:rFonts w:cs="David"/>
          <w:rtl/>
        </w:rPr>
        <w:t>הדין</w:t>
      </w:r>
      <w:r w:rsidR="003D7ED7" w:rsidRPr="00957243">
        <w:rPr>
          <w:rFonts w:cs="David"/>
          <w:rtl/>
        </w:rPr>
        <w:t xml:space="preserve"> </w:t>
      </w:r>
      <w:r w:rsidRPr="00957243">
        <w:rPr>
          <w:rFonts w:cs="David"/>
          <w:rtl/>
        </w:rPr>
        <w:t>הנכבד מבקש לבטל גם אותה.</w:t>
      </w:r>
    </w:p>
    <w:p w:rsidR="00374B8F" w:rsidRDefault="00374B8F" w:rsidP="00355243">
      <w:pPr>
        <w:pStyle w:val="a8"/>
        <w:tabs>
          <w:tab w:val="left" w:pos="674"/>
        </w:tabs>
        <w:spacing w:after="0" w:line="360" w:lineRule="auto"/>
        <w:ind w:left="44"/>
        <w:rPr>
          <w:rFonts w:cs="David"/>
          <w:rtl/>
        </w:rPr>
      </w:pPr>
    </w:p>
    <w:p w:rsidR="00C324AB" w:rsidRPr="00C324AB" w:rsidRDefault="00C324AB" w:rsidP="00F756EA">
      <w:pPr>
        <w:pStyle w:val="7"/>
        <w:numPr>
          <w:ilvl w:val="0"/>
          <w:numId w:val="3"/>
        </w:numPr>
        <w:spacing w:after="240" w:line="360" w:lineRule="auto"/>
        <w:ind w:left="674" w:hanging="630"/>
        <w:rPr>
          <w:rFonts w:cs="David"/>
          <w:sz w:val="26"/>
          <w:szCs w:val="26"/>
        </w:rPr>
      </w:pPr>
      <w:r w:rsidRPr="00C324AB">
        <w:rPr>
          <w:rFonts w:cs="David"/>
          <w:sz w:val="26"/>
          <w:szCs w:val="26"/>
          <w:rtl/>
        </w:rPr>
        <w:t>הערה בעניין (חוסר) תום לב וחובת ההגינות הציבורית</w:t>
      </w:r>
    </w:p>
    <w:p w:rsidR="00C324AB" w:rsidRDefault="00C324AB" w:rsidP="002D3FDF">
      <w:pPr>
        <w:pStyle w:val="a8"/>
        <w:tabs>
          <w:tab w:val="left" w:pos="674"/>
        </w:tabs>
        <w:spacing w:after="240" w:line="360" w:lineRule="auto"/>
        <w:ind w:left="44"/>
        <w:rPr>
          <w:rFonts w:cs="David"/>
        </w:rPr>
      </w:pPr>
      <w:r>
        <w:rPr>
          <w:rFonts w:cs="David"/>
          <w:rtl/>
        </w:rPr>
        <w:t xml:space="preserve">אמת היא כי חלפה התקופה בה נמנעה המדינה מהעלאת טענות שיהוי והתיישנות. אולם, </w:t>
      </w:r>
      <w:r>
        <w:rPr>
          <w:rFonts w:cs="David"/>
          <w:b/>
          <w:bCs/>
          <w:rtl/>
        </w:rPr>
        <w:t>טרם חלפה החובה החלה על המדינה לנהוג בתום לב ובהגינות מנהלית</w:t>
      </w:r>
      <w:r>
        <w:rPr>
          <w:rFonts w:cs="David"/>
          <w:rtl/>
        </w:rPr>
        <w:t xml:space="preserve">, שהיא חובה מחמירה אף יותר מחובת תום הלב. </w:t>
      </w:r>
      <w:r w:rsidR="002D3FDF">
        <w:rPr>
          <w:rFonts w:cs="David"/>
          <w:rtl/>
        </w:rPr>
        <w:t>בית הדין קמא התעלם לחלוטין מסוגיה זאת, שהעלה המערער בפניו במסגרת תגובתו לבקשה למחיקה על הסף.</w:t>
      </w:r>
    </w:p>
    <w:p w:rsidR="002D3FDF" w:rsidRPr="002D3FDF" w:rsidRDefault="002D3FDF" w:rsidP="00F756EA">
      <w:pPr>
        <w:pStyle w:val="a8"/>
        <w:numPr>
          <w:ilvl w:val="0"/>
          <w:numId w:val="1"/>
        </w:numPr>
        <w:tabs>
          <w:tab w:val="left" w:pos="674"/>
        </w:tabs>
        <w:spacing w:after="240" w:line="360" w:lineRule="auto"/>
        <w:ind w:left="674" w:hanging="630"/>
        <w:rPr>
          <w:rFonts w:cs="David"/>
        </w:rPr>
      </w:pPr>
      <w:r>
        <w:rPr>
          <w:rFonts w:cs="David"/>
          <w:rtl/>
        </w:rPr>
        <w:t>פסק הדין של בית הדין הנכבד שניתן לאחרונה בעניין הקייסים ולרבנים בני הקהילה האתיופית (</w:t>
      </w:r>
      <w:r w:rsidRPr="002D3FDF">
        <w:rPr>
          <w:rFonts w:cs="David"/>
          <w:rtl/>
        </w:rPr>
        <w:t xml:space="preserve">עע 27891-09/16  </w:t>
      </w:r>
      <w:r w:rsidRPr="002D3FDF">
        <w:rPr>
          <w:rFonts w:cs="David"/>
          <w:b/>
          <w:bCs/>
          <w:rtl/>
        </w:rPr>
        <w:t>מדינת ישראל נ' מועצה דתית באר שבע, מועצה דתית ערד, מועצה דתית גדרה ואח'</w:t>
      </w:r>
      <w:r>
        <w:rPr>
          <w:rFonts w:cs="David"/>
          <w:rtl/>
        </w:rPr>
        <w:t xml:space="preserve">), חוזר על החובות המוטלות על המדינה מתחום המשפט המנהלי - </w:t>
      </w:r>
    </w:p>
    <w:p w:rsidR="002D3FDF" w:rsidRPr="006B5397" w:rsidRDefault="002D3FDF" w:rsidP="002D3FDF">
      <w:pPr>
        <w:pStyle w:val="a8"/>
        <w:tabs>
          <w:tab w:val="left" w:pos="944"/>
        </w:tabs>
        <w:spacing w:after="240" w:line="360" w:lineRule="auto"/>
        <w:ind w:left="944" w:right="540"/>
      </w:pPr>
      <w:r w:rsidRPr="006B5397">
        <w:rPr>
          <w:rtl/>
        </w:rPr>
        <w:t>"... אין להתעלם מהחובות מתחום המשפט המנהלי המוטלות על המדינה הן בכובעה כרגולטור והן בכובעה כמעסיק [</w:t>
      </w:r>
      <w:hyperlink r:id="rId16" w:tgtFrame="Psak_13072" w:history="1">
        <w:r w:rsidRPr="006B5397">
          <w:rPr>
            <w:rStyle w:val="Hyperlink"/>
            <w:color w:val="auto"/>
            <w:rtl/>
          </w:rPr>
          <w:t>ע"ע (ארצי) 360/99</w:t>
        </w:r>
      </w:hyperlink>
      <w:r w:rsidRPr="006B5397">
        <w:rPr>
          <w:rtl/>
        </w:rPr>
        <w:t xml:space="preserve"> </w:t>
      </w:r>
      <w:r w:rsidRPr="006B5397">
        <w:rPr>
          <w:b/>
          <w:bCs/>
          <w:rtl/>
        </w:rPr>
        <w:t>מדינת ישראל – אהרן כהן</w:t>
      </w:r>
      <w:r w:rsidRPr="006B5397">
        <w:rPr>
          <w:rtl/>
        </w:rPr>
        <w:t xml:space="preserve">, פד"ע לח, 1 (2002); </w:t>
      </w:r>
      <w:hyperlink r:id="rId17" w:tgtFrame="Psak_951494" w:history="1">
        <w:r w:rsidRPr="006B5397">
          <w:rPr>
            <w:rStyle w:val="Hyperlink"/>
            <w:color w:val="auto"/>
            <w:rtl/>
          </w:rPr>
          <w:t>ע"ע (ארצי ) 14039-07-11</w:t>
        </w:r>
      </w:hyperlink>
      <w:r w:rsidRPr="006B5397">
        <w:rPr>
          <w:rtl/>
        </w:rPr>
        <w:t xml:space="preserve"> </w:t>
      </w:r>
      <w:r w:rsidRPr="006B5397">
        <w:rPr>
          <w:b/>
          <w:bCs/>
          <w:rtl/>
        </w:rPr>
        <w:t>חנה סולטני - מדינת ישראל, משרד החינוך</w:t>
      </w:r>
      <w:r w:rsidRPr="006B5397">
        <w:rPr>
          <w:rtl/>
        </w:rPr>
        <w:t xml:space="preserve"> (19.12.2013)], ובכלל זאת חובתה לפעול בסבירות, בתום לב ובהגינות".</w:t>
      </w:r>
    </w:p>
    <w:p w:rsidR="002D3FDF" w:rsidRDefault="002D3FDF" w:rsidP="002D3FDF">
      <w:pPr>
        <w:pStyle w:val="a8"/>
        <w:tabs>
          <w:tab w:val="left" w:pos="674"/>
        </w:tabs>
        <w:spacing w:after="240" w:line="360" w:lineRule="auto"/>
        <w:ind w:left="674"/>
        <w:rPr>
          <w:rFonts w:cs="David"/>
        </w:rPr>
      </w:pPr>
      <w:r>
        <w:rPr>
          <w:rFonts w:cs="David"/>
          <w:rtl/>
        </w:rPr>
        <w:t>כפי שנפרט להלן, ובכל הכבוד, ה</w:t>
      </w:r>
      <w:r w:rsidR="00E8764E">
        <w:rPr>
          <w:rFonts w:cs="David"/>
          <w:rtl/>
        </w:rPr>
        <w:t>משיבות</w:t>
      </w:r>
      <w:r>
        <w:rPr>
          <w:rFonts w:cs="David"/>
          <w:rtl/>
        </w:rPr>
        <w:t xml:space="preserve"> לא נהגו בסבירו</w:t>
      </w:r>
      <w:r w:rsidR="003D7ED7">
        <w:rPr>
          <w:rFonts w:cs="David"/>
          <w:rtl/>
        </w:rPr>
        <w:t>ת</w:t>
      </w:r>
      <w:r>
        <w:rPr>
          <w:rFonts w:cs="David"/>
          <w:rtl/>
        </w:rPr>
        <w:t>, תום לב והגינות כאשר בחרו להגיש בקשה לסילוק התביעה על הסף מחמת התיישנות.</w:t>
      </w:r>
    </w:p>
    <w:p w:rsidR="00C324AB" w:rsidRDefault="002D3FDF" w:rsidP="00F756EA">
      <w:pPr>
        <w:pStyle w:val="a8"/>
        <w:numPr>
          <w:ilvl w:val="0"/>
          <w:numId w:val="1"/>
        </w:numPr>
        <w:tabs>
          <w:tab w:val="left" w:pos="674"/>
        </w:tabs>
        <w:spacing w:after="240" w:line="360" w:lineRule="auto"/>
        <w:ind w:left="674" w:hanging="630"/>
        <w:rPr>
          <w:rFonts w:cs="David"/>
        </w:rPr>
      </w:pPr>
      <w:r>
        <w:rPr>
          <w:rFonts w:cs="David"/>
          <w:rtl/>
        </w:rPr>
        <w:t xml:space="preserve">ראשית, </w:t>
      </w:r>
      <w:r w:rsidR="00C324AB">
        <w:rPr>
          <w:rFonts w:cs="David"/>
          <w:rtl/>
        </w:rPr>
        <w:t xml:space="preserve">כתב התביעה מגלה מספר רב של מקרים בהם דווקא המדינה לא עמדה במועדים הקבועים בחוק. על קצה המזלג ממש – </w:t>
      </w:r>
    </w:p>
    <w:p w:rsidR="00C324AB" w:rsidRPr="00C324AB" w:rsidRDefault="00C324AB" w:rsidP="00F756EA">
      <w:pPr>
        <w:pStyle w:val="a8"/>
        <w:numPr>
          <w:ilvl w:val="1"/>
          <w:numId w:val="1"/>
        </w:numPr>
        <w:tabs>
          <w:tab w:val="left" w:pos="1394"/>
        </w:tabs>
        <w:spacing w:after="240" w:line="360" w:lineRule="auto"/>
        <w:ind w:left="1394" w:hanging="720"/>
        <w:rPr>
          <w:rFonts w:cs="David"/>
        </w:rPr>
      </w:pPr>
      <w:r w:rsidRPr="00C324AB">
        <w:rPr>
          <w:rFonts w:cs="David"/>
          <w:rtl/>
        </w:rPr>
        <w:t>ההודעה על סיום העסקתו של ה</w:t>
      </w:r>
      <w:r w:rsidR="002D3FDF">
        <w:rPr>
          <w:rFonts w:cs="David"/>
          <w:rtl/>
        </w:rPr>
        <w:t>מערער</w:t>
      </w:r>
      <w:r w:rsidRPr="00C324AB">
        <w:rPr>
          <w:rFonts w:cs="David"/>
          <w:rtl/>
        </w:rPr>
        <w:t xml:space="preserve"> ניתנה פחות מחודש מהמועד שהיה קבוע בהודעה (סעיף 7 לכתב התביעה). כלומר, </w:t>
      </w:r>
      <w:r w:rsidRPr="00703A9C">
        <w:rPr>
          <w:rFonts w:cs="David"/>
          <w:b/>
          <w:bCs/>
          <w:rtl/>
        </w:rPr>
        <w:t>פחות מפרק הזמן המינימלי להודעה מוקדמת על פי חוק</w:t>
      </w:r>
      <w:r w:rsidRPr="00C324AB">
        <w:rPr>
          <w:rFonts w:cs="David"/>
          <w:rtl/>
        </w:rPr>
        <w:t>;</w:t>
      </w:r>
    </w:p>
    <w:p w:rsidR="00C324AB" w:rsidRPr="00C324AB" w:rsidRDefault="00C324AB" w:rsidP="00F756EA">
      <w:pPr>
        <w:pStyle w:val="a8"/>
        <w:numPr>
          <w:ilvl w:val="1"/>
          <w:numId w:val="1"/>
        </w:numPr>
        <w:tabs>
          <w:tab w:val="left" w:pos="1394"/>
        </w:tabs>
        <w:spacing w:after="240" w:line="360" w:lineRule="auto"/>
        <w:ind w:left="1394" w:hanging="720"/>
        <w:rPr>
          <w:rFonts w:cs="David"/>
        </w:rPr>
      </w:pPr>
      <w:r w:rsidRPr="00C324AB">
        <w:rPr>
          <w:rFonts w:cs="David"/>
          <w:rtl/>
        </w:rPr>
        <w:t xml:space="preserve">בהתאם להוראות חוק הגמלאות, נציב שרות המדינה חייב לידע את העובד בדואר רשום על החלטתו להפריש אותו לקיצבאות לפחות 90 יום לפני יום הפרישה. </w:t>
      </w:r>
      <w:r w:rsidRPr="00703A9C">
        <w:rPr>
          <w:rFonts w:cs="David"/>
          <w:b/>
          <w:bCs/>
          <w:rtl/>
        </w:rPr>
        <w:t>כידוע, ההודעה ניתנה רק בחודש דצמבר 2012, רטרואקטיבית לחודש יולי</w:t>
      </w:r>
      <w:r w:rsidRPr="00C324AB">
        <w:rPr>
          <w:rFonts w:cs="David"/>
          <w:rtl/>
        </w:rPr>
        <w:t xml:space="preserve">; </w:t>
      </w:r>
    </w:p>
    <w:p w:rsidR="00C324AB" w:rsidRPr="00C324AB" w:rsidRDefault="00C324AB" w:rsidP="00F756EA">
      <w:pPr>
        <w:pStyle w:val="a8"/>
        <w:numPr>
          <w:ilvl w:val="1"/>
          <w:numId w:val="1"/>
        </w:numPr>
        <w:tabs>
          <w:tab w:val="left" w:pos="1394"/>
        </w:tabs>
        <w:spacing w:after="240" w:line="360" w:lineRule="auto"/>
        <w:ind w:left="1394" w:hanging="720"/>
        <w:rPr>
          <w:rFonts w:cs="David"/>
        </w:rPr>
      </w:pPr>
      <w:r w:rsidRPr="00C324AB">
        <w:rPr>
          <w:rFonts w:cs="David"/>
          <w:rtl/>
        </w:rPr>
        <w:t xml:space="preserve">בהתאם להוראות התקשי"ר, סמנכ"ל המשרד (ולא פקיד זוטר כלשהו) חייב לתת הודעה על צאתו הצפוי של העובד לגמלאות שנה שלימה לפני מועד הפרישה. </w:t>
      </w:r>
      <w:r w:rsidRPr="00703A9C">
        <w:rPr>
          <w:rFonts w:cs="David"/>
          <w:b/>
          <w:bCs/>
          <w:rtl/>
        </w:rPr>
        <w:t>הודעה כאמור לא נמסרה לתובע במועד הקבוע בחוק ולא במועד הנדרש בתקשי"ר, אלא רק בחודש דצמבר 2012</w:t>
      </w:r>
      <w:r w:rsidRPr="00C324AB">
        <w:rPr>
          <w:rFonts w:cs="David"/>
          <w:rtl/>
        </w:rPr>
        <w:t>.</w:t>
      </w:r>
    </w:p>
    <w:p w:rsidR="00C324AB" w:rsidRPr="00C324AB" w:rsidRDefault="00C324AB" w:rsidP="00F756EA">
      <w:pPr>
        <w:pStyle w:val="a8"/>
        <w:numPr>
          <w:ilvl w:val="1"/>
          <w:numId w:val="1"/>
        </w:numPr>
        <w:tabs>
          <w:tab w:val="left" w:pos="1394"/>
        </w:tabs>
        <w:spacing w:after="240" w:line="360" w:lineRule="auto"/>
        <w:ind w:left="1394" w:hanging="720"/>
        <w:rPr>
          <w:rFonts w:cs="David"/>
        </w:rPr>
      </w:pPr>
      <w:r w:rsidRPr="00C324AB">
        <w:rPr>
          <w:rFonts w:cs="David"/>
          <w:rtl/>
        </w:rPr>
        <w:t xml:space="preserve">בהתאם להוראות התקשי"ר, היה על האחראי על </w:t>
      </w:r>
      <w:r w:rsidR="002D3FDF">
        <w:rPr>
          <w:rFonts w:cs="David"/>
          <w:rtl/>
        </w:rPr>
        <w:t>מערער</w:t>
      </w:r>
      <w:r w:rsidRPr="00C324AB">
        <w:rPr>
          <w:rFonts w:cs="David"/>
          <w:rtl/>
        </w:rPr>
        <w:t xml:space="preserve"> לשלוח עותק של </w:t>
      </w:r>
      <w:r w:rsidRPr="00703A9C">
        <w:rPr>
          <w:rFonts w:cs="David"/>
          <w:b/>
          <w:bCs/>
          <w:rtl/>
        </w:rPr>
        <w:t>טופס הודעה על הפסקת העבודה גם לממונה על הגמלאות במשרד האוצר לפחות 90 ימים לפני מועד הפרישה. הדבר לא נעשה, וכפי שכבר הבהרנו – מינהלת הגמלאות לא היתה ערוכה לכך, ורק בחודש דצמבר 2012 נערכה לתשלום והוא בוצע בסוף החודש</w:t>
      </w:r>
      <w:r w:rsidRPr="00C324AB">
        <w:rPr>
          <w:rFonts w:cs="David"/>
          <w:rtl/>
        </w:rPr>
        <w:t>.</w:t>
      </w:r>
    </w:p>
    <w:p w:rsidR="00703A9C" w:rsidRDefault="00C324AB" w:rsidP="00703A9C">
      <w:pPr>
        <w:pStyle w:val="a8"/>
        <w:tabs>
          <w:tab w:val="left" w:pos="674"/>
        </w:tabs>
        <w:spacing w:after="240" w:line="360" w:lineRule="auto"/>
        <w:ind w:left="674"/>
        <w:rPr>
          <w:rFonts w:cs="David"/>
          <w:rtl/>
        </w:rPr>
      </w:pPr>
      <w:r w:rsidRPr="00AD5378">
        <w:rPr>
          <w:rFonts w:cs="David"/>
          <w:rtl/>
        </w:rPr>
        <w:lastRenderedPageBreak/>
        <w:t xml:space="preserve">יתרה מכך, לאורך כל התקופה עד להגשת כתב התביעה (ומתברר שגם לאחריו, נוכח בקשות הדחייה להגשת כתב ההגנה), </w:t>
      </w:r>
      <w:r w:rsidRPr="00AD5378">
        <w:rPr>
          <w:rFonts w:cs="David"/>
          <w:b/>
          <w:bCs/>
          <w:rtl/>
        </w:rPr>
        <w:t>השתהתה המדינה בטיפול בפניותיו של ה</w:t>
      </w:r>
      <w:r w:rsidR="002D3FDF" w:rsidRPr="00AD5378">
        <w:rPr>
          <w:rFonts w:cs="David"/>
          <w:b/>
          <w:bCs/>
          <w:rtl/>
        </w:rPr>
        <w:t>מערער</w:t>
      </w:r>
      <w:r w:rsidRPr="00AD5378">
        <w:rPr>
          <w:rFonts w:cs="David"/>
          <w:rtl/>
        </w:rPr>
        <w:t xml:space="preserve">. </w:t>
      </w:r>
      <w:r w:rsidRPr="00C324AB">
        <w:rPr>
          <w:rFonts w:cs="David"/>
          <w:rtl/>
        </w:rPr>
        <w:t xml:space="preserve">יצוין כי תחילה </w:t>
      </w:r>
      <w:r w:rsidRPr="00703A9C">
        <w:rPr>
          <w:rFonts w:cs="David"/>
          <w:b/>
          <w:bCs/>
          <w:rtl/>
        </w:rPr>
        <w:t>נאמר ל</w:t>
      </w:r>
      <w:r w:rsidR="002D3FDF" w:rsidRPr="00703A9C">
        <w:rPr>
          <w:rFonts w:cs="David"/>
          <w:b/>
          <w:bCs/>
          <w:rtl/>
        </w:rPr>
        <w:t>מערער</w:t>
      </w:r>
      <w:r w:rsidRPr="00703A9C">
        <w:rPr>
          <w:rFonts w:cs="David"/>
          <w:b/>
          <w:bCs/>
          <w:rtl/>
        </w:rPr>
        <w:t xml:space="preserve"> </w:t>
      </w:r>
      <w:r w:rsidR="00703A9C" w:rsidRPr="00703A9C">
        <w:rPr>
          <w:rFonts w:cs="David"/>
          <w:b/>
          <w:bCs/>
          <w:rtl/>
        </w:rPr>
        <w:t>במ</w:t>
      </w:r>
      <w:r w:rsidR="00703A9C">
        <w:rPr>
          <w:rFonts w:cs="David"/>
          <w:b/>
          <w:bCs/>
          <w:rtl/>
        </w:rPr>
        <w:t>פ</w:t>
      </w:r>
      <w:r w:rsidR="00703A9C" w:rsidRPr="00703A9C">
        <w:rPr>
          <w:rFonts w:cs="David"/>
          <w:b/>
          <w:bCs/>
          <w:rtl/>
        </w:rPr>
        <w:t>ורש</w:t>
      </w:r>
      <w:r w:rsidRPr="00703A9C">
        <w:rPr>
          <w:rFonts w:cs="David"/>
          <w:b/>
          <w:bCs/>
          <w:rtl/>
        </w:rPr>
        <w:t xml:space="preserve"> שימצה את הנושא מול הגורמים הרלבנטיים, וכך הוא עשה בפועל</w:t>
      </w:r>
      <w:r w:rsidRPr="00C324AB">
        <w:rPr>
          <w:rFonts w:cs="David"/>
          <w:rtl/>
        </w:rPr>
        <w:t>.</w:t>
      </w:r>
      <w:r>
        <w:rPr>
          <w:rFonts w:cs="David"/>
          <w:rtl/>
        </w:rPr>
        <w:t xml:space="preserve"> </w:t>
      </w:r>
    </w:p>
    <w:p w:rsidR="00C324AB" w:rsidRDefault="00703A9C" w:rsidP="00703A9C">
      <w:pPr>
        <w:pStyle w:val="a8"/>
        <w:tabs>
          <w:tab w:val="left" w:pos="674"/>
        </w:tabs>
        <w:spacing w:after="240" w:line="360" w:lineRule="auto"/>
        <w:ind w:left="674"/>
        <w:rPr>
          <w:rFonts w:cs="David"/>
        </w:rPr>
      </w:pPr>
      <w:r>
        <w:rPr>
          <w:rFonts w:cs="David"/>
          <w:rtl/>
        </w:rPr>
        <w:t>כמו כן נבקש להפנות ל</w:t>
      </w:r>
      <w:r w:rsidR="00C324AB">
        <w:rPr>
          <w:rFonts w:cs="David"/>
          <w:rtl/>
        </w:rPr>
        <w:t>התנצלותו של נציב התלונות על העיכוב במתן התשובה, שדומה כי היא ממצה את ההתנהלות בעניינו של ה</w:t>
      </w:r>
      <w:r w:rsidR="002D3FDF">
        <w:rPr>
          <w:rFonts w:cs="David"/>
          <w:rtl/>
        </w:rPr>
        <w:t>מערער</w:t>
      </w:r>
      <w:r w:rsidR="00C324AB">
        <w:rPr>
          <w:rFonts w:cs="David"/>
          <w:rtl/>
        </w:rPr>
        <w:t xml:space="preserve">: </w:t>
      </w:r>
      <w:r w:rsidR="00C324AB" w:rsidRPr="00C324AB">
        <w:rPr>
          <w:rFonts w:cs="David"/>
          <w:rtl/>
        </w:rPr>
        <w:t xml:space="preserve">עיכוב, השתהות וסחבת. </w:t>
      </w:r>
    </w:p>
    <w:p w:rsidR="00C324AB" w:rsidRDefault="00C324AB" w:rsidP="00F756EA">
      <w:pPr>
        <w:pStyle w:val="a8"/>
        <w:numPr>
          <w:ilvl w:val="0"/>
          <w:numId w:val="1"/>
        </w:numPr>
        <w:spacing w:after="240" w:line="360" w:lineRule="auto"/>
        <w:ind w:left="674" w:hanging="630"/>
        <w:rPr>
          <w:rFonts w:cs="David"/>
        </w:rPr>
      </w:pPr>
      <w:r>
        <w:rPr>
          <w:rFonts w:cs="David"/>
          <w:rtl/>
        </w:rPr>
        <w:t>על רקע זה, כאשר המדינה לא עמדה במועדים הקבועים בדין, לא פעם אחת ולא פעמיים, תוך שהיא גורמת ל</w:t>
      </w:r>
      <w:r w:rsidR="002D3FDF">
        <w:rPr>
          <w:rFonts w:cs="David"/>
          <w:rtl/>
        </w:rPr>
        <w:t>מערער</w:t>
      </w:r>
      <w:r>
        <w:rPr>
          <w:rFonts w:cs="David"/>
          <w:rtl/>
        </w:rPr>
        <w:t xml:space="preserve"> נזקים ממשיים, ולאחר שהשתהתה </w:t>
      </w:r>
      <w:r w:rsidR="00F45B16">
        <w:rPr>
          <w:rFonts w:cs="David"/>
          <w:rtl/>
        </w:rPr>
        <w:t xml:space="preserve">זמן רב </w:t>
      </w:r>
      <w:r>
        <w:rPr>
          <w:rFonts w:cs="David"/>
          <w:rtl/>
        </w:rPr>
        <w:t xml:space="preserve">בטיפול בפניותיו, ואף התנצלה על כך, </w:t>
      </w:r>
      <w:r w:rsidRPr="00C324AB">
        <w:rPr>
          <w:rFonts w:cs="David"/>
          <w:rtl/>
        </w:rPr>
        <w:t>אין זה ראוי כי אותה מדינה ממש</w:t>
      </w:r>
      <w:r w:rsidR="00F45B16">
        <w:rPr>
          <w:rFonts w:cs="David"/>
          <w:rtl/>
        </w:rPr>
        <w:t xml:space="preserve"> </w:t>
      </w:r>
      <w:r w:rsidRPr="00C324AB">
        <w:rPr>
          <w:rFonts w:cs="David"/>
          <w:rtl/>
        </w:rPr>
        <w:t xml:space="preserve">תעלה טענות של שיהוי והתיישנות. </w:t>
      </w:r>
    </w:p>
    <w:p w:rsidR="00C324AB" w:rsidRPr="00F45B16" w:rsidRDefault="00F45B16" w:rsidP="00F756EA">
      <w:pPr>
        <w:pStyle w:val="a8"/>
        <w:numPr>
          <w:ilvl w:val="0"/>
          <w:numId w:val="1"/>
        </w:numPr>
        <w:tabs>
          <w:tab w:val="left" w:pos="674"/>
        </w:tabs>
        <w:spacing w:after="240" w:line="360" w:lineRule="auto"/>
        <w:ind w:left="674" w:hanging="630"/>
        <w:rPr>
          <w:rFonts w:cs="David"/>
          <w:b/>
          <w:bCs/>
        </w:rPr>
      </w:pPr>
      <w:r w:rsidRPr="00F45B16">
        <w:rPr>
          <w:rFonts w:cs="David"/>
          <w:rtl/>
        </w:rPr>
        <w:t xml:space="preserve">בית הדין קמא התעלם מטענותיו אלה של המערער, ובכך נפל פגם יסודי בפסק דינו, שכן </w:t>
      </w:r>
      <w:r w:rsidR="00C324AB" w:rsidRPr="00F45B16">
        <w:rPr>
          <w:rFonts w:cs="David"/>
          <w:b/>
          <w:bCs/>
          <w:rtl/>
        </w:rPr>
        <w:t xml:space="preserve">אין בהתנהלות זאת </w:t>
      </w:r>
      <w:r>
        <w:rPr>
          <w:rFonts w:cs="David"/>
          <w:b/>
          <w:bCs/>
          <w:rtl/>
        </w:rPr>
        <w:t xml:space="preserve">של המשיבות </w:t>
      </w:r>
      <w:r w:rsidR="00C324AB" w:rsidRPr="00F45B16">
        <w:rPr>
          <w:rFonts w:cs="David"/>
          <w:b/>
          <w:bCs/>
          <w:rtl/>
        </w:rPr>
        <w:t>דבר וחצי דבר עם חובת ההגינות המנהלית החלה על המדינה</w:t>
      </w:r>
      <w:r w:rsidRPr="00F45B16">
        <w:rPr>
          <w:rFonts w:cs="David"/>
          <w:b/>
          <w:bCs/>
          <w:rtl/>
        </w:rPr>
        <w:t>, ועם מושגים של סבירות ותום לב</w:t>
      </w:r>
      <w:r w:rsidR="00C324AB" w:rsidRPr="00F45B16">
        <w:rPr>
          <w:rFonts w:cs="David"/>
          <w:b/>
          <w:bCs/>
          <w:rtl/>
        </w:rPr>
        <w:t xml:space="preserve">. </w:t>
      </w:r>
    </w:p>
    <w:p w:rsidR="008C7365" w:rsidRDefault="008C7365" w:rsidP="000916F7">
      <w:pPr>
        <w:pStyle w:val="a8"/>
        <w:tabs>
          <w:tab w:val="left" w:pos="674"/>
        </w:tabs>
        <w:spacing w:after="240" w:line="360" w:lineRule="auto"/>
        <w:ind w:left="44"/>
        <w:rPr>
          <w:rFonts w:cs="David"/>
        </w:rPr>
      </w:pPr>
    </w:p>
    <w:p w:rsidR="008C7365" w:rsidRPr="000916F7" w:rsidRDefault="00ED242B" w:rsidP="000C57EA">
      <w:pPr>
        <w:pStyle w:val="a8"/>
        <w:tabs>
          <w:tab w:val="left" w:pos="674"/>
        </w:tabs>
        <w:spacing w:after="240" w:line="360" w:lineRule="auto"/>
        <w:ind w:left="44" w:firstLine="630"/>
        <w:rPr>
          <w:rFonts w:cs="David"/>
          <w:b/>
          <w:bCs/>
          <w:rtl/>
        </w:rPr>
      </w:pPr>
      <w:r w:rsidRPr="000916F7">
        <w:rPr>
          <w:rFonts w:cs="David"/>
          <w:b/>
          <w:bCs/>
          <w:rtl/>
        </w:rPr>
        <w:t>לאור האמור לעיל יתבקש בית הדין הנכבד לקבל את הערעור במלואו, ולהורות להשיב את הדיון לבית הדין קמא על מנת שידון בתיק לגופו, וכן לפסוק הוצאות לזכות המערער, וכן שכר טרחת עורכי דינו.</w:t>
      </w:r>
    </w:p>
    <w:p w:rsidR="00F7574C" w:rsidRDefault="00F7574C" w:rsidP="008C7365">
      <w:pPr>
        <w:pStyle w:val="a8"/>
        <w:tabs>
          <w:tab w:val="left" w:pos="674"/>
        </w:tabs>
        <w:spacing w:after="240" w:line="360" w:lineRule="auto"/>
        <w:ind w:left="44"/>
        <w:rPr>
          <w:rFonts w:cs="David"/>
          <w:rtl/>
        </w:rPr>
      </w:pPr>
    </w:p>
    <w:p w:rsidR="00F7574C" w:rsidRDefault="00F7574C" w:rsidP="00AD5378">
      <w:pPr>
        <w:pStyle w:val="25"/>
        <w:tabs>
          <w:tab w:val="center" w:pos="-2268"/>
          <w:tab w:val="left" w:pos="631"/>
        </w:tabs>
        <w:spacing w:before="120"/>
        <w:ind w:left="0" w:right="0" w:firstLine="0"/>
        <w:rPr>
          <w:b/>
          <w:bCs/>
          <w:noProof w:val="0"/>
        </w:rPr>
      </w:pPr>
      <w:r>
        <w:rPr>
          <w:b/>
          <w:bCs/>
          <w:noProof w:val="0"/>
          <w:rtl/>
        </w:rPr>
        <w:t xml:space="preserve">ירושלים, היום, </w:t>
      </w:r>
      <w:r w:rsidR="00B17FC0">
        <w:rPr>
          <w:b/>
          <w:bCs/>
          <w:noProof w:val="0"/>
          <w:rtl/>
        </w:rPr>
        <w:t xml:space="preserve">1 </w:t>
      </w:r>
      <w:r>
        <w:rPr>
          <w:b/>
          <w:bCs/>
          <w:noProof w:val="0"/>
          <w:rtl/>
        </w:rPr>
        <w:t>ביולי 2020.</w:t>
      </w:r>
    </w:p>
    <w:p w:rsidR="00F7574C" w:rsidRDefault="00F7574C" w:rsidP="00F7574C">
      <w:pPr>
        <w:pStyle w:val="25"/>
        <w:tabs>
          <w:tab w:val="center" w:pos="-2268"/>
          <w:tab w:val="left" w:pos="631"/>
        </w:tabs>
        <w:spacing w:before="0"/>
        <w:ind w:left="509" w:right="0"/>
        <w:rPr>
          <w:b/>
          <w:bCs/>
          <w:noProof w:val="0"/>
          <w:rtl/>
        </w:rPr>
      </w:pPr>
    </w:p>
    <w:p w:rsidR="00355243" w:rsidRDefault="00F7574C" w:rsidP="00355243">
      <w:pPr>
        <w:pStyle w:val="25"/>
        <w:tabs>
          <w:tab w:val="center" w:pos="-2268"/>
          <w:tab w:val="left" w:pos="631"/>
        </w:tabs>
        <w:spacing w:before="0" w:after="120"/>
        <w:ind w:left="518" w:right="0" w:hanging="432"/>
        <w:rPr>
          <w:noProof w:val="0"/>
          <w:rtl/>
        </w:rPr>
      </w:pPr>
      <w:r>
        <w:rPr>
          <w:b/>
          <w:bCs/>
          <w:noProof w:val="0"/>
          <w:rtl/>
        </w:rPr>
        <w:tab/>
      </w:r>
      <w:r>
        <w:rPr>
          <w:b/>
          <w:bCs/>
          <w:noProof w:val="0"/>
          <w:rtl/>
        </w:rPr>
        <w:tab/>
      </w:r>
      <w:r>
        <w:rPr>
          <w:b/>
          <w:bCs/>
          <w:noProof w:val="0"/>
          <w:rtl/>
        </w:rPr>
        <w:tab/>
      </w:r>
      <w:r>
        <w:rPr>
          <w:b/>
          <w:bCs/>
          <w:noProof w:val="0"/>
          <w:rtl/>
        </w:rPr>
        <w:tab/>
      </w:r>
      <w:r>
        <w:rPr>
          <w:b/>
          <w:bCs/>
          <w:noProof w:val="0"/>
          <w:rtl/>
        </w:rPr>
        <w:tab/>
      </w:r>
      <w:r>
        <w:rPr>
          <w:b/>
          <w:bCs/>
          <w:noProof w:val="0"/>
          <w:rtl/>
        </w:rPr>
        <w:tab/>
      </w:r>
      <w:r>
        <w:rPr>
          <w:b/>
          <w:bCs/>
          <w:noProof w:val="0"/>
          <w:rtl/>
        </w:rPr>
        <w:tab/>
        <w:t xml:space="preserve">   </w:t>
      </w:r>
      <w:r>
        <w:rPr>
          <w:b/>
          <w:bCs/>
          <w:noProof w:val="0"/>
          <w:rtl/>
        </w:rPr>
        <w:tab/>
      </w:r>
      <w:r>
        <w:rPr>
          <w:b/>
          <w:bCs/>
          <w:noProof w:val="0"/>
          <w:rtl/>
        </w:rPr>
        <w:tab/>
      </w:r>
      <w:r>
        <w:rPr>
          <w:noProof w:val="0"/>
          <w:rtl/>
        </w:rPr>
        <w:t>_________________</w:t>
      </w:r>
      <w:r>
        <w:rPr>
          <w:noProof w:val="0"/>
          <w:rtl/>
        </w:rPr>
        <w:tab/>
      </w:r>
    </w:p>
    <w:p w:rsidR="00F7574C" w:rsidRDefault="00F7574C" w:rsidP="00355243">
      <w:pPr>
        <w:pStyle w:val="25"/>
        <w:tabs>
          <w:tab w:val="center" w:pos="-2268"/>
          <w:tab w:val="left" w:pos="631"/>
        </w:tabs>
        <w:spacing w:before="0" w:after="120"/>
        <w:ind w:left="518" w:right="0" w:hanging="432"/>
        <w:rPr>
          <w:noProof w:val="0"/>
          <w:rtl/>
        </w:rPr>
      </w:pPr>
      <w:r>
        <w:rPr>
          <w:noProof w:val="0"/>
          <w:rtl/>
        </w:rPr>
        <w:t xml:space="preserve">         </w:t>
      </w:r>
      <w:r>
        <w:rPr>
          <w:noProof w:val="0"/>
          <w:rtl/>
        </w:rPr>
        <w:tab/>
      </w:r>
      <w:r>
        <w:rPr>
          <w:noProof w:val="0"/>
          <w:rtl/>
        </w:rPr>
        <w:tab/>
      </w:r>
      <w:r>
        <w:rPr>
          <w:noProof w:val="0"/>
          <w:rtl/>
        </w:rPr>
        <w:tab/>
      </w:r>
      <w:r>
        <w:rPr>
          <w:noProof w:val="0"/>
          <w:rtl/>
        </w:rPr>
        <w:tab/>
      </w:r>
      <w:r>
        <w:rPr>
          <w:noProof w:val="0"/>
          <w:rtl/>
        </w:rPr>
        <w:tab/>
        <w:t xml:space="preserve">       </w:t>
      </w:r>
      <w:r>
        <w:rPr>
          <w:noProof w:val="0"/>
          <w:rtl/>
        </w:rPr>
        <w:tab/>
      </w:r>
      <w:r>
        <w:rPr>
          <w:noProof w:val="0"/>
          <w:rtl/>
        </w:rPr>
        <w:tab/>
      </w:r>
      <w:r>
        <w:rPr>
          <w:noProof w:val="0"/>
          <w:rtl/>
        </w:rPr>
        <w:tab/>
        <w:t xml:space="preserve">       אופיר טל, עו"ד</w:t>
      </w:r>
    </w:p>
    <w:p w:rsidR="00F7574C" w:rsidRDefault="00F7574C" w:rsidP="00355243">
      <w:pPr>
        <w:pStyle w:val="25"/>
        <w:tabs>
          <w:tab w:val="center" w:pos="-2268"/>
          <w:tab w:val="left" w:pos="631"/>
        </w:tabs>
        <w:spacing w:before="0" w:after="120"/>
        <w:ind w:left="518" w:right="0" w:hanging="432"/>
        <w:rPr>
          <w:noProof w:val="0"/>
          <w:sz w:val="22"/>
          <w:szCs w:val="22"/>
          <w:rtl/>
        </w:rPr>
      </w:pPr>
      <w:r>
        <w:rPr>
          <w:noProof w:val="0"/>
          <w:rtl/>
        </w:rPr>
        <w:tab/>
      </w:r>
      <w:r>
        <w:rPr>
          <w:noProof w:val="0"/>
          <w:rtl/>
        </w:rPr>
        <w:tab/>
      </w:r>
      <w:r>
        <w:rPr>
          <w:noProof w:val="0"/>
          <w:rtl/>
        </w:rPr>
        <w:tab/>
      </w:r>
      <w:r>
        <w:rPr>
          <w:noProof w:val="0"/>
          <w:rtl/>
        </w:rPr>
        <w:tab/>
      </w:r>
      <w:r>
        <w:rPr>
          <w:noProof w:val="0"/>
          <w:rtl/>
        </w:rPr>
        <w:tab/>
      </w:r>
      <w:r>
        <w:rPr>
          <w:noProof w:val="0"/>
          <w:rtl/>
        </w:rPr>
        <w:tab/>
      </w:r>
      <w:r>
        <w:rPr>
          <w:noProof w:val="0"/>
          <w:rtl/>
        </w:rPr>
        <w:tab/>
        <w:t xml:space="preserve">                    טל, קדרי, שמיר ושות' </w:t>
      </w:r>
      <w:r>
        <w:rPr>
          <w:noProof w:val="0"/>
          <w:sz w:val="22"/>
          <w:szCs w:val="22"/>
          <w:rtl/>
        </w:rPr>
        <w:t>עורכי דין</w:t>
      </w:r>
    </w:p>
    <w:p w:rsidR="00F7574C" w:rsidRDefault="00F7574C" w:rsidP="00355243">
      <w:pPr>
        <w:pStyle w:val="25"/>
        <w:tabs>
          <w:tab w:val="center" w:pos="-2268"/>
          <w:tab w:val="left" w:pos="631"/>
        </w:tabs>
        <w:spacing w:before="0" w:after="120"/>
        <w:ind w:left="518" w:right="0" w:hanging="432"/>
        <w:rPr>
          <w:noProof w:val="0"/>
          <w:rtl/>
        </w:rPr>
      </w:pPr>
      <w:r>
        <w:rPr>
          <w:noProof w:val="0"/>
          <w:sz w:val="22"/>
          <w:szCs w:val="22"/>
          <w:rtl/>
        </w:rPr>
        <w:tab/>
      </w:r>
      <w:r>
        <w:rPr>
          <w:noProof w:val="0"/>
          <w:sz w:val="22"/>
          <w:szCs w:val="22"/>
          <w:rtl/>
        </w:rPr>
        <w:tab/>
      </w:r>
      <w:r>
        <w:rPr>
          <w:noProof w:val="0"/>
          <w:sz w:val="22"/>
          <w:szCs w:val="22"/>
          <w:rtl/>
        </w:rPr>
        <w:tab/>
      </w:r>
      <w:r>
        <w:rPr>
          <w:noProof w:val="0"/>
          <w:sz w:val="22"/>
          <w:szCs w:val="22"/>
          <w:rtl/>
        </w:rPr>
        <w:tab/>
      </w:r>
      <w:r>
        <w:rPr>
          <w:noProof w:val="0"/>
          <w:sz w:val="22"/>
          <w:szCs w:val="22"/>
          <w:rtl/>
        </w:rPr>
        <w:tab/>
      </w:r>
      <w:r>
        <w:rPr>
          <w:noProof w:val="0"/>
          <w:sz w:val="22"/>
          <w:szCs w:val="22"/>
          <w:rtl/>
        </w:rPr>
        <w:tab/>
      </w:r>
      <w:r>
        <w:rPr>
          <w:noProof w:val="0"/>
          <w:sz w:val="22"/>
          <w:szCs w:val="22"/>
          <w:rtl/>
        </w:rPr>
        <w:tab/>
      </w:r>
      <w:r>
        <w:rPr>
          <w:noProof w:val="0"/>
          <w:rtl/>
        </w:rPr>
        <w:tab/>
        <w:t xml:space="preserve">                     ב"כ המערער</w:t>
      </w:r>
    </w:p>
    <w:p w:rsidR="00F7574C" w:rsidRDefault="00F7574C" w:rsidP="008C7365">
      <w:pPr>
        <w:pStyle w:val="a8"/>
        <w:tabs>
          <w:tab w:val="left" w:pos="674"/>
        </w:tabs>
        <w:spacing w:after="240" w:line="360" w:lineRule="auto"/>
        <w:ind w:left="44"/>
        <w:rPr>
          <w:rFonts w:cs="David"/>
        </w:rPr>
      </w:pPr>
    </w:p>
    <w:sectPr w:rsidR="00F7574C" w:rsidSect="00FB22C8">
      <w:footerReference w:type="first" r:id="rId18"/>
      <w:pgSz w:w="11906" w:h="16838" w:code="9"/>
      <w:pgMar w:top="1296" w:right="1152" w:bottom="1728" w:left="1440" w:header="576" w:footer="576" w:gutter="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4B0D" w:rsidRDefault="00964B0D">
      <w:r>
        <w:separator/>
      </w:r>
    </w:p>
  </w:endnote>
  <w:endnote w:type="continuationSeparator" w:id="0">
    <w:p w:rsidR="00964B0D" w:rsidRDefault="00964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avid">
    <w:altName w:val="Times New Roman"/>
    <w:panose1 w:val="020E0502060401010101"/>
    <w:charset w:val="00"/>
    <w:family w:val="swiss"/>
    <w:pitch w:val="variable"/>
    <w:sig w:usb0="00000803" w:usb1="00000000" w:usb2="00000000" w:usb3="00000000" w:csb0="00000021" w:csb1="00000000"/>
  </w:font>
  <w:font w:name="Times New Roman">
    <w:altName w:val="Arial Narrow"/>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altName w:val="Arial Rounded MT Bold"/>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altName w:val="Times New Roman"/>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6B20" w:rsidRDefault="00236B20">
    <w:pPr>
      <w:pStyle w:val="a5"/>
      <w:jc w:val="right"/>
    </w:pPr>
    <w:r>
      <w:fldChar w:fldCharType="begin"/>
    </w:r>
    <w:r>
      <w:instrText xml:space="preserve"> PAGE   \* MERGEFORMAT </w:instrText>
    </w:r>
    <w:r>
      <w:fldChar w:fldCharType="separate"/>
    </w:r>
    <w:r w:rsidR="001D1380">
      <w:rPr>
        <w:noProof/>
        <w:rtl/>
      </w:rPr>
      <w:t>1</w:t>
    </w:r>
    <w:r>
      <w:fldChar w:fldCharType="end"/>
    </w:r>
  </w:p>
  <w:p w:rsidR="00236B20" w:rsidRDefault="00236B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4B0D" w:rsidRDefault="00964B0D">
      <w:r>
        <w:separator/>
      </w:r>
    </w:p>
  </w:footnote>
  <w:footnote w:type="continuationSeparator" w:id="0">
    <w:p w:rsidR="00964B0D" w:rsidRDefault="00964B0D">
      <w:r>
        <w:continuationSeparator/>
      </w:r>
    </w:p>
  </w:footnote>
  <w:footnote w:id="1">
    <w:p w:rsidR="00000000" w:rsidRDefault="00236B20" w:rsidP="00164CDC">
      <w:pPr>
        <w:pStyle w:val="aa"/>
        <w:spacing w:after="60"/>
      </w:pPr>
      <w:r>
        <w:rPr>
          <w:rStyle w:val="ac"/>
        </w:rPr>
        <w:footnoteRef/>
      </w:r>
      <w:r>
        <w:rPr>
          <w:rtl/>
        </w:rPr>
        <w:t xml:space="preserve"> </w:t>
      </w:r>
      <w:r>
        <w:rPr>
          <w:rtl/>
        </w:rPr>
        <w:tab/>
        <w:t>סעיף 13 לכתב התביעה.</w:t>
      </w:r>
    </w:p>
  </w:footnote>
  <w:footnote w:id="2">
    <w:p w:rsidR="00000000" w:rsidRDefault="00236B20" w:rsidP="00164CDC">
      <w:pPr>
        <w:pStyle w:val="aa"/>
        <w:spacing w:after="60"/>
      </w:pPr>
      <w:r>
        <w:rPr>
          <w:rStyle w:val="ac"/>
        </w:rPr>
        <w:footnoteRef/>
      </w:r>
      <w:r>
        <w:rPr>
          <w:rtl/>
        </w:rPr>
        <w:t xml:space="preserve"> </w:t>
      </w:r>
      <w:r>
        <w:rPr>
          <w:rtl/>
        </w:rPr>
        <w:tab/>
        <w:t>סעיף 1 לפסק הדין.</w:t>
      </w:r>
    </w:p>
  </w:footnote>
  <w:footnote w:id="3">
    <w:p w:rsidR="00000000" w:rsidRDefault="00236B20" w:rsidP="00745FA4">
      <w:pPr>
        <w:pStyle w:val="aa"/>
        <w:spacing w:after="60"/>
      </w:pPr>
      <w:r>
        <w:rPr>
          <w:rStyle w:val="ac"/>
        </w:rPr>
        <w:footnoteRef/>
      </w:r>
      <w:r>
        <w:rPr>
          <w:rtl/>
        </w:rPr>
        <w:t xml:space="preserve"> </w:t>
      </w:r>
      <w:r>
        <w:rPr>
          <w:rtl/>
        </w:rPr>
        <w:tab/>
        <w:t>חוזה הבכירים צורף לכתב התביעה כנספח 1.</w:t>
      </w:r>
    </w:p>
  </w:footnote>
  <w:footnote w:id="4">
    <w:p w:rsidR="00000000" w:rsidRDefault="00236B20" w:rsidP="000A5CEB">
      <w:pPr>
        <w:pStyle w:val="aa"/>
        <w:spacing w:after="60"/>
      </w:pPr>
      <w:r>
        <w:rPr>
          <w:rStyle w:val="ac"/>
        </w:rPr>
        <w:footnoteRef/>
      </w:r>
      <w:r>
        <w:rPr>
          <w:rtl/>
        </w:rPr>
        <w:t xml:space="preserve"> </w:t>
      </w:r>
      <w:r>
        <w:rPr>
          <w:rtl/>
        </w:rPr>
        <w:tab/>
        <w:t>סעיף 17 לכתב התביעה.</w:t>
      </w:r>
    </w:p>
  </w:footnote>
  <w:footnote w:id="5">
    <w:p w:rsidR="00000000" w:rsidRDefault="00236B20" w:rsidP="00AD5378">
      <w:pPr>
        <w:pStyle w:val="aa"/>
        <w:spacing w:after="120"/>
      </w:pPr>
      <w:r>
        <w:rPr>
          <w:rStyle w:val="ac"/>
        </w:rPr>
        <w:footnoteRef/>
      </w:r>
      <w:r>
        <w:rPr>
          <w:rtl/>
        </w:rPr>
        <w:t xml:space="preserve"> </w:t>
      </w:r>
      <w:r>
        <w:rPr>
          <w:rtl/>
        </w:rPr>
        <w:tab/>
        <w:t>מכתב המשנה לנציב שירות המדינה צורף כנספח 2 לכתב התביעה.</w:t>
      </w:r>
    </w:p>
  </w:footnote>
  <w:footnote w:id="6">
    <w:p w:rsidR="00000000" w:rsidRDefault="00236B20" w:rsidP="00260ECB">
      <w:pPr>
        <w:pStyle w:val="aa"/>
        <w:spacing w:after="120"/>
      </w:pPr>
      <w:r>
        <w:rPr>
          <w:rStyle w:val="ac"/>
        </w:rPr>
        <w:footnoteRef/>
      </w:r>
      <w:r>
        <w:rPr>
          <w:rtl/>
        </w:rPr>
        <w:t xml:space="preserve"> </w:t>
      </w:r>
      <w:r>
        <w:rPr>
          <w:rtl/>
        </w:rPr>
        <w:tab/>
        <w:t xml:space="preserve">ההתכתבות </w:t>
      </w:r>
      <w:r>
        <w:rPr>
          <w:b/>
          <w:bCs/>
          <w:rtl/>
        </w:rPr>
        <w:t xml:space="preserve">הפנימית </w:t>
      </w:r>
      <w:r>
        <w:rPr>
          <w:rtl/>
        </w:rPr>
        <w:t>שנמסרה למערער בדיעבד, צורפה כנספח 3 לכתב התביעה.</w:t>
      </w:r>
    </w:p>
  </w:footnote>
  <w:footnote w:id="7">
    <w:p w:rsidR="00000000" w:rsidRDefault="00236B20" w:rsidP="00260ECB">
      <w:pPr>
        <w:pStyle w:val="aa"/>
        <w:spacing w:after="120"/>
      </w:pPr>
      <w:r>
        <w:rPr>
          <w:rStyle w:val="ac"/>
        </w:rPr>
        <w:footnoteRef/>
      </w:r>
      <w:r>
        <w:rPr>
          <w:rtl/>
        </w:rPr>
        <w:t xml:space="preserve"> </w:t>
      </w:r>
      <w:r>
        <w:rPr>
          <w:rtl/>
        </w:rPr>
        <w:tab/>
        <w:t>סעיף 22 לכתב התביעה.</w:t>
      </w:r>
    </w:p>
  </w:footnote>
  <w:footnote w:id="8">
    <w:p w:rsidR="00000000" w:rsidRDefault="00236B20" w:rsidP="00446765">
      <w:pPr>
        <w:pStyle w:val="aa"/>
        <w:tabs>
          <w:tab w:val="left" w:pos="584"/>
        </w:tabs>
        <w:spacing w:after="60"/>
        <w:ind w:left="134"/>
      </w:pPr>
      <w:r w:rsidRPr="00446765">
        <w:footnoteRef/>
      </w:r>
      <w:r w:rsidR="00446765">
        <w:rPr>
          <w:rtl/>
        </w:rPr>
        <w:t xml:space="preserve"> </w:t>
      </w:r>
      <w:r w:rsidR="00446765">
        <w:rPr>
          <w:rtl/>
        </w:rPr>
        <w:tab/>
      </w:r>
      <w:r w:rsidRPr="00446765">
        <w:rPr>
          <w:rtl/>
        </w:rPr>
        <w:t>סעיף 26 לכתב התביעה.</w:t>
      </w:r>
    </w:p>
  </w:footnote>
  <w:footnote w:id="9">
    <w:p w:rsidR="00000000" w:rsidRDefault="00236B20" w:rsidP="00446765">
      <w:pPr>
        <w:pStyle w:val="12"/>
        <w:spacing w:before="0" w:after="60"/>
        <w:ind w:left="576" w:hanging="446"/>
      </w:pPr>
      <w:r w:rsidRPr="00446765">
        <w:rPr>
          <w:rFonts w:cs="Times New Roman"/>
          <w:szCs w:val="20"/>
        </w:rPr>
        <w:footnoteRef/>
      </w:r>
      <w:r w:rsidRPr="00446765">
        <w:rPr>
          <w:szCs w:val="20"/>
          <w:rtl/>
        </w:rPr>
        <w:t xml:space="preserve"> </w:t>
      </w:r>
      <w:r w:rsidRPr="00446765">
        <w:rPr>
          <w:szCs w:val="20"/>
          <w:rtl/>
        </w:rPr>
        <w:tab/>
      </w:r>
      <w:r w:rsidRPr="00446765">
        <w:rPr>
          <w:rFonts w:cs="Times New Roman"/>
          <w:szCs w:val="20"/>
          <w:rtl/>
        </w:rPr>
        <w:t>מכתבה של גב' כלב מיום 4.7.2012, תשובת המערער, תגובתה ותגובת המערער לתגובה, צורפו לכתב התביעה כנספחים 4א' – 4ד'.</w:t>
      </w:r>
    </w:p>
  </w:footnote>
  <w:footnote w:id="10">
    <w:p w:rsidR="00000000" w:rsidRDefault="00236B20" w:rsidP="00446765">
      <w:pPr>
        <w:pStyle w:val="aa"/>
        <w:tabs>
          <w:tab w:val="left" w:pos="494"/>
        </w:tabs>
        <w:spacing w:after="60"/>
        <w:ind w:left="576" w:hanging="446"/>
      </w:pPr>
      <w:r w:rsidRPr="00446765">
        <w:footnoteRef/>
      </w:r>
      <w:r w:rsidRPr="00446765">
        <w:rPr>
          <w:rtl/>
        </w:rPr>
        <w:t xml:space="preserve"> </w:t>
      </w:r>
      <w:r w:rsidRPr="00446765">
        <w:rPr>
          <w:rtl/>
        </w:rPr>
        <w:tab/>
      </w:r>
      <w:r w:rsidRPr="00446765">
        <w:rPr>
          <w:rtl/>
        </w:rPr>
        <w:tab/>
        <w:t>מכתבה של גב' כלב מיום 21.7.2012, ותשובת המערער מיום 23.7.2012, צורפו לכתב התביעה כנספחים 5 א' – 5 ב'.</w:t>
      </w:r>
    </w:p>
  </w:footnote>
  <w:footnote w:id="11">
    <w:p w:rsidR="00000000" w:rsidRDefault="00236B20" w:rsidP="00355243">
      <w:pPr>
        <w:pStyle w:val="12"/>
        <w:spacing w:before="0" w:after="60"/>
        <w:ind w:left="576" w:hanging="446"/>
      </w:pPr>
      <w:r w:rsidRPr="00B126E1">
        <w:rPr>
          <w:rFonts w:cs="Times New Roman"/>
          <w:sz w:val="16"/>
          <w:szCs w:val="16"/>
        </w:rPr>
        <w:footnoteRef/>
      </w:r>
      <w:r w:rsidRPr="00164CDC">
        <w:rPr>
          <w:rFonts w:cs="Times New Roman"/>
          <w:sz w:val="16"/>
          <w:szCs w:val="16"/>
          <w:rtl/>
        </w:rPr>
        <w:t xml:space="preserve"> </w:t>
      </w:r>
      <w:r w:rsidRPr="006B5397">
        <w:rPr>
          <w:rFonts w:cs="Times New Roman"/>
          <w:sz w:val="16"/>
          <w:szCs w:val="16"/>
          <w:rtl/>
        </w:rPr>
        <w:tab/>
      </w:r>
      <w:r w:rsidRPr="00446765">
        <w:rPr>
          <w:rFonts w:cs="Times New Roman"/>
          <w:szCs w:val="20"/>
          <w:rtl/>
        </w:rPr>
        <w:t>מכתבו של המערער מיום 1.8.2012, אל החשבת הכללית צורף לכתב התביעה כנספח 6 .</w:t>
      </w:r>
    </w:p>
  </w:footnote>
  <w:footnote w:id="12">
    <w:p w:rsidR="00000000" w:rsidRDefault="00236B20" w:rsidP="00355243">
      <w:pPr>
        <w:pStyle w:val="aa"/>
        <w:spacing w:after="60"/>
        <w:ind w:left="576" w:hanging="446"/>
      </w:pPr>
      <w:r w:rsidRPr="00B126E1">
        <w:rPr>
          <w:sz w:val="16"/>
          <w:szCs w:val="16"/>
        </w:rPr>
        <w:footnoteRef/>
      </w:r>
      <w:r w:rsidRPr="00B126E1">
        <w:rPr>
          <w:sz w:val="16"/>
          <w:szCs w:val="16"/>
          <w:rtl/>
        </w:rPr>
        <w:t xml:space="preserve"> </w:t>
      </w:r>
      <w:r w:rsidRPr="00446765">
        <w:rPr>
          <w:rtl/>
        </w:rPr>
        <w:tab/>
        <w:t>דו"ח נוכחות המערער בעבודה לחודש אוגוסט 2012 וסיכום הדיון שהוציאה המשיבה (מצורף מבלי להודות בתוכנו),</w:t>
      </w:r>
      <w:r w:rsidR="00B126E1">
        <w:rPr>
          <w:rtl/>
        </w:rPr>
        <w:t xml:space="preserve"> </w:t>
      </w:r>
      <w:r w:rsidRPr="00446765">
        <w:rPr>
          <w:rtl/>
        </w:rPr>
        <w:t>וכן מכתבה של החשבת הכללית למערער מיום 5.8.2012, צורפו לכתב התביעה כנספחים 7 א' – 7 ג'.</w:t>
      </w:r>
    </w:p>
  </w:footnote>
  <w:footnote w:id="13">
    <w:p w:rsidR="00000000" w:rsidRDefault="00236B20" w:rsidP="009B1B4D">
      <w:pPr>
        <w:pStyle w:val="aa"/>
        <w:spacing w:after="60"/>
        <w:ind w:left="676" w:hanging="590"/>
      </w:pPr>
      <w:r w:rsidRPr="00AD5378">
        <w:rPr>
          <w:rStyle w:val="ac"/>
        </w:rPr>
        <w:footnoteRef/>
      </w:r>
      <w:r w:rsidRPr="00745FA4">
        <w:rPr>
          <w:rStyle w:val="ac"/>
          <w:rtl/>
        </w:rPr>
        <w:t xml:space="preserve"> </w:t>
      </w:r>
      <w:r w:rsidRPr="006B5397">
        <w:rPr>
          <w:rtl/>
        </w:rPr>
        <w:tab/>
      </w:r>
      <w:r w:rsidRPr="009B1B4D">
        <w:rPr>
          <w:rtl/>
        </w:rPr>
        <w:t>סעיף 7 לפסק הדין.</w:t>
      </w:r>
    </w:p>
  </w:footnote>
  <w:footnote w:id="14">
    <w:p w:rsidR="00000000" w:rsidRDefault="00236B20" w:rsidP="009B1B4D">
      <w:pPr>
        <w:pStyle w:val="aa"/>
        <w:spacing w:after="60"/>
        <w:ind w:left="676" w:hanging="590"/>
      </w:pPr>
      <w:r w:rsidRPr="009B1B4D">
        <w:rPr>
          <w:rStyle w:val="ac"/>
        </w:rPr>
        <w:footnoteRef/>
      </w:r>
      <w:r w:rsidRPr="009B1B4D">
        <w:rPr>
          <w:rtl/>
        </w:rPr>
        <w:t xml:space="preserve"> </w:t>
      </w:r>
      <w:r w:rsidRPr="009B1B4D">
        <w:rPr>
          <w:rtl/>
        </w:rPr>
        <w:tab/>
      </w:r>
      <w:r w:rsidRPr="009B1B4D">
        <w:rPr>
          <w:sz w:val="24"/>
          <w:rtl/>
        </w:rPr>
        <w:t xml:space="preserve">מסמך ההודעה על החלטת נציב שרות המדינה מ-15.8.12 שנחתם ביום 21.11.12 וצילום המעטפה בה נשלח המסמך עם חותמת הדואר מיום 12.12.12, צורפו לכתב התביעה כנספחים 8 א' – </w:t>
      </w:r>
      <w:r w:rsidRPr="00164CDC">
        <w:rPr>
          <w:sz w:val="24"/>
          <w:rtl/>
        </w:rPr>
        <w:t>8 ב'.</w:t>
      </w:r>
    </w:p>
  </w:footnote>
  <w:footnote w:id="15">
    <w:p w:rsidR="00000000" w:rsidRDefault="00236B20" w:rsidP="009B1B4D">
      <w:pPr>
        <w:pStyle w:val="aa"/>
        <w:spacing w:after="60"/>
        <w:ind w:left="676" w:hanging="590"/>
      </w:pPr>
      <w:r w:rsidRPr="009B1B4D">
        <w:rPr>
          <w:rStyle w:val="ac"/>
        </w:rPr>
        <w:footnoteRef/>
      </w:r>
      <w:r w:rsidRPr="009B1B4D">
        <w:rPr>
          <w:rtl/>
        </w:rPr>
        <w:t xml:space="preserve"> </w:t>
      </w:r>
      <w:r w:rsidRPr="009B1B4D">
        <w:rPr>
          <w:rtl/>
        </w:rPr>
        <w:tab/>
        <w:t>מכתב ב"כ המערער מיום 27.12.2012 צורף לכתב התביעה כנספח 9.</w:t>
      </w:r>
    </w:p>
  </w:footnote>
  <w:footnote w:id="16">
    <w:p w:rsidR="00000000" w:rsidRDefault="00236B20" w:rsidP="00B126E1">
      <w:pPr>
        <w:pStyle w:val="aa"/>
        <w:spacing w:after="60"/>
        <w:ind w:left="676" w:hanging="590"/>
      </w:pPr>
      <w:r w:rsidRPr="009B1B4D">
        <w:rPr>
          <w:rStyle w:val="ac"/>
        </w:rPr>
        <w:footnoteRef/>
      </w:r>
      <w:r w:rsidRPr="009B1B4D">
        <w:rPr>
          <w:rtl/>
        </w:rPr>
        <w:t xml:space="preserve"> </w:t>
      </w:r>
      <w:r w:rsidRPr="009B1B4D">
        <w:rPr>
          <w:rtl/>
        </w:rPr>
        <w:tab/>
        <w:t>אישור הגימלה צורף לכתב התביעה כנספח 10.</w:t>
      </w:r>
    </w:p>
  </w:footnote>
  <w:footnote w:id="17">
    <w:p w:rsidR="00000000" w:rsidRDefault="00236B20" w:rsidP="00B126E1">
      <w:pPr>
        <w:pStyle w:val="aa"/>
        <w:spacing w:after="120"/>
        <w:ind w:left="676" w:hanging="590"/>
      </w:pPr>
      <w:r>
        <w:rPr>
          <w:rStyle w:val="ac"/>
        </w:rPr>
        <w:footnoteRef/>
      </w:r>
      <w:r>
        <w:rPr>
          <w:rtl/>
        </w:rPr>
        <w:t xml:space="preserve"> </w:t>
      </w:r>
      <w:r>
        <w:rPr>
          <w:rtl/>
        </w:rPr>
        <w:tab/>
        <w:t>מסמכים אלה יוגשו בנפרד.</w:t>
      </w:r>
    </w:p>
  </w:footnote>
  <w:footnote w:id="18">
    <w:p w:rsidR="00236B20" w:rsidRPr="006B5397" w:rsidRDefault="00236B20" w:rsidP="00592C88">
      <w:pPr>
        <w:pStyle w:val="12"/>
        <w:tabs>
          <w:tab w:val="left" w:pos="530"/>
        </w:tabs>
        <w:spacing w:before="0" w:after="120" w:line="360" w:lineRule="auto"/>
        <w:ind w:left="0" w:firstLine="0"/>
        <w:rPr>
          <w:rFonts w:cs="Times New Roman"/>
          <w:i/>
          <w:szCs w:val="20"/>
          <w:rtl/>
        </w:rPr>
      </w:pPr>
      <w:r w:rsidRPr="00B126E1">
        <w:rPr>
          <w:rStyle w:val="ac"/>
          <w:szCs w:val="20"/>
        </w:rPr>
        <w:footnoteRef/>
      </w:r>
      <w:r>
        <w:rPr>
          <w:rtl/>
        </w:rPr>
        <w:t xml:space="preserve"> </w:t>
      </w:r>
      <w:r>
        <w:rPr>
          <w:rtl/>
        </w:rPr>
        <w:tab/>
      </w:r>
      <w:r w:rsidRPr="006B5397">
        <w:rPr>
          <w:rStyle w:val="emailstyle17"/>
          <w:rFonts w:ascii="Times New Roman" w:hAnsi="Times New Roman" w:cs="Times New Roman"/>
          <w:i/>
          <w:szCs w:val="20"/>
          <w:rtl/>
        </w:rPr>
        <w:t>תשובת</w:t>
      </w:r>
      <w:r w:rsidRPr="006B5397" w:rsidDel="00BB4FE9">
        <w:rPr>
          <w:rStyle w:val="emailstyle17"/>
          <w:rFonts w:ascii="Times New Roman" w:hAnsi="Times New Roman" w:cs="Times New Roman"/>
          <w:i/>
          <w:szCs w:val="20"/>
          <w:rtl/>
        </w:rPr>
        <w:t xml:space="preserve">ם </w:t>
      </w:r>
      <w:r w:rsidRPr="006B5397">
        <w:rPr>
          <w:rStyle w:val="emailstyle17"/>
          <w:rFonts w:ascii="Times New Roman" w:hAnsi="Times New Roman" w:cs="Times New Roman"/>
          <w:i/>
          <w:szCs w:val="20"/>
          <w:rtl/>
        </w:rPr>
        <w:t xml:space="preserve">האחרונה של נציבות שרות המדינה ונציב תלונות הציבור, צורפו לכתב התביעה כנספחים </w:t>
      </w:r>
      <w:r w:rsidRPr="006B5397">
        <w:rPr>
          <w:rFonts w:cs="Times New Roman"/>
          <w:i/>
          <w:szCs w:val="20"/>
          <w:rtl/>
        </w:rPr>
        <w:t xml:space="preserve">12א' – 12ב'. </w:t>
      </w:r>
    </w:p>
    <w:p w:rsidR="00000000" w:rsidRDefault="00964B0D" w:rsidP="00592C88">
      <w:pPr>
        <w:pStyle w:val="12"/>
        <w:tabs>
          <w:tab w:val="left" w:pos="530"/>
        </w:tabs>
        <w:spacing w:before="0" w:after="120" w:line="360" w:lineRule="auto"/>
        <w:ind w:left="0" w:firstLine="0"/>
      </w:pPr>
    </w:p>
  </w:footnote>
  <w:footnote w:id="19">
    <w:p w:rsidR="00236B20" w:rsidRDefault="00236B20" w:rsidP="00722932">
      <w:pPr>
        <w:pStyle w:val="aa"/>
        <w:ind w:left="674" w:hanging="540"/>
      </w:pPr>
      <w:r>
        <w:rPr>
          <w:rStyle w:val="ac"/>
        </w:rPr>
        <w:footnoteRef/>
      </w:r>
      <w:r>
        <w:rPr>
          <w:rtl/>
        </w:rPr>
        <w:t xml:space="preserve"> </w:t>
      </w:r>
      <w:r>
        <w:rPr>
          <w:rtl/>
        </w:rPr>
        <w:tab/>
        <w:t>סעיף 38 לפסק הדין.</w:t>
      </w:r>
    </w:p>
    <w:p w:rsidR="00000000" w:rsidRDefault="00964B0D" w:rsidP="00722932">
      <w:pPr>
        <w:pStyle w:val="aa"/>
        <w:ind w:left="674" w:hanging="54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A566D8"/>
    <w:multiLevelType w:val="multilevel"/>
    <w:tmpl w:val="810AE54A"/>
    <w:lvl w:ilvl="0">
      <w:start w:val="1"/>
      <w:numFmt w:val="decimal"/>
      <w:lvlText w:val="%1."/>
      <w:lvlJc w:val="left"/>
      <w:pPr>
        <w:ind w:left="3690" w:hanging="360"/>
      </w:pPr>
      <w:rPr>
        <w:rFonts w:ascii="David" w:hAnsi="David" w:cs="David" w:hint="default"/>
        <w:b w:val="0"/>
        <w:bCs w:val="0"/>
      </w:rPr>
    </w:lvl>
    <w:lvl w:ilvl="1">
      <w:start w:val="1"/>
      <w:numFmt w:val="decimal"/>
      <w:lvlText w:val="%1.%2."/>
      <w:lvlJc w:val="left"/>
      <w:pPr>
        <w:ind w:left="5562" w:hanging="432"/>
      </w:pPr>
      <w:rPr>
        <w:rFonts w:ascii="David" w:hAnsi="David" w:cs="David" w:hint="default"/>
        <w:b w:val="0"/>
        <w:bCs w:val="0"/>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 w15:restartNumberingAfterBreak="0">
    <w:nsid w:val="24813207"/>
    <w:multiLevelType w:val="hybridMultilevel"/>
    <w:tmpl w:val="9712F734"/>
    <w:lvl w:ilvl="0" w:tplc="166227A0">
      <w:start w:val="1"/>
      <w:numFmt w:val="hebrew1"/>
      <w:lvlText w:val="%1."/>
      <w:lvlJc w:val="left"/>
      <w:pPr>
        <w:ind w:left="720" w:hanging="360"/>
      </w:pPr>
      <w:rPr>
        <w:rFonts w:ascii="David" w:hAnsi="David" w:cs="David"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39F52ECF"/>
    <w:multiLevelType w:val="multilevel"/>
    <w:tmpl w:val="090ECB46"/>
    <w:lvl w:ilvl="0">
      <w:start w:val="1"/>
      <w:numFmt w:val="decimal"/>
      <w:lvlText w:val="%1."/>
      <w:lvlJc w:val="left"/>
      <w:pPr>
        <w:tabs>
          <w:tab w:val="num" w:pos="1800"/>
        </w:tabs>
        <w:ind w:left="1800" w:hanging="360"/>
      </w:pPr>
      <w:rPr>
        <w:rFonts w:ascii="David" w:hAnsi="David" w:cs="David" w:hint="default"/>
        <w:b w:val="0"/>
        <w:bCs w:val="0"/>
        <w:i w:val="0"/>
        <w:iCs w:val="0"/>
        <w:sz w:val="24"/>
        <w:szCs w:val="24"/>
      </w:rPr>
    </w:lvl>
    <w:lvl w:ilvl="1">
      <w:start w:val="1"/>
      <w:numFmt w:val="decimal"/>
      <w:lvlText w:val="%1.%2."/>
      <w:lvlJc w:val="left"/>
      <w:pPr>
        <w:tabs>
          <w:tab w:val="num" w:pos="1359"/>
        </w:tabs>
        <w:ind w:left="1359" w:hanging="432"/>
      </w:pPr>
      <w:rPr>
        <w:rFonts w:cs="Times New Roman"/>
        <w:b w:val="0"/>
        <w:bCs w:val="0"/>
      </w:rPr>
    </w:lvl>
    <w:lvl w:ilvl="2">
      <w:start w:val="1"/>
      <w:numFmt w:val="decimal"/>
      <w:lvlText w:val="%1.%2.%3."/>
      <w:lvlJc w:val="left"/>
      <w:pPr>
        <w:tabs>
          <w:tab w:val="num" w:pos="1800"/>
        </w:tabs>
        <w:ind w:left="1584" w:hanging="504"/>
      </w:pPr>
      <w:rPr>
        <w:rFonts w:cs="Times New Roman"/>
      </w:rPr>
    </w:lvl>
    <w:lvl w:ilvl="3">
      <w:start w:val="1"/>
      <w:numFmt w:val="decimal"/>
      <w:lvlText w:val="%1.%2.%3.%4."/>
      <w:lvlJc w:val="left"/>
      <w:pPr>
        <w:tabs>
          <w:tab w:val="num" w:pos="2160"/>
        </w:tabs>
        <w:ind w:left="2088" w:hanging="648"/>
      </w:pPr>
      <w:rPr>
        <w:rFonts w:cs="Times New Roman"/>
      </w:rPr>
    </w:lvl>
    <w:lvl w:ilvl="4">
      <w:start w:val="1"/>
      <w:numFmt w:val="decimal"/>
      <w:lvlText w:val="%1.%2.%3.%4.%5."/>
      <w:lvlJc w:val="left"/>
      <w:pPr>
        <w:tabs>
          <w:tab w:val="num" w:pos="2880"/>
        </w:tabs>
        <w:ind w:left="2592" w:hanging="792"/>
      </w:pPr>
      <w:rPr>
        <w:rFonts w:cs="Times New Roman"/>
      </w:rPr>
    </w:lvl>
    <w:lvl w:ilvl="5">
      <w:start w:val="1"/>
      <w:numFmt w:val="decimal"/>
      <w:lvlText w:val="%1.%2.%3.%4.%5.%6."/>
      <w:lvlJc w:val="left"/>
      <w:pPr>
        <w:tabs>
          <w:tab w:val="num" w:pos="3240"/>
        </w:tabs>
        <w:ind w:left="3096" w:hanging="936"/>
      </w:pPr>
      <w:rPr>
        <w:rFonts w:cs="Times New Roman"/>
      </w:rPr>
    </w:lvl>
    <w:lvl w:ilvl="6">
      <w:start w:val="1"/>
      <w:numFmt w:val="decimal"/>
      <w:lvlText w:val="%1.%2.%3.%4.%5.%6.%7."/>
      <w:lvlJc w:val="left"/>
      <w:pPr>
        <w:tabs>
          <w:tab w:val="num" w:pos="3960"/>
        </w:tabs>
        <w:ind w:left="3600" w:hanging="1080"/>
      </w:pPr>
      <w:rPr>
        <w:rFonts w:cs="Times New Roman"/>
      </w:rPr>
    </w:lvl>
    <w:lvl w:ilvl="7">
      <w:start w:val="1"/>
      <w:numFmt w:val="decimal"/>
      <w:lvlText w:val="%1.%2.%3.%4.%5.%6.%7.%8."/>
      <w:lvlJc w:val="left"/>
      <w:pPr>
        <w:tabs>
          <w:tab w:val="num" w:pos="4320"/>
        </w:tabs>
        <w:ind w:left="4104" w:hanging="1224"/>
      </w:pPr>
      <w:rPr>
        <w:rFonts w:cs="Times New Roman"/>
      </w:rPr>
    </w:lvl>
    <w:lvl w:ilvl="8">
      <w:numFmt w:val="none"/>
      <w:lvlText w:val=""/>
      <w:lvlJc w:val="left"/>
      <w:pPr>
        <w:tabs>
          <w:tab w:val="num" w:pos="720"/>
        </w:tabs>
      </w:pPr>
      <w:rPr>
        <w:rFonts w:cs="Times New Roman"/>
      </w:rPr>
    </w:lvl>
  </w:abstractNum>
  <w:abstractNum w:abstractNumId="3" w15:restartNumberingAfterBreak="0">
    <w:nsid w:val="48FA6DB1"/>
    <w:multiLevelType w:val="multilevel"/>
    <w:tmpl w:val="4F864406"/>
    <w:lvl w:ilvl="0">
      <w:start w:val="1"/>
      <w:numFmt w:val="decimal"/>
      <w:lvlText w:val="%1."/>
      <w:lvlJc w:val="left"/>
      <w:pPr>
        <w:ind w:left="586" w:hanging="360"/>
      </w:pPr>
      <w:rPr>
        <w:rFonts w:cs="Times New Roman" w:hint="default"/>
      </w:rPr>
    </w:lvl>
    <w:lvl w:ilvl="1">
      <w:start w:val="11"/>
      <w:numFmt w:val="decimal"/>
      <w:isLgl/>
      <w:lvlText w:val="%1.%2"/>
      <w:lvlJc w:val="left"/>
      <w:pPr>
        <w:ind w:left="697" w:hanging="360"/>
      </w:pPr>
      <w:rPr>
        <w:rFonts w:cs="Times New Roman" w:hint="default"/>
      </w:rPr>
    </w:lvl>
    <w:lvl w:ilvl="2">
      <w:start w:val="16"/>
      <w:numFmt w:val="decimal"/>
      <w:isLgl/>
      <w:lvlText w:val="%1.%2.%3"/>
      <w:lvlJc w:val="left"/>
      <w:pPr>
        <w:ind w:left="1168" w:hanging="720"/>
      </w:pPr>
      <w:rPr>
        <w:rFonts w:cs="Times New Roman" w:hint="default"/>
      </w:rPr>
    </w:lvl>
    <w:lvl w:ilvl="3">
      <w:start w:val="1"/>
      <w:numFmt w:val="decimal"/>
      <w:isLgl/>
      <w:lvlText w:val="%1.%2.%3.%4"/>
      <w:lvlJc w:val="left"/>
      <w:pPr>
        <w:ind w:left="1279" w:hanging="720"/>
      </w:pPr>
      <w:rPr>
        <w:rFonts w:cs="Times New Roman" w:hint="default"/>
      </w:rPr>
    </w:lvl>
    <w:lvl w:ilvl="4">
      <w:start w:val="1"/>
      <w:numFmt w:val="decimal"/>
      <w:isLgl/>
      <w:lvlText w:val="%1.%2.%3.%4.%5"/>
      <w:lvlJc w:val="left"/>
      <w:pPr>
        <w:ind w:left="1750" w:hanging="1080"/>
      </w:pPr>
      <w:rPr>
        <w:rFonts w:cs="Times New Roman" w:hint="default"/>
      </w:rPr>
    </w:lvl>
    <w:lvl w:ilvl="5">
      <w:start w:val="1"/>
      <w:numFmt w:val="decimal"/>
      <w:isLgl/>
      <w:lvlText w:val="%1.%2.%3.%4.%5.%6"/>
      <w:lvlJc w:val="left"/>
      <w:pPr>
        <w:ind w:left="1861" w:hanging="1080"/>
      </w:pPr>
      <w:rPr>
        <w:rFonts w:cs="Times New Roman" w:hint="default"/>
      </w:rPr>
    </w:lvl>
    <w:lvl w:ilvl="6">
      <w:start w:val="1"/>
      <w:numFmt w:val="decimal"/>
      <w:isLgl/>
      <w:lvlText w:val="%1.%2.%3.%4.%5.%6.%7"/>
      <w:lvlJc w:val="left"/>
      <w:pPr>
        <w:ind w:left="1972" w:hanging="1080"/>
      </w:pPr>
      <w:rPr>
        <w:rFonts w:cs="Times New Roman" w:hint="default"/>
      </w:rPr>
    </w:lvl>
    <w:lvl w:ilvl="7">
      <w:start w:val="1"/>
      <w:numFmt w:val="decimal"/>
      <w:isLgl/>
      <w:lvlText w:val="%1.%2.%3.%4.%5.%6.%7.%8"/>
      <w:lvlJc w:val="left"/>
      <w:pPr>
        <w:ind w:left="2443" w:hanging="1440"/>
      </w:pPr>
      <w:rPr>
        <w:rFonts w:cs="Times New Roman" w:hint="default"/>
      </w:rPr>
    </w:lvl>
    <w:lvl w:ilvl="8">
      <w:start w:val="1"/>
      <w:numFmt w:val="decimal"/>
      <w:isLgl/>
      <w:lvlText w:val="%1.%2.%3.%4.%5.%6.%7.%8.%9"/>
      <w:lvlJc w:val="left"/>
      <w:pPr>
        <w:ind w:left="2554" w:hanging="1440"/>
      </w:pPr>
      <w:rPr>
        <w:rFonts w:cs="Times New Roman" w:hint="default"/>
      </w:rPr>
    </w:lvl>
  </w:abstractNum>
  <w:abstractNum w:abstractNumId="4" w15:restartNumberingAfterBreak="0">
    <w:nsid w:val="5F0C2BB3"/>
    <w:multiLevelType w:val="hybridMultilevel"/>
    <w:tmpl w:val="1C427BC0"/>
    <w:lvl w:ilvl="0" w:tplc="372622BE">
      <w:start w:val="54"/>
      <w:numFmt w:val="bullet"/>
      <w:lvlText w:val="-"/>
      <w:lvlJc w:val="left"/>
      <w:pPr>
        <w:ind w:left="1334" w:hanging="360"/>
      </w:pPr>
      <w:rPr>
        <w:rFonts w:ascii="David" w:eastAsia="Times New Roman" w:hAnsi="David" w:hint="default"/>
        <w:b/>
      </w:rPr>
    </w:lvl>
    <w:lvl w:ilvl="1" w:tplc="04090003" w:tentative="1">
      <w:start w:val="1"/>
      <w:numFmt w:val="bullet"/>
      <w:lvlText w:val="o"/>
      <w:lvlJc w:val="left"/>
      <w:pPr>
        <w:ind w:left="2054" w:hanging="360"/>
      </w:pPr>
      <w:rPr>
        <w:rFonts w:ascii="Courier New" w:hAnsi="Courier New" w:hint="default"/>
      </w:rPr>
    </w:lvl>
    <w:lvl w:ilvl="2" w:tplc="04090005" w:tentative="1">
      <w:start w:val="1"/>
      <w:numFmt w:val="bullet"/>
      <w:lvlText w:val=""/>
      <w:lvlJc w:val="left"/>
      <w:pPr>
        <w:ind w:left="2774" w:hanging="360"/>
      </w:pPr>
      <w:rPr>
        <w:rFonts w:ascii="Wingdings" w:hAnsi="Wingdings" w:hint="default"/>
      </w:rPr>
    </w:lvl>
    <w:lvl w:ilvl="3" w:tplc="04090001" w:tentative="1">
      <w:start w:val="1"/>
      <w:numFmt w:val="bullet"/>
      <w:lvlText w:val=""/>
      <w:lvlJc w:val="left"/>
      <w:pPr>
        <w:ind w:left="3494" w:hanging="360"/>
      </w:pPr>
      <w:rPr>
        <w:rFonts w:ascii="Symbol" w:hAnsi="Symbol" w:hint="default"/>
      </w:rPr>
    </w:lvl>
    <w:lvl w:ilvl="4" w:tplc="04090003" w:tentative="1">
      <w:start w:val="1"/>
      <w:numFmt w:val="bullet"/>
      <w:lvlText w:val="o"/>
      <w:lvlJc w:val="left"/>
      <w:pPr>
        <w:ind w:left="4214" w:hanging="360"/>
      </w:pPr>
      <w:rPr>
        <w:rFonts w:ascii="Courier New" w:hAnsi="Courier New" w:hint="default"/>
      </w:rPr>
    </w:lvl>
    <w:lvl w:ilvl="5" w:tplc="04090005" w:tentative="1">
      <w:start w:val="1"/>
      <w:numFmt w:val="bullet"/>
      <w:lvlText w:val=""/>
      <w:lvlJc w:val="left"/>
      <w:pPr>
        <w:ind w:left="4934" w:hanging="360"/>
      </w:pPr>
      <w:rPr>
        <w:rFonts w:ascii="Wingdings" w:hAnsi="Wingdings" w:hint="default"/>
      </w:rPr>
    </w:lvl>
    <w:lvl w:ilvl="6" w:tplc="04090001" w:tentative="1">
      <w:start w:val="1"/>
      <w:numFmt w:val="bullet"/>
      <w:lvlText w:val=""/>
      <w:lvlJc w:val="left"/>
      <w:pPr>
        <w:ind w:left="5654" w:hanging="360"/>
      </w:pPr>
      <w:rPr>
        <w:rFonts w:ascii="Symbol" w:hAnsi="Symbol" w:hint="default"/>
      </w:rPr>
    </w:lvl>
    <w:lvl w:ilvl="7" w:tplc="04090003" w:tentative="1">
      <w:start w:val="1"/>
      <w:numFmt w:val="bullet"/>
      <w:lvlText w:val="o"/>
      <w:lvlJc w:val="left"/>
      <w:pPr>
        <w:ind w:left="6374" w:hanging="360"/>
      </w:pPr>
      <w:rPr>
        <w:rFonts w:ascii="Courier New" w:hAnsi="Courier New" w:hint="default"/>
      </w:rPr>
    </w:lvl>
    <w:lvl w:ilvl="8" w:tplc="04090005" w:tentative="1">
      <w:start w:val="1"/>
      <w:numFmt w:val="bullet"/>
      <w:lvlText w:val=""/>
      <w:lvlJc w:val="left"/>
      <w:pPr>
        <w:ind w:left="7094" w:hanging="360"/>
      </w:pPr>
      <w:rPr>
        <w:rFonts w:ascii="Wingdings" w:hAnsi="Wingdings" w:hint="default"/>
      </w:rPr>
    </w:lvl>
  </w:abstractNum>
  <w:abstractNum w:abstractNumId="5" w15:restartNumberingAfterBreak="0">
    <w:nsid w:val="6BDF094A"/>
    <w:multiLevelType w:val="hybridMultilevel"/>
    <w:tmpl w:val="D7C42560"/>
    <w:lvl w:ilvl="0" w:tplc="5C9AE340">
      <w:start w:val="1"/>
      <w:numFmt w:val="decimal"/>
      <w:lvlText w:val="%1."/>
      <w:lvlJc w:val="left"/>
      <w:pPr>
        <w:ind w:left="2610" w:hanging="360"/>
      </w:pPr>
      <w:rPr>
        <w:rFonts w:cs="Times New Roman" w:hint="default"/>
        <w:b w:val="0"/>
        <w:bCs w:val="0"/>
      </w:rPr>
    </w:lvl>
    <w:lvl w:ilvl="1" w:tplc="04090019" w:tentative="1">
      <w:start w:val="1"/>
      <w:numFmt w:val="lowerLetter"/>
      <w:lvlText w:val="%2."/>
      <w:lvlJc w:val="left"/>
      <w:pPr>
        <w:ind w:left="3330" w:hanging="360"/>
      </w:pPr>
      <w:rPr>
        <w:rFonts w:cs="Times New Roman"/>
      </w:rPr>
    </w:lvl>
    <w:lvl w:ilvl="2" w:tplc="0409001B" w:tentative="1">
      <w:start w:val="1"/>
      <w:numFmt w:val="lowerRoman"/>
      <w:lvlText w:val="%3."/>
      <w:lvlJc w:val="right"/>
      <w:pPr>
        <w:ind w:left="4050" w:hanging="180"/>
      </w:pPr>
      <w:rPr>
        <w:rFonts w:cs="Times New Roman"/>
      </w:rPr>
    </w:lvl>
    <w:lvl w:ilvl="3" w:tplc="0409000F" w:tentative="1">
      <w:start w:val="1"/>
      <w:numFmt w:val="decimal"/>
      <w:lvlText w:val="%4."/>
      <w:lvlJc w:val="left"/>
      <w:pPr>
        <w:ind w:left="4770" w:hanging="360"/>
      </w:pPr>
      <w:rPr>
        <w:rFonts w:cs="Times New Roman"/>
      </w:rPr>
    </w:lvl>
    <w:lvl w:ilvl="4" w:tplc="04090019" w:tentative="1">
      <w:start w:val="1"/>
      <w:numFmt w:val="lowerLetter"/>
      <w:lvlText w:val="%5."/>
      <w:lvlJc w:val="left"/>
      <w:pPr>
        <w:ind w:left="5490" w:hanging="360"/>
      </w:pPr>
      <w:rPr>
        <w:rFonts w:cs="Times New Roman"/>
      </w:rPr>
    </w:lvl>
    <w:lvl w:ilvl="5" w:tplc="0409001B" w:tentative="1">
      <w:start w:val="1"/>
      <w:numFmt w:val="lowerRoman"/>
      <w:lvlText w:val="%6."/>
      <w:lvlJc w:val="right"/>
      <w:pPr>
        <w:ind w:left="6210" w:hanging="180"/>
      </w:pPr>
      <w:rPr>
        <w:rFonts w:cs="Times New Roman"/>
      </w:rPr>
    </w:lvl>
    <w:lvl w:ilvl="6" w:tplc="0409000F" w:tentative="1">
      <w:start w:val="1"/>
      <w:numFmt w:val="decimal"/>
      <w:lvlText w:val="%7."/>
      <w:lvlJc w:val="left"/>
      <w:pPr>
        <w:ind w:left="6930" w:hanging="360"/>
      </w:pPr>
      <w:rPr>
        <w:rFonts w:cs="Times New Roman"/>
      </w:rPr>
    </w:lvl>
    <w:lvl w:ilvl="7" w:tplc="04090019" w:tentative="1">
      <w:start w:val="1"/>
      <w:numFmt w:val="lowerLetter"/>
      <w:lvlText w:val="%8."/>
      <w:lvlJc w:val="left"/>
      <w:pPr>
        <w:ind w:left="7650" w:hanging="360"/>
      </w:pPr>
      <w:rPr>
        <w:rFonts w:cs="Times New Roman"/>
      </w:rPr>
    </w:lvl>
    <w:lvl w:ilvl="8" w:tplc="0409001B" w:tentative="1">
      <w:start w:val="1"/>
      <w:numFmt w:val="lowerRoman"/>
      <w:lvlText w:val="%9."/>
      <w:lvlJc w:val="right"/>
      <w:pPr>
        <w:ind w:left="8370" w:hanging="180"/>
      </w:pPr>
      <w:rPr>
        <w:rFonts w:cs="Times New Roman"/>
      </w:rPr>
    </w:lvl>
  </w:abstractNum>
  <w:abstractNum w:abstractNumId="6" w15:restartNumberingAfterBreak="0">
    <w:nsid w:val="7BD9094D"/>
    <w:multiLevelType w:val="hybridMultilevel"/>
    <w:tmpl w:val="1D1ADF94"/>
    <w:lvl w:ilvl="0" w:tplc="88686FD8">
      <w:start w:val="1"/>
      <w:numFmt w:val="hebrew1"/>
      <w:lvlText w:val="%1."/>
      <w:lvlJc w:val="left"/>
      <w:pPr>
        <w:tabs>
          <w:tab w:val="num" w:pos="3580"/>
        </w:tabs>
        <w:ind w:left="3580" w:hanging="720"/>
      </w:pPr>
      <w:rPr>
        <w:rFonts w:cs="Times New Roman" w:hint="cs"/>
      </w:rPr>
    </w:lvl>
    <w:lvl w:ilvl="1" w:tplc="040D0019">
      <w:start w:val="1"/>
      <w:numFmt w:val="lowerLetter"/>
      <w:lvlText w:val="%2."/>
      <w:lvlJc w:val="left"/>
      <w:pPr>
        <w:tabs>
          <w:tab w:val="num" w:pos="3940"/>
        </w:tabs>
        <w:ind w:left="3940" w:hanging="360"/>
      </w:pPr>
      <w:rPr>
        <w:rFonts w:cs="Times New Roman"/>
      </w:rPr>
    </w:lvl>
    <w:lvl w:ilvl="2" w:tplc="040D001B" w:tentative="1">
      <w:start w:val="1"/>
      <w:numFmt w:val="lowerRoman"/>
      <w:lvlText w:val="%3."/>
      <w:lvlJc w:val="right"/>
      <w:pPr>
        <w:tabs>
          <w:tab w:val="num" w:pos="4660"/>
        </w:tabs>
        <w:ind w:left="4660" w:hanging="180"/>
      </w:pPr>
      <w:rPr>
        <w:rFonts w:cs="Times New Roman"/>
      </w:rPr>
    </w:lvl>
    <w:lvl w:ilvl="3" w:tplc="040D000F" w:tentative="1">
      <w:start w:val="1"/>
      <w:numFmt w:val="decimal"/>
      <w:lvlText w:val="%4."/>
      <w:lvlJc w:val="left"/>
      <w:pPr>
        <w:tabs>
          <w:tab w:val="num" w:pos="5380"/>
        </w:tabs>
        <w:ind w:left="5380" w:hanging="360"/>
      </w:pPr>
      <w:rPr>
        <w:rFonts w:cs="Times New Roman"/>
      </w:rPr>
    </w:lvl>
    <w:lvl w:ilvl="4" w:tplc="040D0019" w:tentative="1">
      <w:start w:val="1"/>
      <w:numFmt w:val="lowerLetter"/>
      <w:lvlText w:val="%5."/>
      <w:lvlJc w:val="left"/>
      <w:pPr>
        <w:tabs>
          <w:tab w:val="num" w:pos="6100"/>
        </w:tabs>
        <w:ind w:left="6100" w:hanging="360"/>
      </w:pPr>
      <w:rPr>
        <w:rFonts w:cs="Times New Roman"/>
      </w:rPr>
    </w:lvl>
    <w:lvl w:ilvl="5" w:tplc="040D001B" w:tentative="1">
      <w:start w:val="1"/>
      <w:numFmt w:val="lowerRoman"/>
      <w:lvlText w:val="%6."/>
      <w:lvlJc w:val="right"/>
      <w:pPr>
        <w:tabs>
          <w:tab w:val="num" w:pos="6820"/>
        </w:tabs>
        <w:ind w:left="6820" w:hanging="180"/>
      </w:pPr>
      <w:rPr>
        <w:rFonts w:cs="Times New Roman"/>
      </w:rPr>
    </w:lvl>
    <w:lvl w:ilvl="6" w:tplc="040D000F" w:tentative="1">
      <w:start w:val="1"/>
      <w:numFmt w:val="decimal"/>
      <w:lvlText w:val="%7."/>
      <w:lvlJc w:val="left"/>
      <w:pPr>
        <w:tabs>
          <w:tab w:val="num" w:pos="7540"/>
        </w:tabs>
        <w:ind w:left="7540" w:hanging="360"/>
      </w:pPr>
      <w:rPr>
        <w:rFonts w:cs="Times New Roman"/>
      </w:rPr>
    </w:lvl>
    <w:lvl w:ilvl="7" w:tplc="040D0019" w:tentative="1">
      <w:start w:val="1"/>
      <w:numFmt w:val="lowerLetter"/>
      <w:lvlText w:val="%8."/>
      <w:lvlJc w:val="left"/>
      <w:pPr>
        <w:tabs>
          <w:tab w:val="num" w:pos="8260"/>
        </w:tabs>
        <w:ind w:left="8260" w:hanging="360"/>
      </w:pPr>
      <w:rPr>
        <w:rFonts w:cs="Times New Roman"/>
      </w:rPr>
    </w:lvl>
    <w:lvl w:ilvl="8" w:tplc="040D001B" w:tentative="1">
      <w:start w:val="1"/>
      <w:numFmt w:val="lowerRoman"/>
      <w:lvlText w:val="%9."/>
      <w:lvlJc w:val="right"/>
      <w:pPr>
        <w:tabs>
          <w:tab w:val="num" w:pos="8980"/>
        </w:tabs>
        <w:ind w:left="8980" w:hanging="180"/>
      </w:pPr>
      <w:rPr>
        <w:rFonts w:cs="Times New Roman"/>
      </w:rPr>
    </w:lvl>
  </w:abstractNum>
  <w:num w:numId="1">
    <w:abstractNumId w:val="0"/>
  </w:num>
  <w:num w:numId="2">
    <w:abstractNumId w:val="5"/>
  </w:num>
  <w:num w:numId="3">
    <w:abstractNumId w:val="1"/>
  </w:num>
  <w:num w:numId="4">
    <w:abstractNumId w:val="4"/>
  </w:num>
  <w:num w:numId="5">
    <w:abstractNumId w:val="6"/>
  </w:num>
  <w:num w:numId="6">
    <w:abstractNumId w:val="2"/>
  </w:num>
  <w:num w:numId="7">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defaultTabStop w:val="720"/>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E71"/>
    <w:rsid w:val="00004847"/>
    <w:rsid w:val="00021499"/>
    <w:rsid w:val="00024D4A"/>
    <w:rsid w:val="000319E0"/>
    <w:rsid w:val="00045CF4"/>
    <w:rsid w:val="00073D5E"/>
    <w:rsid w:val="000765DF"/>
    <w:rsid w:val="00086099"/>
    <w:rsid w:val="000916F7"/>
    <w:rsid w:val="00095530"/>
    <w:rsid w:val="000A5CEB"/>
    <w:rsid w:val="000C1CD1"/>
    <w:rsid w:val="000C57EA"/>
    <w:rsid w:val="000D16E9"/>
    <w:rsid w:val="000E789C"/>
    <w:rsid w:val="000E7BF4"/>
    <w:rsid w:val="000F14D4"/>
    <w:rsid w:val="000F6F7C"/>
    <w:rsid w:val="00117F2C"/>
    <w:rsid w:val="00121C00"/>
    <w:rsid w:val="00164CDC"/>
    <w:rsid w:val="00166E74"/>
    <w:rsid w:val="0017017A"/>
    <w:rsid w:val="001705DA"/>
    <w:rsid w:val="00171BD6"/>
    <w:rsid w:val="00173E98"/>
    <w:rsid w:val="00177169"/>
    <w:rsid w:val="00181428"/>
    <w:rsid w:val="001836D7"/>
    <w:rsid w:val="0019517D"/>
    <w:rsid w:val="001B7430"/>
    <w:rsid w:val="001D1380"/>
    <w:rsid w:val="001D504A"/>
    <w:rsid w:val="001D586F"/>
    <w:rsid w:val="001E1A4F"/>
    <w:rsid w:val="001E4F99"/>
    <w:rsid w:val="00200344"/>
    <w:rsid w:val="00206C3A"/>
    <w:rsid w:val="002104DA"/>
    <w:rsid w:val="00217E53"/>
    <w:rsid w:val="00234476"/>
    <w:rsid w:val="00236B20"/>
    <w:rsid w:val="002518F9"/>
    <w:rsid w:val="00260ECB"/>
    <w:rsid w:val="00261691"/>
    <w:rsid w:val="0026186B"/>
    <w:rsid w:val="00293273"/>
    <w:rsid w:val="002953C4"/>
    <w:rsid w:val="002A1C7D"/>
    <w:rsid w:val="002B082A"/>
    <w:rsid w:val="002B16C0"/>
    <w:rsid w:val="002B2ADF"/>
    <w:rsid w:val="002B3B9D"/>
    <w:rsid w:val="002B6A12"/>
    <w:rsid w:val="002D080E"/>
    <w:rsid w:val="002D3FDF"/>
    <w:rsid w:val="002D7E29"/>
    <w:rsid w:val="002E06F3"/>
    <w:rsid w:val="002E2B87"/>
    <w:rsid w:val="002F4A36"/>
    <w:rsid w:val="00303DEB"/>
    <w:rsid w:val="003344EF"/>
    <w:rsid w:val="00354A11"/>
    <w:rsid w:val="00355243"/>
    <w:rsid w:val="00360D6D"/>
    <w:rsid w:val="00373974"/>
    <w:rsid w:val="00374B8F"/>
    <w:rsid w:val="003765C7"/>
    <w:rsid w:val="0038718E"/>
    <w:rsid w:val="003B377B"/>
    <w:rsid w:val="003D4838"/>
    <w:rsid w:val="003D7ED7"/>
    <w:rsid w:val="00400661"/>
    <w:rsid w:val="00426F7E"/>
    <w:rsid w:val="0043225B"/>
    <w:rsid w:val="0043748A"/>
    <w:rsid w:val="00446765"/>
    <w:rsid w:val="00462F91"/>
    <w:rsid w:val="00481166"/>
    <w:rsid w:val="00491A25"/>
    <w:rsid w:val="004931AE"/>
    <w:rsid w:val="004A5F15"/>
    <w:rsid w:val="004A6B10"/>
    <w:rsid w:val="004B1414"/>
    <w:rsid w:val="004E1648"/>
    <w:rsid w:val="004E27A6"/>
    <w:rsid w:val="004E2EC9"/>
    <w:rsid w:val="004F0DF2"/>
    <w:rsid w:val="004F7E53"/>
    <w:rsid w:val="00501933"/>
    <w:rsid w:val="00503A08"/>
    <w:rsid w:val="00523912"/>
    <w:rsid w:val="005324BE"/>
    <w:rsid w:val="005352AE"/>
    <w:rsid w:val="00537A01"/>
    <w:rsid w:val="0057045E"/>
    <w:rsid w:val="00574032"/>
    <w:rsid w:val="00575D1A"/>
    <w:rsid w:val="005760B6"/>
    <w:rsid w:val="00580511"/>
    <w:rsid w:val="00592C88"/>
    <w:rsid w:val="00595107"/>
    <w:rsid w:val="005B4E71"/>
    <w:rsid w:val="005B7995"/>
    <w:rsid w:val="005C0D90"/>
    <w:rsid w:val="005D4D54"/>
    <w:rsid w:val="005D71AF"/>
    <w:rsid w:val="0060732F"/>
    <w:rsid w:val="0060749D"/>
    <w:rsid w:val="00634342"/>
    <w:rsid w:val="0064093F"/>
    <w:rsid w:val="00644176"/>
    <w:rsid w:val="00646C27"/>
    <w:rsid w:val="00653B40"/>
    <w:rsid w:val="00663FC4"/>
    <w:rsid w:val="00672E8C"/>
    <w:rsid w:val="00677A82"/>
    <w:rsid w:val="006845C8"/>
    <w:rsid w:val="00690321"/>
    <w:rsid w:val="0069147B"/>
    <w:rsid w:val="00692CDF"/>
    <w:rsid w:val="00696B92"/>
    <w:rsid w:val="006A1691"/>
    <w:rsid w:val="006B2174"/>
    <w:rsid w:val="006B25CF"/>
    <w:rsid w:val="006B5397"/>
    <w:rsid w:val="006B6F0B"/>
    <w:rsid w:val="006B7A73"/>
    <w:rsid w:val="006D22BC"/>
    <w:rsid w:val="006D469F"/>
    <w:rsid w:val="006F1517"/>
    <w:rsid w:val="00703A9C"/>
    <w:rsid w:val="007223B4"/>
    <w:rsid w:val="00722932"/>
    <w:rsid w:val="007342C7"/>
    <w:rsid w:val="00745FA4"/>
    <w:rsid w:val="00752891"/>
    <w:rsid w:val="007545C4"/>
    <w:rsid w:val="0076218F"/>
    <w:rsid w:val="00762F8E"/>
    <w:rsid w:val="00764080"/>
    <w:rsid w:val="00767599"/>
    <w:rsid w:val="00767B48"/>
    <w:rsid w:val="00783F42"/>
    <w:rsid w:val="0079151F"/>
    <w:rsid w:val="007A1B1C"/>
    <w:rsid w:val="007A5900"/>
    <w:rsid w:val="007A6409"/>
    <w:rsid w:val="007C00B3"/>
    <w:rsid w:val="007C1D67"/>
    <w:rsid w:val="007D426E"/>
    <w:rsid w:val="00815972"/>
    <w:rsid w:val="00822B15"/>
    <w:rsid w:val="00825530"/>
    <w:rsid w:val="0082762F"/>
    <w:rsid w:val="008277A4"/>
    <w:rsid w:val="0087039B"/>
    <w:rsid w:val="008A0504"/>
    <w:rsid w:val="008B4055"/>
    <w:rsid w:val="008B508E"/>
    <w:rsid w:val="008C7365"/>
    <w:rsid w:val="008D28C7"/>
    <w:rsid w:val="008D3073"/>
    <w:rsid w:val="008D3153"/>
    <w:rsid w:val="008D4BFC"/>
    <w:rsid w:val="008E1D54"/>
    <w:rsid w:val="008E3973"/>
    <w:rsid w:val="008F1AE4"/>
    <w:rsid w:val="008F2B0E"/>
    <w:rsid w:val="00901A33"/>
    <w:rsid w:val="00912F96"/>
    <w:rsid w:val="0092123D"/>
    <w:rsid w:val="0092761A"/>
    <w:rsid w:val="00934147"/>
    <w:rsid w:val="00935657"/>
    <w:rsid w:val="00956C59"/>
    <w:rsid w:val="00957243"/>
    <w:rsid w:val="00960E02"/>
    <w:rsid w:val="00964B0D"/>
    <w:rsid w:val="00966EAB"/>
    <w:rsid w:val="009715D7"/>
    <w:rsid w:val="009848B0"/>
    <w:rsid w:val="00985B99"/>
    <w:rsid w:val="00986742"/>
    <w:rsid w:val="009A350B"/>
    <w:rsid w:val="009B1B4D"/>
    <w:rsid w:val="009B7322"/>
    <w:rsid w:val="009C4A8E"/>
    <w:rsid w:val="009D1873"/>
    <w:rsid w:val="009D29E6"/>
    <w:rsid w:val="009D2BE7"/>
    <w:rsid w:val="009D3069"/>
    <w:rsid w:val="009D6D94"/>
    <w:rsid w:val="009E1704"/>
    <w:rsid w:val="009E44B1"/>
    <w:rsid w:val="00A01A78"/>
    <w:rsid w:val="00A105BE"/>
    <w:rsid w:val="00A12BDE"/>
    <w:rsid w:val="00A16559"/>
    <w:rsid w:val="00A23DC7"/>
    <w:rsid w:val="00A3151D"/>
    <w:rsid w:val="00A460C8"/>
    <w:rsid w:val="00A8103F"/>
    <w:rsid w:val="00A82385"/>
    <w:rsid w:val="00AC7EBB"/>
    <w:rsid w:val="00AD3290"/>
    <w:rsid w:val="00AD5378"/>
    <w:rsid w:val="00AE0254"/>
    <w:rsid w:val="00AF5F99"/>
    <w:rsid w:val="00B037D3"/>
    <w:rsid w:val="00B126E1"/>
    <w:rsid w:val="00B13CCB"/>
    <w:rsid w:val="00B14749"/>
    <w:rsid w:val="00B15F3D"/>
    <w:rsid w:val="00B17FC0"/>
    <w:rsid w:val="00B33BB4"/>
    <w:rsid w:val="00B81328"/>
    <w:rsid w:val="00BA4FC6"/>
    <w:rsid w:val="00BB4FE9"/>
    <w:rsid w:val="00BB673A"/>
    <w:rsid w:val="00BC0B31"/>
    <w:rsid w:val="00BC41A8"/>
    <w:rsid w:val="00BC6851"/>
    <w:rsid w:val="00BD33F3"/>
    <w:rsid w:val="00BE19AD"/>
    <w:rsid w:val="00BF6968"/>
    <w:rsid w:val="00C02D74"/>
    <w:rsid w:val="00C045CC"/>
    <w:rsid w:val="00C21354"/>
    <w:rsid w:val="00C232A9"/>
    <w:rsid w:val="00C324AB"/>
    <w:rsid w:val="00C3303D"/>
    <w:rsid w:val="00C41E20"/>
    <w:rsid w:val="00C42782"/>
    <w:rsid w:val="00C5180E"/>
    <w:rsid w:val="00C55929"/>
    <w:rsid w:val="00C6013B"/>
    <w:rsid w:val="00C71EAC"/>
    <w:rsid w:val="00C805D0"/>
    <w:rsid w:val="00C939EC"/>
    <w:rsid w:val="00CB09DA"/>
    <w:rsid w:val="00CB2B5B"/>
    <w:rsid w:val="00CB451D"/>
    <w:rsid w:val="00CB75D9"/>
    <w:rsid w:val="00CB79DF"/>
    <w:rsid w:val="00CC463C"/>
    <w:rsid w:val="00CE03C8"/>
    <w:rsid w:val="00CE7BE8"/>
    <w:rsid w:val="00CF42E7"/>
    <w:rsid w:val="00CF6BBD"/>
    <w:rsid w:val="00D22B2F"/>
    <w:rsid w:val="00D32336"/>
    <w:rsid w:val="00D76C15"/>
    <w:rsid w:val="00DB0310"/>
    <w:rsid w:val="00DF75CE"/>
    <w:rsid w:val="00E126B3"/>
    <w:rsid w:val="00E128E1"/>
    <w:rsid w:val="00E332AC"/>
    <w:rsid w:val="00E4071C"/>
    <w:rsid w:val="00E519EC"/>
    <w:rsid w:val="00E615DD"/>
    <w:rsid w:val="00E61CB9"/>
    <w:rsid w:val="00E640D9"/>
    <w:rsid w:val="00E658C9"/>
    <w:rsid w:val="00E8764E"/>
    <w:rsid w:val="00E87B77"/>
    <w:rsid w:val="00E948FB"/>
    <w:rsid w:val="00E9558F"/>
    <w:rsid w:val="00EB7D53"/>
    <w:rsid w:val="00EC0AC2"/>
    <w:rsid w:val="00ED242B"/>
    <w:rsid w:val="00ED3C19"/>
    <w:rsid w:val="00EE5402"/>
    <w:rsid w:val="00EF4AD4"/>
    <w:rsid w:val="00EF7D08"/>
    <w:rsid w:val="00F159A8"/>
    <w:rsid w:val="00F20667"/>
    <w:rsid w:val="00F45B16"/>
    <w:rsid w:val="00F56FCD"/>
    <w:rsid w:val="00F6064D"/>
    <w:rsid w:val="00F638E1"/>
    <w:rsid w:val="00F66FAD"/>
    <w:rsid w:val="00F719AB"/>
    <w:rsid w:val="00F756EA"/>
    <w:rsid w:val="00F7574C"/>
    <w:rsid w:val="00F76678"/>
    <w:rsid w:val="00F823F3"/>
    <w:rsid w:val="00F84A96"/>
    <w:rsid w:val="00F93EE6"/>
    <w:rsid w:val="00F97A11"/>
    <w:rsid w:val="00FB22C8"/>
    <w:rsid w:val="00FC1D83"/>
    <w:rsid w:val="00FC5512"/>
    <w:rsid w:val="00FD7E47"/>
    <w:rsid w:val="00FE1A18"/>
    <w:rsid w:val="00FE4943"/>
    <w:rsid w:val="00FE5105"/>
    <w:rsid w:val="00FE68F2"/>
    <w:rsid w:val="00FF7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14:defaultImageDpi w14:val="0"/>
  <w15:docId w15:val="{C6BF3623-57F6-4169-BB2B-1144F8481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en-US" w:eastAsia="en-US" w:bidi="he-IL"/>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iPriority="0"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iPriority="0" w:unhideWhenUsed="1"/>
    <w:lsdException w:name="Body Text Indent 3" w:semiHidden="1" w:uiPriority="0"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iPriority="0"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rPr>
      <w:rFonts w:ascii="Times New Roman" w:hAnsi="Times New Roman" w:cs="Times New Roman"/>
      <w:sz w:val="24"/>
      <w:szCs w:val="24"/>
      <w:lang w:eastAsia="he-IL"/>
    </w:rPr>
  </w:style>
  <w:style w:type="paragraph" w:styleId="1">
    <w:name w:val="heading 1"/>
    <w:basedOn w:val="a"/>
    <w:next w:val="a"/>
    <w:link w:val="10"/>
    <w:uiPriority w:val="9"/>
    <w:qFormat/>
    <w:pPr>
      <w:keepNext/>
      <w:outlineLvl w:val="0"/>
    </w:pPr>
    <w:rPr>
      <w:u w:val="single"/>
    </w:rPr>
  </w:style>
  <w:style w:type="paragraph" w:styleId="2">
    <w:name w:val="heading 2"/>
    <w:basedOn w:val="a"/>
    <w:next w:val="a"/>
    <w:link w:val="20"/>
    <w:uiPriority w:val="9"/>
    <w:qFormat/>
    <w:pPr>
      <w:keepNext/>
      <w:outlineLvl w:val="1"/>
    </w:pPr>
    <w:rPr>
      <w:b/>
      <w:bCs/>
    </w:rPr>
  </w:style>
  <w:style w:type="paragraph" w:styleId="3">
    <w:name w:val="heading 3"/>
    <w:basedOn w:val="a"/>
    <w:next w:val="a"/>
    <w:link w:val="30"/>
    <w:uiPriority w:val="9"/>
    <w:qFormat/>
    <w:pPr>
      <w:keepNext/>
      <w:spacing w:after="60"/>
      <w:ind w:left="1440" w:firstLine="720"/>
      <w:jc w:val="center"/>
      <w:outlineLvl w:val="2"/>
    </w:pPr>
    <w:rPr>
      <w:b/>
      <w:bCs/>
    </w:rPr>
  </w:style>
  <w:style w:type="paragraph" w:styleId="4">
    <w:name w:val="heading 4"/>
    <w:basedOn w:val="a"/>
    <w:next w:val="a"/>
    <w:link w:val="40"/>
    <w:uiPriority w:val="9"/>
    <w:qFormat/>
    <w:pPr>
      <w:keepNext/>
      <w:spacing w:after="60"/>
      <w:jc w:val="center"/>
      <w:outlineLvl w:val="3"/>
    </w:pPr>
    <w:rPr>
      <w:b/>
      <w:bCs/>
    </w:rPr>
  </w:style>
  <w:style w:type="paragraph" w:styleId="5">
    <w:name w:val="heading 5"/>
    <w:basedOn w:val="a"/>
    <w:next w:val="a"/>
    <w:link w:val="50"/>
    <w:uiPriority w:val="9"/>
    <w:qFormat/>
    <w:pPr>
      <w:keepNext/>
      <w:spacing w:after="60"/>
      <w:jc w:val="center"/>
      <w:outlineLvl w:val="4"/>
    </w:pPr>
    <w:rPr>
      <w:b/>
      <w:bCs/>
      <w:sz w:val="28"/>
      <w:szCs w:val="28"/>
      <w:u w:val="single"/>
    </w:rPr>
  </w:style>
  <w:style w:type="paragraph" w:styleId="6">
    <w:name w:val="heading 6"/>
    <w:basedOn w:val="a"/>
    <w:next w:val="a"/>
    <w:link w:val="60"/>
    <w:uiPriority w:val="9"/>
    <w:qFormat/>
    <w:pPr>
      <w:keepNext/>
      <w:spacing w:after="60"/>
      <w:jc w:val="both"/>
      <w:outlineLvl w:val="5"/>
    </w:pPr>
    <w:rPr>
      <w:b/>
      <w:bCs/>
      <w:sz w:val="28"/>
      <w:szCs w:val="28"/>
      <w:u w:val="single"/>
    </w:rPr>
  </w:style>
  <w:style w:type="paragraph" w:styleId="7">
    <w:name w:val="heading 7"/>
    <w:basedOn w:val="a"/>
    <w:next w:val="a"/>
    <w:link w:val="70"/>
    <w:uiPriority w:val="99"/>
    <w:qFormat/>
    <w:pPr>
      <w:keepNext/>
      <w:spacing w:after="60"/>
      <w:jc w:val="both"/>
      <w:outlineLvl w:val="6"/>
    </w:pPr>
    <w:rPr>
      <w:b/>
      <w:bCs/>
      <w:u w:val="single"/>
    </w:rPr>
  </w:style>
  <w:style w:type="paragraph" w:styleId="8">
    <w:name w:val="heading 8"/>
    <w:basedOn w:val="a"/>
    <w:next w:val="a"/>
    <w:link w:val="80"/>
    <w:uiPriority w:val="99"/>
    <w:qFormat/>
    <w:pPr>
      <w:keepNext/>
      <w:spacing w:after="60"/>
      <w:ind w:left="360"/>
      <w:jc w:val="both"/>
      <w:outlineLvl w:val="7"/>
    </w:pPr>
    <w:rPr>
      <w:b/>
      <w:bCs/>
      <w:u w:val="single"/>
    </w:rPr>
  </w:style>
  <w:style w:type="paragraph" w:styleId="9">
    <w:name w:val="heading 9"/>
    <w:basedOn w:val="a"/>
    <w:next w:val="a"/>
    <w:link w:val="90"/>
    <w:uiPriority w:val="99"/>
    <w:qFormat/>
    <w:pPr>
      <w:keepNext/>
      <w:spacing w:after="60"/>
      <w:ind w:left="2160" w:right="1260" w:hanging="694"/>
      <w:jc w:val="both"/>
      <w:outlineLvl w:val="8"/>
    </w:pPr>
    <w:rPr>
      <w:b/>
      <w:bCs/>
      <w:u w:val="single"/>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locked/>
    <w:rPr>
      <w:rFonts w:ascii="Calibri Light" w:hAnsi="Calibri Light" w:cs="Times New Roman"/>
      <w:b/>
      <w:kern w:val="32"/>
      <w:sz w:val="32"/>
      <w:lang w:val="x-none" w:eastAsia="he-IL" w:bidi="he-IL"/>
    </w:rPr>
  </w:style>
  <w:style w:type="character" w:customStyle="1" w:styleId="20">
    <w:name w:val="כותרת 2 תו"/>
    <w:basedOn w:val="a0"/>
    <w:link w:val="2"/>
    <w:uiPriority w:val="9"/>
    <w:locked/>
    <w:rPr>
      <w:rFonts w:ascii="Calibri Light" w:hAnsi="Calibri Light" w:cs="Times New Roman"/>
      <w:b/>
      <w:i/>
      <w:sz w:val="28"/>
      <w:lang w:val="x-none" w:eastAsia="he-IL" w:bidi="he-IL"/>
    </w:rPr>
  </w:style>
  <w:style w:type="character" w:customStyle="1" w:styleId="30">
    <w:name w:val="כותרת 3 תו"/>
    <w:basedOn w:val="a0"/>
    <w:link w:val="3"/>
    <w:uiPriority w:val="9"/>
    <w:semiHidden/>
    <w:locked/>
    <w:rPr>
      <w:rFonts w:ascii="Calibri Light" w:hAnsi="Calibri Light" w:cs="Times New Roman"/>
      <w:b/>
      <w:sz w:val="26"/>
      <w:lang w:val="x-none" w:eastAsia="he-IL" w:bidi="he-IL"/>
    </w:rPr>
  </w:style>
  <w:style w:type="character" w:customStyle="1" w:styleId="40">
    <w:name w:val="כותרת 4 תו"/>
    <w:basedOn w:val="a0"/>
    <w:link w:val="4"/>
    <w:uiPriority w:val="9"/>
    <w:semiHidden/>
    <w:locked/>
    <w:rPr>
      <w:rFonts w:cs="Times New Roman"/>
      <w:b/>
      <w:sz w:val="28"/>
      <w:lang w:val="x-none" w:eastAsia="he-IL" w:bidi="he-IL"/>
    </w:rPr>
  </w:style>
  <w:style w:type="character" w:customStyle="1" w:styleId="50">
    <w:name w:val="כותרת 5 תו"/>
    <w:basedOn w:val="a0"/>
    <w:link w:val="5"/>
    <w:uiPriority w:val="9"/>
    <w:semiHidden/>
    <w:locked/>
    <w:rPr>
      <w:rFonts w:cs="Times New Roman"/>
      <w:b/>
      <w:i/>
      <w:sz w:val="26"/>
      <w:lang w:val="x-none" w:eastAsia="he-IL" w:bidi="he-IL"/>
    </w:rPr>
  </w:style>
  <w:style w:type="character" w:customStyle="1" w:styleId="60">
    <w:name w:val="כותרת 6 תו"/>
    <w:basedOn w:val="a0"/>
    <w:link w:val="6"/>
    <w:uiPriority w:val="9"/>
    <w:semiHidden/>
    <w:locked/>
    <w:rPr>
      <w:rFonts w:cs="Times New Roman"/>
      <w:b/>
      <w:lang w:val="x-none" w:eastAsia="he-IL" w:bidi="he-IL"/>
    </w:rPr>
  </w:style>
  <w:style w:type="character" w:customStyle="1" w:styleId="70">
    <w:name w:val="כותרת 7 תו"/>
    <w:basedOn w:val="a0"/>
    <w:link w:val="7"/>
    <w:uiPriority w:val="9"/>
    <w:semiHidden/>
    <w:locked/>
    <w:rPr>
      <w:rFonts w:cs="Times New Roman"/>
      <w:sz w:val="24"/>
      <w:lang w:val="x-none" w:eastAsia="he-IL" w:bidi="he-IL"/>
    </w:rPr>
  </w:style>
  <w:style w:type="character" w:customStyle="1" w:styleId="80">
    <w:name w:val="כותרת 8 תו"/>
    <w:basedOn w:val="a0"/>
    <w:link w:val="8"/>
    <w:uiPriority w:val="9"/>
    <w:semiHidden/>
    <w:locked/>
    <w:rPr>
      <w:rFonts w:cs="Times New Roman"/>
      <w:i/>
      <w:sz w:val="24"/>
      <w:lang w:val="x-none" w:eastAsia="he-IL" w:bidi="he-IL"/>
    </w:rPr>
  </w:style>
  <w:style w:type="character" w:customStyle="1" w:styleId="90">
    <w:name w:val="כותרת 9 תו"/>
    <w:basedOn w:val="a0"/>
    <w:link w:val="9"/>
    <w:uiPriority w:val="9"/>
    <w:semiHidden/>
    <w:locked/>
    <w:rPr>
      <w:rFonts w:ascii="Calibri Light" w:hAnsi="Calibri Light" w:cs="Times New Roman"/>
      <w:lang w:val="x-none" w:eastAsia="he-IL" w:bidi="he-IL"/>
    </w:rPr>
  </w:style>
  <w:style w:type="paragraph" w:styleId="a3">
    <w:name w:val="header"/>
    <w:basedOn w:val="a"/>
    <w:link w:val="a4"/>
    <w:uiPriority w:val="99"/>
    <w:pPr>
      <w:tabs>
        <w:tab w:val="center" w:pos="4153"/>
        <w:tab w:val="right" w:pos="8306"/>
      </w:tabs>
    </w:pPr>
  </w:style>
  <w:style w:type="character" w:customStyle="1" w:styleId="a4">
    <w:name w:val="כותרת עליונה תו"/>
    <w:basedOn w:val="a0"/>
    <w:link w:val="a3"/>
    <w:uiPriority w:val="99"/>
    <w:locked/>
    <w:rPr>
      <w:rFonts w:ascii="Times New Roman" w:hAnsi="Times New Roman" w:cs="Times New Roman"/>
      <w:sz w:val="24"/>
      <w:lang w:val="x-none" w:eastAsia="he-IL" w:bidi="he-IL"/>
    </w:rPr>
  </w:style>
  <w:style w:type="paragraph" w:styleId="a5">
    <w:name w:val="footer"/>
    <w:basedOn w:val="a"/>
    <w:link w:val="a6"/>
    <w:uiPriority w:val="99"/>
    <w:pPr>
      <w:tabs>
        <w:tab w:val="center" w:pos="4153"/>
        <w:tab w:val="right" w:pos="8306"/>
      </w:tabs>
    </w:pPr>
  </w:style>
  <w:style w:type="character" w:customStyle="1" w:styleId="a6">
    <w:name w:val="כותרת תחתונה תו"/>
    <w:basedOn w:val="a0"/>
    <w:link w:val="a5"/>
    <w:uiPriority w:val="99"/>
    <w:locked/>
    <w:rPr>
      <w:rFonts w:ascii="Times New Roman" w:hAnsi="Times New Roman" w:cs="Times New Roman"/>
      <w:sz w:val="24"/>
      <w:lang w:val="x-none" w:eastAsia="he-IL" w:bidi="he-IL"/>
    </w:rPr>
  </w:style>
  <w:style w:type="character" w:styleId="a7">
    <w:name w:val="page number"/>
    <w:basedOn w:val="a0"/>
    <w:uiPriority w:val="99"/>
    <w:rPr>
      <w:rFonts w:cs="Times New Roman"/>
    </w:rPr>
  </w:style>
  <w:style w:type="paragraph" w:styleId="a8">
    <w:name w:val="Body Text"/>
    <w:basedOn w:val="a"/>
    <w:link w:val="a9"/>
    <w:uiPriority w:val="99"/>
    <w:pPr>
      <w:spacing w:after="60"/>
      <w:jc w:val="both"/>
    </w:pPr>
  </w:style>
  <w:style w:type="character" w:customStyle="1" w:styleId="a9">
    <w:name w:val="גוף טקסט תו"/>
    <w:basedOn w:val="a0"/>
    <w:link w:val="a8"/>
    <w:uiPriority w:val="99"/>
    <w:semiHidden/>
    <w:locked/>
    <w:rPr>
      <w:rFonts w:ascii="Times New Roman" w:hAnsi="Times New Roman" w:cs="Times New Roman"/>
      <w:sz w:val="24"/>
      <w:lang w:val="x-none" w:eastAsia="he-IL" w:bidi="he-IL"/>
    </w:rPr>
  </w:style>
  <w:style w:type="paragraph" w:styleId="aa">
    <w:name w:val="footnote text"/>
    <w:basedOn w:val="a"/>
    <w:link w:val="ab"/>
    <w:uiPriority w:val="99"/>
    <w:rPr>
      <w:sz w:val="20"/>
      <w:szCs w:val="20"/>
    </w:rPr>
  </w:style>
  <w:style w:type="character" w:customStyle="1" w:styleId="ab">
    <w:name w:val="טקסט הערת שוליים תו"/>
    <w:basedOn w:val="a0"/>
    <w:link w:val="aa"/>
    <w:uiPriority w:val="99"/>
    <w:locked/>
    <w:rPr>
      <w:rFonts w:ascii="Times New Roman" w:hAnsi="Times New Roman" w:cs="Times New Roman"/>
      <w:sz w:val="20"/>
      <w:lang w:val="x-none" w:eastAsia="he-IL" w:bidi="he-IL"/>
    </w:rPr>
  </w:style>
  <w:style w:type="character" w:styleId="ac">
    <w:name w:val="footnote reference"/>
    <w:basedOn w:val="a0"/>
    <w:uiPriority w:val="99"/>
    <w:rPr>
      <w:rFonts w:cs="Times New Roman"/>
      <w:vertAlign w:val="superscript"/>
    </w:rPr>
  </w:style>
  <w:style w:type="paragraph" w:styleId="21">
    <w:name w:val="Body Text 2"/>
    <w:basedOn w:val="a"/>
    <w:link w:val="22"/>
    <w:uiPriority w:val="99"/>
    <w:pPr>
      <w:spacing w:after="60"/>
      <w:jc w:val="both"/>
    </w:pPr>
    <w:rPr>
      <w:b/>
      <w:bCs/>
      <w:u w:val="single"/>
    </w:rPr>
  </w:style>
  <w:style w:type="character" w:customStyle="1" w:styleId="22">
    <w:name w:val="גוף טקסט 2 תו"/>
    <w:basedOn w:val="a0"/>
    <w:link w:val="21"/>
    <w:uiPriority w:val="99"/>
    <w:semiHidden/>
    <w:locked/>
    <w:rPr>
      <w:rFonts w:ascii="Times New Roman" w:hAnsi="Times New Roman" w:cs="Times New Roman"/>
      <w:sz w:val="24"/>
      <w:lang w:val="x-none" w:eastAsia="he-IL" w:bidi="he-IL"/>
    </w:rPr>
  </w:style>
  <w:style w:type="paragraph" w:styleId="ad">
    <w:name w:val="Block Text"/>
    <w:basedOn w:val="a"/>
    <w:uiPriority w:val="99"/>
    <w:pPr>
      <w:spacing w:after="60"/>
      <w:ind w:left="1466" w:right="1260"/>
      <w:jc w:val="both"/>
    </w:pPr>
    <w:rPr>
      <w:b/>
      <w:bCs/>
      <w:i/>
      <w:iCs/>
    </w:rPr>
  </w:style>
  <w:style w:type="paragraph" w:customStyle="1" w:styleId="11">
    <w:name w:val="סגנון1"/>
    <w:basedOn w:val="a"/>
    <w:rsid w:val="00AF5F99"/>
    <w:rPr>
      <w:rFonts w:cs="David"/>
      <w:sz w:val="20"/>
    </w:rPr>
  </w:style>
  <w:style w:type="paragraph" w:customStyle="1" w:styleId="41">
    <w:name w:val="סרגל4"/>
    <w:basedOn w:val="a"/>
    <w:rsid w:val="00AF5F99"/>
    <w:pPr>
      <w:tabs>
        <w:tab w:val="left" w:pos="942"/>
      </w:tabs>
      <w:spacing w:before="120"/>
      <w:ind w:left="1361" w:hanging="851"/>
      <w:jc w:val="both"/>
    </w:pPr>
    <w:rPr>
      <w:rFonts w:cs="David"/>
      <w:sz w:val="20"/>
    </w:rPr>
  </w:style>
  <w:style w:type="paragraph" w:styleId="ae">
    <w:name w:val="List Paragraph"/>
    <w:basedOn w:val="a"/>
    <w:uiPriority w:val="34"/>
    <w:qFormat/>
    <w:rsid w:val="00985B99"/>
    <w:pPr>
      <w:spacing w:after="120" w:line="276" w:lineRule="auto"/>
      <w:ind w:left="720"/>
      <w:contextualSpacing/>
    </w:pPr>
    <w:rPr>
      <w:rFonts w:ascii="Calibri" w:hAnsi="Calibri" w:cs="Arial"/>
      <w:sz w:val="22"/>
      <w:szCs w:val="22"/>
      <w:lang w:eastAsia="en-US"/>
    </w:rPr>
  </w:style>
  <w:style w:type="paragraph" w:customStyle="1" w:styleId="wsubclausewrapper">
    <w:name w:val="wsubclausewrapper"/>
    <w:basedOn w:val="a"/>
    <w:rsid w:val="00985B99"/>
    <w:pPr>
      <w:spacing w:before="150" w:after="150" w:line="360" w:lineRule="auto"/>
      <w:jc w:val="both"/>
    </w:pPr>
    <w:rPr>
      <w:lang w:eastAsia="en-US"/>
    </w:rPr>
  </w:style>
  <w:style w:type="character" w:customStyle="1" w:styleId="wsubclausecontent1">
    <w:name w:val="wsubclausecontent1"/>
    <w:rsid w:val="00985B99"/>
  </w:style>
  <w:style w:type="character" w:customStyle="1" w:styleId="wsubclausecaption1">
    <w:name w:val="wsubclausecaption1"/>
    <w:rsid w:val="00985B99"/>
  </w:style>
  <w:style w:type="paragraph" w:customStyle="1" w:styleId="12">
    <w:name w:val="סרגל1"/>
    <w:basedOn w:val="a"/>
    <w:rsid w:val="00FD7E47"/>
    <w:pPr>
      <w:spacing w:before="120"/>
      <w:ind w:left="85" w:firstLine="425"/>
      <w:jc w:val="both"/>
    </w:pPr>
    <w:rPr>
      <w:rFonts w:cs="David"/>
      <w:sz w:val="20"/>
    </w:rPr>
  </w:style>
  <w:style w:type="character" w:customStyle="1" w:styleId="emailstyle17">
    <w:name w:val="emailstyle17"/>
    <w:rsid w:val="00EC0AC2"/>
    <w:rPr>
      <w:rFonts w:ascii="Arial" w:hAnsi="Arial"/>
      <w:color w:val="000000"/>
      <w:sz w:val="20"/>
    </w:rPr>
  </w:style>
  <w:style w:type="paragraph" w:styleId="23">
    <w:name w:val="Body Text Indent 2"/>
    <w:basedOn w:val="a"/>
    <w:link w:val="24"/>
    <w:uiPriority w:val="99"/>
    <w:rsid w:val="00EC0AC2"/>
    <w:pPr>
      <w:tabs>
        <w:tab w:val="left" w:pos="390"/>
      </w:tabs>
      <w:spacing w:after="240" w:line="360" w:lineRule="auto"/>
      <w:ind w:left="390"/>
      <w:jc w:val="both"/>
    </w:pPr>
    <w:rPr>
      <w:rFonts w:cs="David"/>
      <w:sz w:val="22"/>
    </w:rPr>
  </w:style>
  <w:style w:type="character" w:customStyle="1" w:styleId="24">
    <w:name w:val="כניסה בגוף טקסט 2 תו"/>
    <w:basedOn w:val="a0"/>
    <w:link w:val="23"/>
    <w:uiPriority w:val="99"/>
    <w:locked/>
    <w:rsid w:val="00EC0AC2"/>
    <w:rPr>
      <w:rFonts w:ascii="Times New Roman" w:hAnsi="Times New Roman" w:cs="Times New Roman"/>
      <w:sz w:val="24"/>
      <w:lang w:val="x-none" w:eastAsia="he-IL" w:bidi="he-IL"/>
    </w:rPr>
  </w:style>
  <w:style w:type="paragraph" w:styleId="31">
    <w:name w:val="Body Text Indent 3"/>
    <w:basedOn w:val="a"/>
    <w:link w:val="32"/>
    <w:uiPriority w:val="99"/>
    <w:rsid w:val="00EC0AC2"/>
    <w:pPr>
      <w:tabs>
        <w:tab w:val="left" w:pos="566"/>
      </w:tabs>
      <w:spacing w:line="360" w:lineRule="auto"/>
      <w:ind w:left="26"/>
      <w:jc w:val="both"/>
    </w:pPr>
    <w:rPr>
      <w:rFonts w:cs="David"/>
      <w:b/>
      <w:bCs/>
    </w:rPr>
  </w:style>
  <w:style w:type="character" w:customStyle="1" w:styleId="32">
    <w:name w:val="כניסה בגוף טקסט 3 תו"/>
    <w:basedOn w:val="a0"/>
    <w:link w:val="31"/>
    <w:uiPriority w:val="99"/>
    <w:locked/>
    <w:rsid w:val="00EC0AC2"/>
    <w:rPr>
      <w:rFonts w:ascii="Times New Roman" w:hAnsi="Times New Roman" w:cs="Times New Roman"/>
      <w:b/>
      <w:sz w:val="24"/>
      <w:lang w:val="x-none" w:eastAsia="he-IL" w:bidi="he-IL"/>
    </w:rPr>
  </w:style>
  <w:style w:type="paragraph" w:customStyle="1" w:styleId="25">
    <w:name w:val="סרגל2"/>
    <w:basedOn w:val="a"/>
    <w:rsid w:val="00EC0AC2"/>
    <w:pPr>
      <w:spacing w:before="240"/>
      <w:ind w:left="510" w:right="510" w:hanging="425"/>
      <w:jc w:val="both"/>
    </w:pPr>
    <w:rPr>
      <w:rFonts w:cs="David"/>
      <w:noProof/>
      <w:sz w:val="20"/>
    </w:rPr>
  </w:style>
  <w:style w:type="paragraph" w:styleId="af">
    <w:name w:val="Balloon Text"/>
    <w:basedOn w:val="a"/>
    <w:link w:val="af0"/>
    <w:uiPriority w:val="99"/>
    <w:semiHidden/>
    <w:rsid w:val="00EC0AC2"/>
    <w:rPr>
      <w:rFonts w:ascii="Tahoma" w:hAnsi="Tahoma" w:cs="Tahoma"/>
      <w:sz w:val="16"/>
      <w:szCs w:val="16"/>
    </w:rPr>
  </w:style>
  <w:style w:type="character" w:customStyle="1" w:styleId="af0">
    <w:name w:val="טקסט בלונים תו"/>
    <w:basedOn w:val="a0"/>
    <w:link w:val="af"/>
    <w:uiPriority w:val="99"/>
    <w:semiHidden/>
    <w:locked/>
    <w:rsid w:val="00EC0AC2"/>
    <w:rPr>
      <w:rFonts w:ascii="Tahoma" w:hAnsi="Tahoma" w:cs="Times New Roman"/>
      <w:sz w:val="16"/>
      <w:lang w:val="x-none" w:eastAsia="he-IL" w:bidi="he-IL"/>
    </w:rPr>
  </w:style>
  <w:style w:type="character" w:customStyle="1" w:styleId="EmailStyle24">
    <w:name w:val="EmailStyle24"/>
    <w:semiHidden/>
    <w:rsid w:val="00EC0AC2"/>
    <w:rPr>
      <w:rFonts w:ascii="Arial" w:hAnsi="Arial"/>
      <w:color w:val="000080"/>
      <w:sz w:val="20"/>
    </w:rPr>
  </w:style>
  <w:style w:type="character" w:styleId="af1">
    <w:name w:val="annotation reference"/>
    <w:basedOn w:val="a0"/>
    <w:uiPriority w:val="99"/>
    <w:rsid w:val="00EC0AC2"/>
    <w:rPr>
      <w:rFonts w:cs="Times New Roman"/>
      <w:sz w:val="16"/>
    </w:rPr>
  </w:style>
  <w:style w:type="paragraph" w:styleId="af2">
    <w:name w:val="annotation text"/>
    <w:basedOn w:val="a"/>
    <w:link w:val="af3"/>
    <w:uiPriority w:val="99"/>
    <w:rsid w:val="00EC0AC2"/>
    <w:rPr>
      <w:sz w:val="20"/>
      <w:szCs w:val="20"/>
    </w:rPr>
  </w:style>
  <w:style w:type="character" w:customStyle="1" w:styleId="af3">
    <w:name w:val="טקסט הערה תו"/>
    <w:basedOn w:val="a0"/>
    <w:link w:val="af2"/>
    <w:uiPriority w:val="99"/>
    <w:locked/>
    <w:rsid w:val="00EC0AC2"/>
    <w:rPr>
      <w:rFonts w:ascii="Times New Roman" w:hAnsi="Times New Roman" w:cs="Times New Roman"/>
      <w:lang w:val="x-none" w:eastAsia="he-IL" w:bidi="he-IL"/>
    </w:rPr>
  </w:style>
  <w:style w:type="paragraph" w:styleId="af4">
    <w:name w:val="annotation subject"/>
    <w:basedOn w:val="af2"/>
    <w:next w:val="af2"/>
    <w:link w:val="af5"/>
    <w:uiPriority w:val="99"/>
    <w:rsid w:val="00EC0AC2"/>
    <w:rPr>
      <w:b/>
      <w:bCs/>
    </w:rPr>
  </w:style>
  <w:style w:type="character" w:customStyle="1" w:styleId="af5">
    <w:name w:val="נושא הערה תו"/>
    <w:basedOn w:val="af3"/>
    <w:link w:val="af4"/>
    <w:uiPriority w:val="99"/>
    <w:locked/>
    <w:rsid w:val="00EC0AC2"/>
    <w:rPr>
      <w:rFonts w:ascii="Times New Roman" w:hAnsi="Times New Roman" w:cs="Times New Roman"/>
      <w:b/>
      <w:lang w:val="x-none" w:eastAsia="he-IL" w:bidi="he-IL"/>
    </w:rPr>
  </w:style>
  <w:style w:type="paragraph" w:customStyle="1" w:styleId="wkoteretseif">
    <w:name w:val="wkoteretseif"/>
    <w:basedOn w:val="a"/>
    <w:rsid w:val="00EC0AC2"/>
    <w:pPr>
      <w:spacing w:before="300" w:after="150"/>
    </w:pPr>
    <w:rPr>
      <w:b/>
      <w:bCs/>
      <w:sz w:val="27"/>
      <w:szCs w:val="27"/>
      <w:lang w:eastAsia="en-US"/>
    </w:rPr>
  </w:style>
  <w:style w:type="character" w:styleId="Hyperlink">
    <w:name w:val="Hyperlink"/>
    <w:basedOn w:val="a0"/>
    <w:uiPriority w:val="99"/>
    <w:rsid w:val="00EC0AC2"/>
    <w:rPr>
      <w:rFonts w:cs="Times New Roman"/>
      <w:color w:val="0000FF"/>
      <w:u w:val="single"/>
    </w:rPr>
  </w:style>
  <w:style w:type="paragraph" w:styleId="af6">
    <w:name w:val="Revision"/>
    <w:hidden/>
    <w:uiPriority w:val="99"/>
    <w:semiHidden/>
    <w:rsid w:val="00EC0AC2"/>
    <w:rPr>
      <w:rFonts w:ascii="Times New Roman" w:hAnsi="Times New Roman" w:cs="Times New Roman"/>
      <w:sz w:val="24"/>
      <w:szCs w:val="24"/>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872544">
      <w:marLeft w:val="0"/>
      <w:marRight w:val="0"/>
      <w:marTop w:val="0"/>
      <w:marBottom w:val="0"/>
      <w:divBdr>
        <w:top w:val="none" w:sz="0" w:space="0" w:color="auto"/>
        <w:left w:val="none" w:sz="0" w:space="0" w:color="auto"/>
        <w:bottom w:val="none" w:sz="0" w:space="0" w:color="auto"/>
        <w:right w:val="none" w:sz="0" w:space="0" w:color="auto"/>
      </w:divBdr>
    </w:div>
    <w:div w:id="169872545">
      <w:marLeft w:val="0"/>
      <w:marRight w:val="0"/>
      <w:marTop w:val="0"/>
      <w:marBottom w:val="0"/>
      <w:divBdr>
        <w:top w:val="none" w:sz="0" w:space="0" w:color="auto"/>
        <w:left w:val="none" w:sz="0" w:space="0" w:color="auto"/>
        <w:bottom w:val="none" w:sz="0" w:space="0" w:color="auto"/>
        <w:right w:val="none" w:sz="0" w:space="0" w:color="auto"/>
      </w:divBdr>
    </w:div>
    <w:div w:id="169872546">
      <w:marLeft w:val="0"/>
      <w:marRight w:val="0"/>
      <w:marTop w:val="0"/>
      <w:marBottom w:val="0"/>
      <w:divBdr>
        <w:top w:val="none" w:sz="0" w:space="0" w:color="auto"/>
        <w:left w:val="none" w:sz="0" w:space="0" w:color="auto"/>
        <w:bottom w:val="none" w:sz="0" w:space="0" w:color="auto"/>
        <w:right w:val="none" w:sz="0" w:space="0" w:color="auto"/>
      </w:divBdr>
    </w:div>
    <w:div w:id="169872547">
      <w:marLeft w:val="0"/>
      <w:marRight w:val="0"/>
      <w:marTop w:val="0"/>
      <w:marBottom w:val="0"/>
      <w:divBdr>
        <w:top w:val="none" w:sz="0" w:space="0" w:color="auto"/>
        <w:left w:val="none" w:sz="0" w:space="0" w:color="auto"/>
        <w:bottom w:val="none" w:sz="0" w:space="0" w:color="auto"/>
        <w:right w:val="none" w:sz="0" w:space="0" w:color="auto"/>
      </w:divBdr>
    </w:div>
    <w:div w:id="169872548">
      <w:marLeft w:val="0"/>
      <w:marRight w:val="0"/>
      <w:marTop w:val="0"/>
      <w:marBottom w:val="0"/>
      <w:divBdr>
        <w:top w:val="none" w:sz="0" w:space="0" w:color="auto"/>
        <w:left w:val="none" w:sz="0" w:space="0" w:color="auto"/>
        <w:bottom w:val="none" w:sz="0" w:space="0" w:color="auto"/>
        <w:right w:val="none" w:sz="0" w:space="0" w:color="auto"/>
      </w:divBdr>
    </w:div>
    <w:div w:id="169872549">
      <w:marLeft w:val="0"/>
      <w:marRight w:val="0"/>
      <w:marTop w:val="0"/>
      <w:marBottom w:val="0"/>
      <w:divBdr>
        <w:top w:val="none" w:sz="0" w:space="0" w:color="auto"/>
        <w:left w:val="none" w:sz="0" w:space="0" w:color="auto"/>
        <w:bottom w:val="none" w:sz="0" w:space="0" w:color="auto"/>
        <w:right w:val="none" w:sz="0" w:space="0" w:color="auto"/>
      </w:divBdr>
    </w:div>
    <w:div w:id="169872550">
      <w:marLeft w:val="0"/>
      <w:marRight w:val="0"/>
      <w:marTop w:val="0"/>
      <w:marBottom w:val="0"/>
      <w:divBdr>
        <w:top w:val="none" w:sz="0" w:space="0" w:color="auto"/>
        <w:left w:val="none" w:sz="0" w:space="0" w:color="auto"/>
        <w:bottom w:val="none" w:sz="0" w:space="0" w:color="auto"/>
        <w:right w:val="none" w:sz="0" w:space="0" w:color="auto"/>
      </w:divBdr>
    </w:div>
    <w:div w:id="169872551">
      <w:marLeft w:val="0"/>
      <w:marRight w:val="0"/>
      <w:marTop w:val="0"/>
      <w:marBottom w:val="0"/>
      <w:divBdr>
        <w:top w:val="none" w:sz="0" w:space="0" w:color="auto"/>
        <w:left w:val="none" w:sz="0" w:space="0" w:color="auto"/>
        <w:bottom w:val="none" w:sz="0" w:space="0" w:color="auto"/>
        <w:right w:val="none" w:sz="0" w:space="0" w:color="auto"/>
      </w:divBdr>
    </w:div>
    <w:div w:id="16987255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wdata.co.il/lawdata/OpenDocFromLink.asp?Tik=2340&amp;Tik_Ref=02&amp;Tik_Type=132&amp;zad=&#1492;&#1493;&#1493;&#1506;&#1491;&#1492;%20&#1492;&#1502;&#1511;&#1493;&#1502;&#1497;&#1514;&amp;T=8&amp;FromWord=1" TargetMode="External"/><Relationship Id="rId13" Type="http://schemas.openxmlformats.org/officeDocument/2006/relationships/hyperlink" Target="http://www.lawdata.co.il/lawdata/OpenDocFromLink.asp?hokNm=&#1495;&#1493;&#1511;%20&#1513;&#1497;&#1512;&#1493;&#1514;%20&#1492;&#1502;&#1491;&#1497;&#1504;&#1492;%20(&#1490;&#1497;&#1502;&#1500;&#1488;&#1493;&#1514;)%20%5b&#1504;&#1493;&#1505;&#1495;%20&#1502;&#1513;&#1493;&#1500;&#1489;%5d,%20&#1492;&#1514;&#1513;|&#1500;-1970&amp;T=4&amp;FromWord=1&amp;Seif="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www.lawdata.co.il/lawdata/OpenDocFromLink.asp?Tik=14039-07&amp;Tik_Ref=11&amp;Tik_Type=8&amp;zad=&#1495;&#1504;&#1492;%20&#1505;&#1493;&#1500;&#1496;&#1504;&#1497;&amp;T=8&amp;FromWord=1" TargetMode="External"/><Relationship Id="rId2" Type="http://schemas.openxmlformats.org/officeDocument/2006/relationships/numbering" Target="numbering.xml"/><Relationship Id="rId16" Type="http://schemas.openxmlformats.org/officeDocument/2006/relationships/hyperlink" Target="http://www.lawdata.co.il/lawdata/OpenDocFromLink.asp?Tik=360&amp;Tik_Ref=99&amp;Tik_Type=8&amp;zad=&#1502;&#1491;&#1497;&#1504;&#1514;%20&#1497;&#1513;&#1512;&#1488;&#1500;&amp;T=8&amp;FromWord=1"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wdata.co.il/lawdata/OpenDocFromLink.asp?Tik=735&amp;Tik_Ref=07&amp;Tik_Type=6&amp;zad=&#1510;&#1502;&#1512;&#1493;&#1514;%20&#1495;&#1489;&#1512;&#1492;&amp;T=8&amp;FromWord=1" TargetMode="External"/><Relationship Id="rId5" Type="http://schemas.openxmlformats.org/officeDocument/2006/relationships/webSettings" Target="webSettings.xml"/><Relationship Id="rId15" Type="http://schemas.openxmlformats.org/officeDocument/2006/relationships/hyperlink" Target="http://www.lawdata.co.il/lawdata/OpenDocFromLink.asp?Tik=1029&amp;Tik_Ref=04&amp;Tik_Type=8&amp;zad=&#1506;&#1502;&#1504;&#1493;&#1488;&#1500;%20&#1491;&#1493;&#1512;&#1504;&#1513;&#1496;&#1497;&#1497;&#1503;&amp;T=8&amp;FromWord=1" TargetMode="External"/><Relationship Id="rId10" Type="http://schemas.openxmlformats.org/officeDocument/2006/relationships/hyperlink" Target="http://www.lawdata.co.il/lawdata/OpenDocFromLink.asp?hokNm=&#1495;&#1493;&#1511;%20&#1492;&#1492;&#1514;&#1497;&#1497;&#1513;&#1504;&#1493;&#1514;,%20&#1492;&#1514;&#1513;&#1497;|&#1495;-1958&amp;T=4&amp;FromWord=1&amp;Sei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awdata.co.il/lawdata/OpenDocFromLink.asp?hokNm=&#1495;&#1493;&#1511;%20&#1492;&#1492;&#1514;&#1497;&#1497;&#1513;&#1504;&#1493;&#1514;,%20&#1492;&#1514;&#1513;&#1497;|&#1495;-1958&amp;T=4&amp;FromWord=1&amp;Seif=6" TargetMode="External"/><Relationship Id="rId14" Type="http://schemas.openxmlformats.org/officeDocument/2006/relationships/hyperlink" Target="http://www.lawdata.co.il/lawdata/OpenDocFromLink.asp?hokNm=&#1495;&#1493;&#1511;%20&#1513;&#1497;&#1512;&#1493;&#1514;%20&#1492;&#1502;&#1491;&#1497;&#1504;&#1492;%20(&#1502;&#1497;&#1504;&#1493;&#1497;&#1497;&#1501;),%20&#1492;&#1514;&#1513;&#1497;|&#1496;-1959&amp;T=4&amp;FromWord=1&amp;Sei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Templates\%3f%3f%3f%20%3f%3f-%3f%3f%3f.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7773A8-0C7F-4EB7-8ADE-AB3783065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??-???.dot</Template>
  <TotalTime>0</TotalTime>
  <Pages>28</Pages>
  <Words>9396</Words>
  <Characters>46983</Characters>
  <Application>Microsoft Office Word</Application>
  <DocSecurity>0</DocSecurity>
  <Lines>391</Lines>
  <Paragraphs>112</Paragraphs>
  <ScaleCrop>false</ScaleCrop>
  <HeadingPairs>
    <vt:vector size="2" baseType="variant">
      <vt:variant>
        <vt:lpstr>שם</vt:lpstr>
      </vt:variant>
      <vt:variant>
        <vt:i4>1</vt:i4>
      </vt:variant>
    </vt:vector>
  </HeadingPairs>
  <TitlesOfParts>
    <vt:vector size="1" baseType="lpstr">
      <vt:lpstr>בבית הדין הארצי לעבודה</vt:lpstr>
    </vt:vector>
  </TitlesOfParts>
  <Company/>
  <LinksUpToDate>false</LinksUpToDate>
  <CharactersWithSpaces>56267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בבית הדין הארצי לעבודה</dc:title>
  <dc:subject/>
  <dc:creator>user</dc:creator>
  <cp:keywords/>
  <dc:description/>
  <cp:lastModifiedBy>חשבון Microsoft</cp:lastModifiedBy>
  <cp:revision>2</cp:revision>
  <cp:lastPrinted>2020-06-30T15:47:00Z</cp:lastPrinted>
  <dcterms:created xsi:type="dcterms:W3CDTF">2026-02-04T17:23:00Z</dcterms:created>
  <dcterms:modified xsi:type="dcterms:W3CDTF">2026-02-04T17:23:00Z</dcterms:modified>
</cp:coreProperties>
</file>