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99DD" w14:textId="77777777" w:rsidR="00116246" w:rsidRPr="00116246" w:rsidRDefault="00116246" w:rsidP="00116246">
      <w:pPr>
        <w:numPr>
          <w:ilvl w:val="0"/>
          <w:numId w:val="1"/>
        </w:numPr>
        <w:spacing w:after="0" w:line="360" w:lineRule="auto"/>
        <w:ind w:left="793"/>
        <w:contextualSpacing/>
        <w:jc w:val="both"/>
        <w:rPr>
          <w:rFonts w:ascii="David" w:eastAsia="Calibri" w:hAnsi="David" w:cs="David"/>
          <w:sz w:val="24"/>
          <w:szCs w:val="24"/>
          <w:u w:val="single"/>
        </w:rPr>
      </w:pPr>
      <w:r w:rsidRPr="00116246">
        <w:rPr>
          <w:rFonts w:ascii="David" w:eastAsia="Calibri" w:hAnsi="David" w:cs="David" w:hint="cs"/>
          <w:sz w:val="24"/>
          <w:szCs w:val="24"/>
          <w:u w:val="single"/>
          <w:rtl/>
        </w:rPr>
        <w:t>סעד הצהרתי</w:t>
      </w:r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7B5BA2DA" w14:textId="77777777" w:rsidR="00116246" w:rsidRPr="00116246" w:rsidRDefault="00116246" w:rsidP="00116246">
      <w:pPr>
        <w:spacing w:after="0" w:line="360" w:lineRule="auto"/>
        <w:ind w:left="793"/>
        <w:contextualSpacing/>
        <w:jc w:val="both"/>
        <w:rPr>
          <w:rFonts w:ascii="David" w:eastAsia="Calibri" w:hAnsi="David" w:cs="David"/>
          <w:sz w:val="24"/>
          <w:szCs w:val="24"/>
          <w:u w:val="single"/>
        </w:rPr>
      </w:pPr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התובע זכאי היה, החל ממועד הוצאתו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לגימלאות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 ב.31.7.2012 לקבל</w:t>
      </w:r>
      <w:r w:rsidRPr="00116246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גימלה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 חודשית כדלקמן:</w:t>
      </w:r>
    </w:p>
    <w:p w14:paraId="058370CC" w14:textId="77777777" w:rsidR="00116246" w:rsidRPr="00116246" w:rsidRDefault="00116246" w:rsidP="00116246">
      <w:pPr>
        <w:spacing w:after="0" w:line="360" w:lineRule="auto"/>
        <w:ind w:left="793" w:hanging="142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א: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גימלה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 של 2% לשנה מהמשכורת הכוללת לפי סעיפים 6 ו-8 לחוזה, על כל 22.33 שנות  העסקתו בחוזה, ללא שקלול כלשהו,  דהיינו: 44.66% ממשכורת החוזה המעודכנת, ביום תשלום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1E8AEF4B" w14:textId="77777777" w:rsidR="00116246" w:rsidRPr="00116246" w:rsidRDefault="00116246" w:rsidP="00116246">
      <w:pPr>
        <w:spacing w:after="0" w:line="360" w:lineRule="auto"/>
        <w:ind w:left="793" w:hanging="142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ב: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גימלה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 של 2% לשנה מהמשכורת בדרגה 46+ בדרוג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המח"ר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, בשיא הותק, על 12.67 שנים,  (השלמה ל-35 שנות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גימלה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>), דהיינו: 25.34% (השלמה ל-70%).</w:t>
      </w:r>
    </w:p>
    <w:p w14:paraId="530AD807" w14:textId="77777777" w:rsidR="00116246" w:rsidRPr="00116246" w:rsidRDefault="00116246" w:rsidP="00116246">
      <w:pPr>
        <w:spacing w:after="0" w:line="360" w:lineRule="auto"/>
        <w:ind w:left="793" w:hanging="142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ג:הפרשי </w:t>
      </w:r>
      <w:proofErr w:type="spellStart"/>
      <w:r w:rsidRPr="00116246"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 w:rsidRPr="00116246">
        <w:rPr>
          <w:rFonts w:ascii="David" w:eastAsia="Calibri" w:hAnsi="David" w:cs="David" w:hint="cs"/>
          <w:sz w:val="24"/>
          <w:szCs w:val="24"/>
          <w:rtl/>
        </w:rPr>
        <w:t xml:space="preserve"> על כל השנים מאז פרישתו, ישוערכו וישולמו לו לפי המשכורות הקובעות במועד תשלום ההפרשים.</w:t>
      </w:r>
    </w:p>
    <w:p w14:paraId="71C4723A" w14:textId="77777777" w:rsidR="00210931" w:rsidRDefault="00210931"/>
    <w:sectPr w:rsidR="00210931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650"/>
    <w:multiLevelType w:val="hybridMultilevel"/>
    <w:tmpl w:val="7FEE461C"/>
    <w:lvl w:ilvl="0" w:tplc="C078354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04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46"/>
    <w:rsid w:val="00012116"/>
    <w:rsid w:val="00116246"/>
    <w:rsid w:val="002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F090"/>
  <w15:chartTrackingRefBased/>
  <w15:docId w15:val="{DF27013A-E8FC-49F0-805F-175FE7EC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413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2022-05-26T09:51:00Z</dcterms:created>
  <dcterms:modified xsi:type="dcterms:W3CDTF">2022-05-26T09:52:00Z</dcterms:modified>
</cp:coreProperties>
</file>