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E30A3B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29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11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.201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30A3B" w:rsidRDefault="00EE0B30" w:rsidP="00E30A3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יוסי </w:t>
      </w:r>
      <w:proofErr w:type="spellStart"/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איצקוביץ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סגן בכיר לחשב הכללי</w:t>
      </w:r>
    </w:p>
    <w:p w:rsidR="00C13E9A" w:rsidRDefault="00C13E9A" w:rsidP="00E30A3B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E30A3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</w:t>
      </w:r>
      <w:proofErr w:type="spellStart"/>
      <w:r w:rsidR="00E30A3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נ.ש.ם</w:t>
      </w:r>
      <w:proofErr w:type="spellEnd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הסכמתי לוותר על כתב המינוי,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-רמה א'-,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E30A3B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6210C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מהשרות,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מגמלתי אלפי ₪ מדי חודש בחודשו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הנחיות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הנשמ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, ה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חת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1C36DF" w:rsidRDefault="006F4425" w:rsidP="006F442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להלן עיקרי 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טיעוניי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תגובות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הנש"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proofErr w:type="spellEnd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ככל שהיו </w:t>
      </w:r>
      <w:proofErr w:type="spellStart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והתיחסותי</w:t>
      </w:r>
      <w:proofErr w:type="spellEnd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:rsidR="007447FB" w:rsidRDefault="007447FB" w:rsidP="006F442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6F4425" w:rsidRDefault="006F4425" w:rsidP="00577593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6F4425" w:rsidRPr="006F4425" w:rsidRDefault="006F4425" w:rsidP="00577593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lastRenderedPageBreak/>
        <w:t xml:space="preserve">3.1 </w:t>
      </w: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עובדתיים</w:t>
      </w:r>
    </w:p>
    <w:p w:rsidR="00BB0D29" w:rsidRDefault="001C36DF" w:rsidP="001C4D5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"המשכורת הקובעת" לפנסיה שלי</w:t>
      </w:r>
      <w:r w:rsidR="00EC68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64BE1" w:rsidRPr="00EC6886">
        <w:rPr>
          <w:rFonts w:ascii="Times New Roman" w:eastAsia="Times New Roman" w:hAnsi="Times New Roman" w:cs="David" w:hint="cs"/>
          <w:sz w:val="24"/>
          <w:szCs w:val="24"/>
          <w:rtl/>
        </w:rPr>
        <w:t>ע"פ החוזה</w:t>
      </w:r>
      <w:r w:rsidR="00964BE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64BE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חושבה</w:t>
      </w:r>
      <w:r w:rsidR="00EC6886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64BE1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</w:t>
      </w:r>
      <w:r w:rsidR="00964BE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עבור </w:t>
      </w:r>
      <w:r w:rsidR="00964BE1">
        <w:rPr>
          <w:rFonts w:ascii="Times New Roman" w:eastAsia="Times New Roman" w:hAnsi="Times New Roman" w:cs="David" w:hint="cs"/>
          <w:sz w:val="24"/>
          <w:szCs w:val="24"/>
          <w:rtl/>
        </w:rPr>
        <w:t>תקופת החוזה ו</w:t>
      </w:r>
      <w:r w:rsidR="00964BE1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הן עבור </w:t>
      </w:r>
      <w:r w:rsidR="00964BE1">
        <w:rPr>
          <w:rFonts w:ascii="Times New Roman" w:eastAsia="Times New Roman" w:hAnsi="Times New Roman" w:cs="David" w:hint="cs"/>
          <w:sz w:val="24"/>
          <w:szCs w:val="24"/>
          <w:rtl/>
        </w:rPr>
        <w:t>תקופת כתב המינוי</w:t>
      </w:r>
      <w:r w:rsidR="001C4D5A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שני מרכיבים אלה של המשכורת הקובעת </w:t>
      </w:r>
      <w:proofErr w:type="spellStart"/>
      <w:r w:rsidR="00964BE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צויינ</w:t>
      </w:r>
      <w:r w:rsidR="001C4D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proofErr w:type="spellEnd"/>
      <w:r w:rsidR="001C4D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כ"א</w:t>
      </w:r>
      <w:r w:rsidR="00964BE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64BE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בנפרד</w:t>
      </w:r>
      <w:r w:rsidR="00964BE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964BE1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C6886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ע"ג תלוש המשכורת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30A3B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="00E30A3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הנוסחה</w:t>
      </w:r>
      <w:r w:rsidR="00E30A3B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775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בפיסקה</w:t>
      </w:r>
      <w:proofErr w:type="spellEnd"/>
      <w:r w:rsidR="005775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1 לעיל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77593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שכל המערכת, לרבות הנציבות ה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חת</w:t>
      </w:r>
      <w:r w:rsidR="005775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ומה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על החוזה</w:t>
      </w:r>
      <w:r w:rsidR="00E30A3B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</w:t>
      </w:r>
      <w:r w:rsidR="005775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בינה </w:t>
      </w:r>
      <w:r w:rsidR="001C4D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כמוני </w:t>
      </w:r>
      <w:r w:rsidR="00577593">
        <w:rPr>
          <w:rFonts w:ascii="Times New Roman" w:eastAsia="Times New Roman" w:hAnsi="Times New Roman" w:cs="David" w:hint="cs"/>
          <w:sz w:val="24"/>
          <w:szCs w:val="24"/>
          <w:rtl/>
        </w:rPr>
        <w:t>ומתחייבת לכך שת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יהיו ע"פ </w:t>
      </w:r>
      <w:r w:rsidR="00577593">
        <w:rPr>
          <w:rFonts w:ascii="Times New Roman" w:eastAsia="Times New Roman" w:hAnsi="Times New Roman" w:cs="David" w:hint="cs"/>
          <w:sz w:val="24"/>
          <w:szCs w:val="24"/>
          <w:rtl/>
        </w:rPr>
        <w:t>נוסחה זו.</w:t>
      </w:r>
    </w:p>
    <w:p w:rsidR="00642ACF" w:rsidRDefault="00867CAB" w:rsidP="00642ACF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>
        <w:rPr>
          <w:rFonts w:ascii="Times New Roman" w:eastAsia="Times New Roman" w:hAnsi="Times New Roman" w:cs="David" w:hint="cs"/>
          <w:sz w:val="8"/>
          <w:szCs w:val="8"/>
          <w:rtl/>
        </w:rPr>
        <w:t xml:space="preserve"> </w:t>
      </w:r>
    </w:p>
    <w:p w:rsidR="00642ACF" w:rsidRDefault="00642ACF" w:rsidP="00642ACF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0D6332" w:rsidRDefault="000D6332" w:rsidP="00642ACF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bookmarkStart w:id="0" w:name="_GoBack"/>
      <w:bookmarkEnd w:id="0"/>
      <w:r w:rsidRPr="00867CA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תגובת </w:t>
      </w:r>
      <w:proofErr w:type="spellStart"/>
      <w:r w:rsidRPr="00867CA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:rsidR="000D6332" w:rsidRDefault="000D6332" w:rsidP="006210CB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210C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מדובר בטעות</w:t>
      </w:r>
      <w:r w:rsidR="00DA01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אינה מקנה לי זכות כלשהי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6210CB" w:rsidRPr="006210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 היא 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אושרה ע"י </w:t>
      </w:r>
      <w:r w:rsidR="0063075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הגורמים</w:t>
      </w:r>
      <w:r w:rsidR="006210CB" w:rsidRPr="006210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הרלוונטיים</w:t>
      </w:r>
      <w:r w:rsidR="0063075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DA0165" w:rsidRPr="00DA0165" w:rsidRDefault="00DA0165" w:rsidP="00A602E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A602E4" w:rsidRPr="00A602E4" w:rsidRDefault="00A602E4" w:rsidP="00A602E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A602E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התיחסותי</w:t>
      </w:r>
      <w:proofErr w:type="spellEnd"/>
      <w:r w:rsidRPr="00A602E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לתגובה: </w:t>
      </w:r>
    </w:p>
    <w:p w:rsidR="00DA0165" w:rsidRDefault="00630752" w:rsidP="003253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DA0165">
        <w:rPr>
          <w:rFonts w:ascii="Times New Roman" w:eastAsia="Times New Roman" w:hAnsi="Times New Roman" w:cs="David" w:hint="cs"/>
          <w:sz w:val="24"/>
          <w:szCs w:val="24"/>
          <w:rtl/>
        </w:rPr>
        <w:t>מי "ה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גורמים הרלוונטיים</w:t>
      </w:r>
      <w:r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" העלומים, אם לא </w:t>
      </w:r>
      <w:proofErr w:type="spellStart"/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החשכ"ל</w:t>
      </w:r>
      <w:proofErr w:type="spellEnd"/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הממונה על השכר, </w:t>
      </w:r>
      <w:proofErr w:type="spellStart"/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חשבי משרד האוצר,</w:t>
      </w:r>
      <w:r w:rsidR="003253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7FB" w:rsidRPr="00DA0165">
        <w:rPr>
          <w:rFonts w:ascii="Times New Roman" w:eastAsia="Times New Roman" w:hAnsi="Times New Roman" w:cs="David" w:hint="cs"/>
          <w:sz w:val="24"/>
          <w:szCs w:val="24"/>
          <w:rtl/>
        </w:rPr>
        <w:t>מנהלי</w:t>
      </w:r>
      <w:r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חשבי מחלקת המשכורת לדורותיהם ומומחי השכר </w:t>
      </w:r>
      <w:r w:rsidR="007447FB" w:rsidRPr="00DA0165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חב'</w:t>
      </w:r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A602E4" w:rsidRPr="00DA0165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325379">
        <w:rPr>
          <w:rFonts w:ascii="Times New Roman" w:eastAsia="Times New Roman" w:hAnsi="Times New Roman" w:cs="David" w:hint="cs"/>
          <w:sz w:val="24"/>
          <w:szCs w:val="24"/>
          <w:rtl/>
        </w:rPr>
        <w:t xml:space="preserve">? </w:t>
      </w:r>
      <w:r w:rsidR="00DA0165" w:rsidRPr="00DA0165">
        <w:rPr>
          <w:rFonts w:ascii="Times New Roman" w:eastAsia="Times New Roman" w:hAnsi="Times New Roman" w:cs="David" w:hint="cs"/>
          <w:sz w:val="24"/>
          <w:szCs w:val="24"/>
          <w:rtl/>
        </w:rPr>
        <w:t>כולם "טעו"? חודש אחר חודש? עשרות שנים? רק אהרונוב לא טעה בהנחיותיו חסרות הבסיס?</w:t>
      </w:r>
    </w:p>
    <w:p w:rsidR="001C4D5A" w:rsidRPr="00DA0165" w:rsidRDefault="001C4D5A" w:rsidP="003253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אם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טעות, הרי שהמדינה הטעתה אותי (לא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לי כל סיבה להניח שמדובר ב"טעות") ו</w:t>
      </w:r>
    </w:p>
    <w:p w:rsidR="006210CB" w:rsidRDefault="006210CB" w:rsidP="00A602E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AD08C6" w:rsidRDefault="001C36DF" w:rsidP="007447FB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בחודשו</w:t>
      </w:r>
      <w:r w:rsidR="000D6332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ולאורך שנים ארוכות</w:t>
      </w:r>
      <w:r w:rsidR="000D6332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C141E3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נוכו ממשכורתי</w:t>
      </w:r>
      <w:r w:rsidR="00782CC8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סכומים משמעותיים כחלקי במימון הפנסיה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של כל הגורמים ה</w:t>
      </w:r>
      <w:r w:rsidR="006210CB">
        <w:rPr>
          <w:rFonts w:ascii="Times New Roman" w:eastAsia="Times New Roman" w:hAnsi="Times New Roman" w:cs="David" w:hint="cs"/>
          <w:sz w:val="24"/>
          <w:szCs w:val="24"/>
          <w:rtl/>
        </w:rPr>
        <w:t>רלוונטיים הנ"ל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לרבות </w:t>
      </w:r>
      <w:proofErr w:type="spellStart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ש"מ</w:t>
      </w:r>
      <w:proofErr w:type="spellEnd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השותפה במתן ההנחיות לזרוע הביצוע (</w:t>
      </w:r>
      <w:proofErr w:type="spellStart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מל"מ</w:t>
      </w:r>
      <w:proofErr w:type="spellEnd"/>
      <w:r w:rsidR="007447FB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),</w:t>
      </w:r>
      <w:r w:rsidR="007447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ע"פ החוזה שלי מבוססת</w:t>
      </w:r>
      <w:r w:rsidR="007447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על </w:t>
      </w:r>
      <w:r w:rsidR="004F3451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782CC8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</w:t>
      </w:r>
      <w:r w:rsidR="009938C5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</w:t>
      </w:r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4F3451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בפיסקה</w:t>
      </w:r>
      <w:proofErr w:type="spellEnd"/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1 לעיל</w:t>
      </w:r>
      <w:r w:rsidR="007447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בכך </w:t>
      </w:r>
      <w:r w:rsidR="007447FB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אף </w:t>
      </w:r>
      <w:r w:rsidR="006C2093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שילמתי ורכשתי בכספ</w:t>
      </w:r>
      <w:r w:rsidR="00C45550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 זכויות לפנסיה לפי </w:t>
      </w:r>
      <w:r w:rsidR="00C141E3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</w:t>
      </w:r>
      <w:r w:rsidR="000D6332" w:rsidRPr="000D633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 זו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7CAB" w:rsidRPr="00867CAB" w:rsidRDefault="000D6332" w:rsidP="006F4425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D6332" w:rsidRDefault="000D6332" w:rsidP="00867CAB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867CA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תגובת </w:t>
      </w:r>
      <w:proofErr w:type="spellStart"/>
      <w:r w:rsidRPr="00867CA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</w:p>
    <w:p w:rsidR="000D6332" w:rsidRDefault="00DA0165" w:rsidP="00325379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253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אכן,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בוצעו ניכויים עודפים</w:t>
      </w:r>
      <w:r w:rsidR="003253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7FB" w:rsidRPr="0063075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"בטעות"</w:t>
      </w:r>
      <w:r w:rsidR="0032537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0D6332">
        <w:rPr>
          <w:rFonts w:ascii="Times New Roman" w:eastAsia="Times New Roman" w:hAnsi="Times New Roman" w:cs="David" w:hint="cs"/>
          <w:sz w:val="24"/>
          <w:szCs w:val="24"/>
          <w:rtl/>
        </w:rPr>
        <w:t>יוחזר</w:t>
      </w:r>
      <w:r w:rsidR="00325379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0D633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לך "ע"פ </w:t>
      </w:r>
      <w:r w:rsidR="00867CAB">
        <w:rPr>
          <w:rFonts w:ascii="Times New Roman" w:eastAsia="Times New Roman" w:hAnsi="Times New Roman" w:cs="David" w:hint="cs"/>
          <w:sz w:val="24"/>
          <w:szCs w:val="24"/>
          <w:rtl/>
        </w:rPr>
        <w:t>הכללים של החשב הכללי".</w:t>
      </w:r>
    </w:p>
    <w:p w:rsidR="006210CB" w:rsidRDefault="006210CB" w:rsidP="00867CAB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A602E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התיחסותי</w:t>
      </w:r>
      <w:proofErr w:type="spellEnd"/>
      <w:r w:rsidRPr="00A602E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לתגובה:</w:t>
      </w:r>
    </w:p>
    <w:p w:rsidR="009958DD" w:rsidRDefault="009958DD" w:rsidP="00325379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210CB" w:rsidRDefault="00325379" w:rsidP="00325379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"האם לא רעדה ידך כשהאשמת כל כך הרבה גורמים מקצועיים (המפורטים לעיל) לדורותיהם, שבצעו  </w:t>
      </w:r>
      <w:r w:rsidRPr="0032537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בתוקף סמכותם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את התשלומים והן את הניכויים לאורך שנים ארוכות?</w:t>
      </w:r>
    </w:p>
    <w:p w:rsidR="009958DD" w:rsidRPr="00714C8A" w:rsidRDefault="009958DD" w:rsidP="00325379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9958DD" w:rsidRDefault="009958DD" w:rsidP="009958DD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 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9958DD" w:rsidRDefault="009958DD" w:rsidP="009958DD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תגובת </w:t>
      </w:r>
      <w:proofErr w:type="spellStart"/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הנש"מ</w:t>
      </w:r>
      <w:proofErr w:type="spellEnd"/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</w:p>
    <w:p w:rsidR="009958DD" w:rsidRPr="006F4425" w:rsidRDefault="009958DD" w:rsidP="009958DD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שולם לך בטעות לפי 46. העודף שקבלת מקזז את הניכוי החורג למימון הפנסיה.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  <w:r w:rsidR="000D633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7CAB" w:rsidRDefault="00867CAB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תגובת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</w:p>
    <w:p w:rsidR="00867CAB" w:rsidRDefault="00867CAB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"ברגר טעה. ואישר לך דרגה בניגוד לחוזה".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וכאמור במכתב הנ"ל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6F4425" w:rsidRDefault="006F4425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תגובת </w:t>
      </w:r>
      <w:proofErr w:type="spellStart"/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נש"מ</w:t>
      </w:r>
      <w:proofErr w:type="spellEnd"/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6F4425" w:rsidRPr="006F4425" w:rsidRDefault="006F4425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6F4425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תגובת </w:t>
      </w:r>
      <w:proofErr w:type="spellStart"/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נש"מ</w:t>
      </w:r>
      <w:proofErr w:type="spellEnd"/>
      <w:r w:rsidRPr="006F44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6F4425" w:rsidRDefault="006F4425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F4425" w:rsidRPr="006F4425" w:rsidRDefault="006F4425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רק אחרי שפרשתי מהשרות-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כמובן 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כחסרי משמעות 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A6" w:rsidRDefault="00A809A6" w:rsidP="00713BE2">
      <w:pPr>
        <w:spacing w:after="0" w:line="240" w:lineRule="auto"/>
      </w:pPr>
      <w:r>
        <w:separator/>
      </w:r>
    </w:p>
  </w:endnote>
  <w:endnote w:type="continuationSeparator" w:id="0">
    <w:p w:rsidR="00A809A6" w:rsidRDefault="00A809A6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42ACF" w:rsidRPr="00642ACF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A6" w:rsidRDefault="00A809A6" w:rsidP="00713BE2">
      <w:pPr>
        <w:spacing w:after="0" w:line="240" w:lineRule="auto"/>
      </w:pPr>
      <w:r>
        <w:separator/>
      </w:r>
    </w:p>
  </w:footnote>
  <w:footnote w:type="continuationSeparator" w:id="0">
    <w:p w:rsidR="00A809A6" w:rsidRDefault="00A809A6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3A93"/>
    <w:multiLevelType w:val="hybridMultilevel"/>
    <w:tmpl w:val="C1320F58"/>
    <w:lvl w:ilvl="0" w:tplc="6AD02AD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7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16646"/>
    <w:rsid w:val="00093C7C"/>
    <w:rsid w:val="000A1686"/>
    <w:rsid w:val="000D6332"/>
    <w:rsid w:val="001B747E"/>
    <w:rsid w:val="001C36DF"/>
    <w:rsid w:val="001C4D5A"/>
    <w:rsid w:val="001F004B"/>
    <w:rsid w:val="001F1F41"/>
    <w:rsid w:val="00200D79"/>
    <w:rsid w:val="002159FA"/>
    <w:rsid w:val="00261D37"/>
    <w:rsid w:val="00286A02"/>
    <w:rsid w:val="00325379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613A3"/>
    <w:rsid w:val="00576281"/>
    <w:rsid w:val="00577593"/>
    <w:rsid w:val="00596CA3"/>
    <w:rsid w:val="005C0185"/>
    <w:rsid w:val="005E5BD6"/>
    <w:rsid w:val="006020FC"/>
    <w:rsid w:val="0061268E"/>
    <w:rsid w:val="00617485"/>
    <w:rsid w:val="006210CB"/>
    <w:rsid w:val="00630752"/>
    <w:rsid w:val="006364E7"/>
    <w:rsid w:val="00642ACF"/>
    <w:rsid w:val="006453E1"/>
    <w:rsid w:val="0067701C"/>
    <w:rsid w:val="00677EC3"/>
    <w:rsid w:val="006C2093"/>
    <w:rsid w:val="006C2C9F"/>
    <w:rsid w:val="006D35EA"/>
    <w:rsid w:val="006F4425"/>
    <w:rsid w:val="00713794"/>
    <w:rsid w:val="00713BE2"/>
    <w:rsid w:val="00714C8A"/>
    <w:rsid w:val="007274E0"/>
    <w:rsid w:val="00730B2C"/>
    <w:rsid w:val="0073182E"/>
    <w:rsid w:val="007447FB"/>
    <w:rsid w:val="007462F1"/>
    <w:rsid w:val="00746DF7"/>
    <w:rsid w:val="00761E31"/>
    <w:rsid w:val="00764173"/>
    <w:rsid w:val="00782CC8"/>
    <w:rsid w:val="00801290"/>
    <w:rsid w:val="00812336"/>
    <w:rsid w:val="00830594"/>
    <w:rsid w:val="008543EC"/>
    <w:rsid w:val="00867CAB"/>
    <w:rsid w:val="00871388"/>
    <w:rsid w:val="0088752F"/>
    <w:rsid w:val="00916442"/>
    <w:rsid w:val="00964BE1"/>
    <w:rsid w:val="00965EEB"/>
    <w:rsid w:val="009938C5"/>
    <w:rsid w:val="009958DD"/>
    <w:rsid w:val="00A602E4"/>
    <w:rsid w:val="00A809A6"/>
    <w:rsid w:val="00A86BAB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87E31"/>
    <w:rsid w:val="00C9426D"/>
    <w:rsid w:val="00CA2158"/>
    <w:rsid w:val="00D247DD"/>
    <w:rsid w:val="00D50470"/>
    <w:rsid w:val="00DA0165"/>
    <w:rsid w:val="00DB4454"/>
    <w:rsid w:val="00DD7FE2"/>
    <w:rsid w:val="00E2397B"/>
    <w:rsid w:val="00E30A3B"/>
    <w:rsid w:val="00E426C0"/>
    <w:rsid w:val="00E75021"/>
    <w:rsid w:val="00EA57C3"/>
    <w:rsid w:val="00EB1CF5"/>
    <w:rsid w:val="00EC3D67"/>
    <w:rsid w:val="00EC6886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A541-9514-448E-A32A-A4AA7233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1834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4</cp:revision>
  <cp:lastPrinted>2017-08-31T12:46:00Z</cp:lastPrinted>
  <dcterms:created xsi:type="dcterms:W3CDTF">2018-11-29T10:10:00Z</dcterms:created>
  <dcterms:modified xsi:type="dcterms:W3CDTF">2018-12-02T13:14:00Z</dcterms:modified>
</cp:coreProperties>
</file>