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AF5F99" w:rsidRDefault="00AA4BFC" w:rsidP="00AA4BFC">
      <w:pPr>
        <w:pStyle w:val="a4"/>
        <w:tabs>
          <w:tab w:val="clear" w:pos="4153"/>
          <w:tab w:val="clear" w:pos="8306"/>
        </w:tabs>
        <w:spacing w:after="60"/>
        <w:rPr>
          <w:rFonts w:cs="David"/>
          <w:b/>
          <w:bCs/>
          <w:rtl/>
        </w:rPr>
      </w:pPr>
      <w:bookmarkStart w:id="0" w:name="_GoBack"/>
      <w:bookmarkEnd w:id="0"/>
      <w:r w:rsidRPr="00AF5F99">
        <w:rPr>
          <w:rFonts w:cs="David"/>
          <w:b/>
          <w:bCs/>
          <w:rtl/>
        </w:rPr>
        <w:t xml:space="preserve">בבית הדין הארצי לעבודה </w:t>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Pr>
          <w:rFonts w:cs="David"/>
          <w:b/>
          <w:bCs/>
          <w:rtl/>
        </w:rPr>
        <w:t xml:space="preserve">       </w:t>
      </w:r>
      <w:r w:rsidRPr="00AF5F99">
        <w:rPr>
          <w:rFonts w:cs="David"/>
          <w:b/>
          <w:bCs/>
          <w:rtl/>
        </w:rPr>
        <w:t xml:space="preserve">ע"ע </w:t>
      </w:r>
      <w:r>
        <w:rPr>
          <w:rFonts w:cs="David"/>
          <w:b/>
          <w:bCs/>
          <w:rtl/>
        </w:rPr>
        <w:t>2514-07-20</w:t>
      </w:r>
    </w:p>
    <w:p w:rsidR="00AA4BFC" w:rsidRPr="00AF5F99" w:rsidRDefault="00AA4BFC" w:rsidP="00AA4BFC">
      <w:pPr>
        <w:pStyle w:val="1"/>
        <w:spacing w:after="60"/>
        <w:rPr>
          <w:b/>
          <w:bCs/>
          <w:rtl/>
        </w:rPr>
      </w:pPr>
      <w:r w:rsidRPr="00AF5F99">
        <w:rPr>
          <w:b/>
          <w:bCs/>
          <w:rtl/>
        </w:rPr>
        <w:t>בירושלים</w:t>
      </w:r>
    </w:p>
    <w:p w:rsidR="00AA4BFC" w:rsidRDefault="00AA4BFC" w:rsidP="00AA4BFC">
      <w:pPr>
        <w:spacing w:after="60"/>
        <w:rPr>
          <w:rFonts w:cs="David"/>
          <w:u w:val="single"/>
          <w:rtl/>
        </w:rPr>
      </w:pPr>
    </w:p>
    <w:p w:rsidR="00AA4BFC" w:rsidRPr="00901A33" w:rsidRDefault="00AA4BFC" w:rsidP="00AA4BFC">
      <w:pPr>
        <w:pStyle w:val="40"/>
        <w:spacing w:before="0"/>
        <w:ind w:hanging="1335"/>
        <w:rPr>
          <w:rtl/>
        </w:rPr>
      </w:pPr>
      <w:r w:rsidRPr="00901A33">
        <w:rPr>
          <w:b/>
          <w:bCs/>
          <w:rtl/>
        </w:rPr>
        <w:t>בעניין:</w:t>
      </w:r>
      <w:r w:rsidRPr="00901A33">
        <w:rPr>
          <w:b/>
          <w:bCs/>
          <w:rtl/>
        </w:rPr>
        <w:tab/>
      </w:r>
      <w:r w:rsidRPr="00901A33">
        <w:rPr>
          <w:b/>
          <w:bCs/>
          <w:rtl/>
        </w:rPr>
        <w:tab/>
      </w:r>
      <w:r w:rsidRPr="00901A33">
        <w:rPr>
          <w:b/>
          <w:bCs/>
          <w:rtl/>
        </w:rPr>
        <w:tab/>
      </w:r>
      <w:r w:rsidRPr="00901A33">
        <w:rPr>
          <w:b/>
          <w:bCs/>
          <w:rtl/>
        </w:rPr>
        <w:tab/>
        <w:t>שמעון הכסטר</w:t>
      </w:r>
      <w:r w:rsidRPr="00901A33">
        <w:rPr>
          <w:rtl/>
        </w:rPr>
        <w:t>, ת.ז. 000388587</w:t>
      </w:r>
    </w:p>
    <w:p w:rsidR="00AA4BFC" w:rsidRPr="00901A33" w:rsidRDefault="00AA4BFC" w:rsidP="00AA4BFC">
      <w:pPr>
        <w:pStyle w:val="40"/>
        <w:spacing w:before="0"/>
        <w:ind w:left="0" w:firstLine="0"/>
        <w:rPr>
          <w:rtl/>
          <w:lang w:eastAsia="en-US"/>
        </w:rPr>
      </w:pPr>
    </w:p>
    <w:p w:rsidR="00AA4BFC" w:rsidRPr="00901A33" w:rsidRDefault="00AA4BFC" w:rsidP="00AA4BFC">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tl/>
            <w:lang w:eastAsia="en-US"/>
          </w:rPr>
          <w:t>אופיר טל</w:t>
        </w:r>
      </w:smartTag>
      <w:r w:rsidRPr="00901A33">
        <w:rPr>
          <w:rtl/>
          <w:lang w:eastAsia="en-US"/>
        </w:rPr>
        <w:t xml:space="preserve"> ו/או לואיז ספורטס ואח' </w:t>
      </w:r>
    </w:p>
    <w:p w:rsidR="00AA4BFC" w:rsidRPr="00901A33" w:rsidRDefault="00AA4BFC" w:rsidP="00AA4BFC">
      <w:pPr>
        <w:pStyle w:val="40"/>
        <w:tabs>
          <w:tab w:val="clear" w:pos="942"/>
        </w:tabs>
        <w:spacing w:before="0"/>
        <w:ind w:left="2160" w:firstLine="0"/>
        <w:rPr>
          <w:b/>
          <w:bCs/>
          <w:rtl/>
          <w:lang w:eastAsia="en-US"/>
        </w:rPr>
      </w:pPr>
      <w:r w:rsidRPr="00901A33">
        <w:rPr>
          <w:b/>
          <w:bCs/>
          <w:rtl/>
          <w:lang w:eastAsia="en-US"/>
        </w:rPr>
        <w:t xml:space="preserve">טל, קדרי, שמיר ושות'- עורכי דין </w:t>
      </w:r>
    </w:p>
    <w:p w:rsidR="00AA4BFC" w:rsidRPr="00901A33" w:rsidRDefault="00AA4BFC" w:rsidP="00AA4BFC">
      <w:pPr>
        <w:pStyle w:val="40"/>
        <w:spacing w:before="0"/>
        <w:ind w:left="0" w:firstLine="0"/>
        <w:rPr>
          <w:rtl/>
          <w:lang w:eastAsia="en-US"/>
        </w:rPr>
      </w:pPr>
      <w:r w:rsidRPr="00901A33">
        <w:rPr>
          <w:rtl/>
          <w:lang w:eastAsia="en-US"/>
        </w:rPr>
        <w:tab/>
      </w:r>
      <w:r w:rsidRPr="00901A33">
        <w:rPr>
          <w:rtl/>
          <w:lang w:eastAsia="en-US"/>
        </w:rPr>
        <w:tab/>
      </w:r>
      <w:r w:rsidRPr="00901A33">
        <w:rPr>
          <w:rtl/>
          <w:lang w:eastAsia="en-US"/>
        </w:rPr>
        <w:tab/>
        <w:t>מרח' וושינגטון 4, ירושלים</w:t>
      </w:r>
    </w:p>
    <w:p w:rsidR="00AA4BFC" w:rsidRPr="00901A33" w:rsidRDefault="00AA4BFC" w:rsidP="00AA4BFC">
      <w:pPr>
        <w:pStyle w:val="40"/>
        <w:spacing w:before="0"/>
        <w:ind w:left="0" w:firstLine="0"/>
        <w:rPr>
          <w:rtl/>
          <w:lang w:eastAsia="en-US"/>
        </w:rPr>
      </w:pPr>
      <w:r w:rsidRPr="00901A33">
        <w:rPr>
          <w:rtl/>
          <w:lang w:eastAsia="en-US"/>
        </w:rPr>
        <w:tab/>
      </w:r>
      <w:r w:rsidRPr="00901A33">
        <w:rPr>
          <w:rtl/>
          <w:lang w:eastAsia="en-US"/>
        </w:rPr>
        <w:tab/>
      </w:r>
      <w:r w:rsidRPr="00901A33">
        <w:rPr>
          <w:rtl/>
          <w:lang w:eastAsia="en-US"/>
        </w:rPr>
        <w:tab/>
      </w:r>
      <w:r w:rsidRPr="00901A33">
        <w:rPr>
          <w:sz w:val="19"/>
          <w:rtl/>
          <w:lang w:eastAsia="en-US"/>
        </w:rPr>
        <w:t>טל. 02-5674000; פקס. 074-713700</w:t>
      </w:r>
      <w:r w:rsidRPr="00901A33">
        <w:rPr>
          <w:rtl/>
          <w:lang w:eastAsia="en-US"/>
        </w:rPr>
        <w:t>1</w:t>
      </w:r>
      <w:r w:rsidRPr="00901A33">
        <w:rPr>
          <w:rtl/>
          <w:lang w:eastAsia="en-US"/>
        </w:rPr>
        <w:tab/>
      </w:r>
      <w:r w:rsidRPr="00901A33">
        <w:rPr>
          <w:rtl/>
          <w:lang w:eastAsia="en-US"/>
        </w:rPr>
        <w:tab/>
      </w:r>
      <w:r w:rsidRPr="00901A33">
        <w:rPr>
          <w:rtl/>
          <w:lang w:eastAsia="en-US"/>
        </w:rPr>
        <w:tab/>
      </w:r>
    </w:p>
    <w:p w:rsidR="00AA4BFC" w:rsidRPr="00901A33" w:rsidRDefault="00AA4BFC" w:rsidP="00AA4BFC">
      <w:pPr>
        <w:pStyle w:val="40"/>
        <w:spacing w:before="0"/>
        <w:ind w:left="0" w:firstLine="0"/>
        <w:jc w:val="right"/>
        <w:rPr>
          <w:rtl/>
          <w:lang w:eastAsia="en-US"/>
        </w:rPr>
      </w:pPr>
      <w:r w:rsidRPr="00901A33">
        <w:rPr>
          <w:rtl/>
          <w:lang w:eastAsia="en-US"/>
        </w:rPr>
        <w:tab/>
      </w:r>
      <w:r w:rsidRPr="00901A33">
        <w:rPr>
          <w:rtl/>
          <w:lang w:eastAsia="en-US"/>
        </w:rPr>
        <w:tab/>
      </w:r>
      <w:r w:rsidRPr="00901A33">
        <w:rPr>
          <w:rtl/>
          <w:lang w:eastAsia="en-US"/>
        </w:rPr>
        <w:tab/>
      </w:r>
      <w:r w:rsidRPr="00901A33">
        <w:rPr>
          <w:rtl/>
          <w:lang w:eastAsia="en-US"/>
        </w:rPr>
        <w:tab/>
      </w:r>
      <w:r w:rsidRPr="00901A33">
        <w:rPr>
          <w:rtl/>
          <w:lang w:eastAsia="en-US"/>
        </w:rPr>
        <w:tab/>
        <w:t xml:space="preserve">             </w:t>
      </w:r>
      <w:r w:rsidRPr="00901A33">
        <w:rPr>
          <w:rtl/>
          <w:lang w:eastAsia="en-US"/>
        </w:rPr>
        <w:tab/>
      </w:r>
      <w:r w:rsidRPr="00901A33">
        <w:rPr>
          <w:rtl/>
          <w:lang w:eastAsia="en-US"/>
        </w:rPr>
        <w:tab/>
        <w:t xml:space="preserve">                  </w:t>
      </w:r>
      <w:r>
        <w:rPr>
          <w:b/>
          <w:bCs/>
          <w:u w:val="single"/>
          <w:rtl/>
          <w:lang w:eastAsia="en-US"/>
        </w:rPr>
        <w:t>המערער</w:t>
      </w:r>
    </w:p>
    <w:p w:rsidR="00AA4BFC" w:rsidRPr="00901A33" w:rsidRDefault="00AA4BFC" w:rsidP="00AA4BFC">
      <w:pPr>
        <w:pStyle w:val="40"/>
        <w:spacing w:before="0"/>
        <w:ind w:left="0" w:firstLine="0"/>
        <w:rPr>
          <w:rtl/>
          <w:lang w:eastAsia="en-US"/>
        </w:rPr>
      </w:pPr>
    </w:p>
    <w:p w:rsidR="00AA4BFC" w:rsidRDefault="00AA4BFC" w:rsidP="00AA4BFC">
      <w:pPr>
        <w:pStyle w:val="40"/>
        <w:spacing w:before="0"/>
        <w:ind w:left="0" w:firstLine="0"/>
        <w:rPr>
          <w:b/>
          <w:bCs/>
          <w:rtl/>
          <w:lang w:eastAsia="en-US"/>
        </w:rPr>
      </w:pPr>
      <w:r w:rsidRPr="00901A33">
        <w:rPr>
          <w:b/>
          <w:bCs/>
          <w:rtl/>
          <w:lang w:eastAsia="en-US"/>
        </w:rPr>
        <w:tab/>
      </w:r>
      <w:r w:rsidRPr="00901A33">
        <w:rPr>
          <w:b/>
          <w:bCs/>
          <w:rtl/>
          <w:lang w:eastAsia="en-US"/>
        </w:rPr>
        <w:tab/>
      </w:r>
      <w:r w:rsidRPr="00901A33">
        <w:rPr>
          <w:b/>
          <w:bCs/>
          <w:rtl/>
          <w:lang w:eastAsia="en-US"/>
        </w:rPr>
        <w:tab/>
        <w:t xml:space="preserve">- נ  ג  ד </w:t>
      </w:r>
      <w:r>
        <w:rPr>
          <w:b/>
          <w:bCs/>
          <w:rtl/>
          <w:lang w:eastAsia="en-US"/>
        </w:rPr>
        <w:t>–</w:t>
      </w:r>
    </w:p>
    <w:p w:rsidR="00AA4BFC" w:rsidRPr="00901A33" w:rsidRDefault="00AA4BFC" w:rsidP="00AA4BFC">
      <w:pPr>
        <w:pStyle w:val="40"/>
        <w:spacing w:before="0"/>
        <w:ind w:left="0" w:firstLine="0"/>
        <w:rPr>
          <w:b/>
          <w:bCs/>
          <w:rtl/>
          <w:lang w:eastAsia="en-US"/>
        </w:rPr>
      </w:pPr>
    </w:p>
    <w:p w:rsidR="00AA4BFC" w:rsidRPr="00901A33" w:rsidRDefault="00AA4BFC" w:rsidP="00AA4BFC">
      <w:pPr>
        <w:pStyle w:val="40"/>
        <w:spacing w:before="0"/>
        <w:ind w:left="0" w:firstLine="0"/>
        <w:rPr>
          <w:rtl/>
          <w:lang w:eastAsia="en-US"/>
        </w:rPr>
      </w:pPr>
    </w:p>
    <w:p w:rsidR="00AA4BFC" w:rsidRPr="00901A33" w:rsidRDefault="00AA4BFC" w:rsidP="00AA4BFC">
      <w:pPr>
        <w:pStyle w:val="40"/>
        <w:numPr>
          <w:ilvl w:val="0"/>
          <w:numId w:val="3"/>
        </w:numPr>
        <w:tabs>
          <w:tab w:val="clear" w:pos="942"/>
        </w:tabs>
        <w:spacing w:before="0"/>
        <w:rPr>
          <w:b/>
          <w:bCs/>
          <w:rtl/>
        </w:rPr>
      </w:pPr>
      <w:r w:rsidRPr="00901A33">
        <w:rPr>
          <w:b/>
          <w:bCs/>
          <w:rtl/>
        </w:rPr>
        <w:t xml:space="preserve">נציבות שירות המדינה </w:t>
      </w:r>
    </w:p>
    <w:p w:rsidR="00AA4BFC" w:rsidRPr="00901A33" w:rsidRDefault="00AA4BFC" w:rsidP="00AA4BFC">
      <w:pPr>
        <w:pStyle w:val="40"/>
        <w:numPr>
          <w:ilvl w:val="0"/>
          <w:numId w:val="3"/>
        </w:numPr>
        <w:tabs>
          <w:tab w:val="clear" w:pos="942"/>
        </w:tabs>
        <w:spacing w:before="0"/>
        <w:rPr>
          <w:b/>
          <w:bCs/>
          <w:rtl/>
        </w:rPr>
      </w:pPr>
      <w:r w:rsidRPr="00901A33">
        <w:rPr>
          <w:b/>
          <w:bCs/>
          <w:rtl/>
        </w:rPr>
        <w:t xml:space="preserve">מדינת ישראל – משרד האוצר </w:t>
      </w:r>
    </w:p>
    <w:p w:rsidR="00AA4BFC" w:rsidRPr="00901A33" w:rsidRDefault="00AA4BFC" w:rsidP="00AA4BFC">
      <w:pPr>
        <w:pStyle w:val="40"/>
        <w:numPr>
          <w:ilvl w:val="0"/>
          <w:numId w:val="3"/>
        </w:numPr>
        <w:tabs>
          <w:tab w:val="clear" w:pos="942"/>
        </w:tabs>
        <w:spacing w:before="0"/>
      </w:pPr>
      <w:r w:rsidRPr="00901A33">
        <w:rPr>
          <w:b/>
          <w:bCs/>
          <w:rtl/>
        </w:rPr>
        <w:t>הממונה על הגימלאות</w:t>
      </w:r>
      <w:r w:rsidRPr="00901A33" w:rsidDel="00173E98">
        <w:rPr>
          <w:rtl/>
        </w:rPr>
        <w:t xml:space="preserve"> </w:t>
      </w:r>
    </w:p>
    <w:p w:rsidR="00AA4BFC" w:rsidRPr="00901A33" w:rsidRDefault="00AA4BFC" w:rsidP="00AA4BFC">
      <w:pPr>
        <w:pStyle w:val="40"/>
        <w:tabs>
          <w:tab w:val="clear" w:pos="942"/>
        </w:tabs>
        <w:spacing w:before="0"/>
        <w:ind w:left="2250" w:firstLine="0"/>
        <w:rPr>
          <w:b/>
          <w:bCs/>
          <w:rtl/>
        </w:rPr>
      </w:pPr>
    </w:p>
    <w:p w:rsidR="00AA4BFC" w:rsidRDefault="00AA4BFC" w:rsidP="00AA4BFC">
      <w:pPr>
        <w:pStyle w:val="40"/>
        <w:tabs>
          <w:tab w:val="clear" w:pos="942"/>
        </w:tabs>
        <w:spacing w:before="0"/>
        <w:ind w:left="2250" w:firstLine="0"/>
        <w:rPr>
          <w:rtl/>
        </w:rPr>
      </w:pPr>
      <w:r w:rsidRPr="00901A33">
        <w:rPr>
          <w:rtl/>
        </w:rPr>
        <w:t xml:space="preserve">שלושתם על ידי </w:t>
      </w:r>
      <w:r>
        <w:rPr>
          <w:rFonts w:hint="cs"/>
          <w:rtl/>
        </w:rPr>
        <w:t>עו"ד חן אדרי ואח'</w:t>
      </w:r>
    </w:p>
    <w:p w:rsidR="00AA4BFC" w:rsidRPr="00901A33" w:rsidRDefault="00AA4BFC" w:rsidP="00AA4BFC">
      <w:pPr>
        <w:pStyle w:val="40"/>
        <w:tabs>
          <w:tab w:val="clear" w:pos="942"/>
        </w:tabs>
        <w:spacing w:before="0"/>
        <w:ind w:left="2250" w:firstLine="0"/>
        <w:rPr>
          <w:rtl/>
        </w:rPr>
      </w:pPr>
      <w:r w:rsidRPr="00901A33">
        <w:rPr>
          <w:rtl/>
        </w:rPr>
        <w:t xml:space="preserve">פרקליטות </w:t>
      </w:r>
      <w:r>
        <w:rPr>
          <w:rFonts w:hint="cs"/>
          <w:rtl/>
        </w:rPr>
        <w:t>המדינה</w:t>
      </w:r>
    </w:p>
    <w:p w:rsidR="00AA4BFC" w:rsidRPr="00901A33" w:rsidRDefault="00AA4BFC" w:rsidP="00AA4BFC">
      <w:pPr>
        <w:pStyle w:val="40"/>
        <w:tabs>
          <w:tab w:val="clear" w:pos="942"/>
        </w:tabs>
        <w:spacing w:before="0"/>
        <w:ind w:left="2250" w:firstLine="0"/>
        <w:rPr>
          <w:rtl/>
        </w:rPr>
      </w:pPr>
      <w:r>
        <w:rPr>
          <w:rFonts w:hint="cs"/>
          <w:rtl/>
        </w:rPr>
        <w:t>רחוב צאלח א-דין</w:t>
      </w:r>
      <w:r w:rsidRPr="00901A33">
        <w:rPr>
          <w:rtl/>
        </w:rPr>
        <w:t>, ירושלים</w:t>
      </w:r>
    </w:p>
    <w:p w:rsidR="00AA4BFC" w:rsidRDefault="00AA4BFC" w:rsidP="00AA4BFC">
      <w:pPr>
        <w:pStyle w:val="11"/>
        <w:spacing w:line="320" w:lineRule="exact"/>
        <w:ind w:left="476" w:hanging="425"/>
        <w:jc w:val="right"/>
        <w:rPr>
          <w:b/>
          <w:bCs/>
          <w:u w:val="single"/>
          <w:rtl/>
          <w:lang w:eastAsia="en-US"/>
        </w:rPr>
      </w:pPr>
      <w:r w:rsidRPr="00901A33">
        <w:rPr>
          <w:rtl/>
          <w:lang w:eastAsia="en-US"/>
        </w:rPr>
        <w:tab/>
      </w:r>
      <w:r w:rsidRPr="00901A33">
        <w:rPr>
          <w:rtl/>
          <w:lang w:eastAsia="en-US"/>
        </w:rPr>
        <w:tab/>
      </w:r>
      <w:r w:rsidRPr="00901A33">
        <w:rPr>
          <w:rtl/>
          <w:lang w:eastAsia="en-US"/>
        </w:rPr>
        <w:tab/>
      </w:r>
      <w:r>
        <w:rPr>
          <w:rtl/>
          <w:lang w:eastAsia="en-US"/>
        </w:rPr>
        <w:tab/>
        <w:t xml:space="preserve">              </w:t>
      </w:r>
      <w:r>
        <w:rPr>
          <w:b/>
          <w:bCs/>
          <w:u w:val="single"/>
          <w:rtl/>
          <w:lang w:eastAsia="en-US"/>
        </w:rPr>
        <w:t>ה</w:t>
      </w:r>
      <w:r w:rsidR="00FA099A">
        <w:rPr>
          <w:b/>
          <w:bCs/>
          <w:u w:val="single"/>
          <w:rtl/>
          <w:lang w:eastAsia="en-US"/>
        </w:rPr>
        <w:t>מערער</w:t>
      </w:r>
      <w:r>
        <w:rPr>
          <w:b/>
          <w:bCs/>
          <w:u w:val="single"/>
          <w:rtl/>
          <w:lang w:eastAsia="en-US"/>
        </w:rPr>
        <w:t>ות</w:t>
      </w:r>
    </w:p>
    <w:p w:rsidR="00AA4BFC" w:rsidRDefault="00AA4BFC" w:rsidP="00AA4BFC">
      <w:pPr>
        <w:pStyle w:val="11"/>
        <w:spacing w:line="320" w:lineRule="exact"/>
        <w:ind w:left="476" w:hanging="425"/>
        <w:jc w:val="right"/>
        <w:rPr>
          <w:b/>
          <w:bCs/>
          <w:u w:val="single"/>
          <w:rtl/>
          <w:lang w:eastAsia="en-US"/>
        </w:rPr>
      </w:pPr>
    </w:p>
    <w:p w:rsidR="001A415A" w:rsidRPr="00901A33" w:rsidRDefault="001A415A" w:rsidP="00AA4BFC">
      <w:pPr>
        <w:pStyle w:val="11"/>
        <w:spacing w:line="320" w:lineRule="exact"/>
        <w:ind w:left="476" w:hanging="425"/>
        <w:rPr>
          <w:b/>
          <w:bCs/>
          <w:rtl/>
        </w:rPr>
      </w:pPr>
      <w:r w:rsidRPr="00901A33">
        <w:rPr>
          <w:b/>
          <w:bCs/>
          <w:rtl/>
        </w:rPr>
        <w:tab/>
      </w:r>
      <w:r w:rsidRPr="00901A33">
        <w:rPr>
          <w:b/>
          <w:bCs/>
          <w:rtl/>
        </w:rPr>
        <w:tab/>
      </w:r>
      <w:r w:rsidRPr="00901A33">
        <w:rPr>
          <w:b/>
          <w:bCs/>
          <w:rtl/>
        </w:rPr>
        <w:tab/>
      </w:r>
    </w:p>
    <w:p w:rsidR="009B48BB" w:rsidRPr="00901A33" w:rsidRDefault="00AA4BFC" w:rsidP="000904E5">
      <w:pPr>
        <w:pStyle w:val="11"/>
        <w:spacing w:after="120" w:line="360" w:lineRule="auto"/>
        <w:ind w:left="720" w:hanging="669"/>
        <w:jc w:val="center"/>
        <w:rPr>
          <w:b/>
          <w:bCs/>
          <w:sz w:val="36"/>
          <w:szCs w:val="36"/>
          <w:u w:val="single"/>
          <w:rtl/>
        </w:rPr>
      </w:pPr>
      <w:r>
        <w:rPr>
          <w:rFonts w:hint="cs"/>
          <w:b/>
          <w:bCs/>
          <w:sz w:val="36"/>
          <w:szCs w:val="36"/>
          <w:u w:val="single"/>
          <w:rtl/>
        </w:rPr>
        <w:t>סיכום טענות מטעם המערער</w:t>
      </w:r>
    </w:p>
    <w:p w:rsidR="005B0AA3" w:rsidRDefault="005B0AA3" w:rsidP="005B0AA3">
      <w:pPr>
        <w:pStyle w:val="a4"/>
        <w:spacing w:after="240" w:line="360" w:lineRule="auto"/>
        <w:jc w:val="both"/>
        <w:rPr>
          <w:rFonts w:cs="David"/>
          <w:rtl/>
        </w:rPr>
      </w:pPr>
      <w:r w:rsidRPr="000B11C2">
        <w:rPr>
          <w:rFonts w:cs="David"/>
          <w:rtl/>
        </w:rPr>
        <w:t>בהתאם להחלטת בית הדין הנכבד</w:t>
      </w:r>
      <w:r>
        <w:rPr>
          <w:rFonts w:cs="David"/>
          <w:rtl/>
        </w:rPr>
        <w:t xml:space="preserve"> מיום 2</w:t>
      </w:r>
      <w:r>
        <w:rPr>
          <w:rFonts w:cs="David" w:hint="cs"/>
          <w:rtl/>
        </w:rPr>
        <w:t>7</w:t>
      </w:r>
      <w:r>
        <w:rPr>
          <w:rFonts w:cs="David"/>
          <w:rtl/>
        </w:rPr>
        <w:t>.10.2020</w:t>
      </w:r>
      <w:r w:rsidRPr="000B11C2">
        <w:rPr>
          <w:rFonts w:cs="David"/>
          <w:rtl/>
        </w:rPr>
        <w:t>, המערער מתכבד בזאת להגיש לבית הדין הנכבד</w:t>
      </w:r>
      <w:r w:rsidRPr="002433DF">
        <w:rPr>
          <w:rFonts w:cs="David"/>
          <w:rtl/>
        </w:rPr>
        <w:t xml:space="preserve"> </w:t>
      </w:r>
      <w:r>
        <w:rPr>
          <w:rFonts w:cs="David" w:hint="cs"/>
          <w:rtl/>
        </w:rPr>
        <w:t xml:space="preserve">את סיכום טענותיו. </w:t>
      </w:r>
    </w:p>
    <w:p w:rsidR="005B0AA3" w:rsidRDefault="005B0AA3" w:rsidP="005B0AA3">
      <w:pPr>
        <w:pStyle w:val="a4"/>
        <w:spacing w:after="240" w:line="360" w:lineRule="auto"/>
        <w:jc w:val="both"/>
        <w:rPr>
          <w:rFonts w:cs="David"/>
          <w:rtl/>
        </w:rPr>
      </w:pPr>
      <w:r>
        <w:rPr>
          <w:rFonts w:cs="David" w:hint="cs"/>
          <w:rtl/>
        </w:rPr>
        <w:t xml:space="preserve">המערער יטען כי על פסק דינו של בית הדין קמא להתבטל ודין הערעור להתקבל מהטעמים </w:t>
      </w:r>
      <w:r w:rsidR="00D603D2">
        <w:rPr>
          <w:rFonts w:cs="David" w:hint="cs"/>
          <w:rtl/>
        </w:rPr>
        <w:t>שלהלן.</w:t>
      </w:r>
    </w:p>
    <w:p w:rsidR="00D603D2" w:rsidRDefault="00D603D2" w:rsidP="005B0AA3">
      <w:pPr>
        <w:pStyle w:val="a4"/>
        <w:spacing w:after="240" w:line="360" w:lineRule="auto"/>
        <w:jc w:val="both"/>
        <w:rPr>
          <w:rFonts w:cs="David"/>
          <w:rtl/>
        </w:rPr>
      </w:pPr>
      <w:r>
        <w:rPr>
          <w:rFonts w:cs="David" w:hint="cs"/>
          <w:rtl/>
        </w:rPr>
        <w:t>האמור בסיכום הטענות בא להוסיף על האמור בהודעת הערעור ובכתבי בי-הדין מטעמו של המערער בתיק שבכותרת ובבית הדין קמא.</w:t>
      </w:r>
    </w:p>
    <w:p w:rsidR="00D603D2" w:rsidRDefault="00D603D2">
      <w:pPr>
        <w:bidi w:val="0"/>
        <w:rPr>
          <w:rFonts w:cs="David"/>
          <w:rtl/>
        </w:rPr>
      </w:pPr>
      <w:r>
        <w:rPr>
          <w:rFonts w:cs="David"/>
          <w:rtl/>
        </w:rPr>
        <w:br w:type="page"/>
      </w:r>
    </w:p>
    <w:p w:rsidR="00971A55" w:rsidRDefault="00971A55" w:rsidP="00971A55">
      <w:pPr>
        <w:tabs>
          <w:tab w:val="left" w:pos="566"/>
        </w:tabs>
        <w:spacing w:after="240" w:line="360" w:lineRule="auto"/>
        <w:jc w:val="both"/>
        <w:rPr>
          <w:rFonts w:cs="David"/>
        </w:rPr>
      </w:pPr>
      <w:r>
        <w:rPr>
          <w:rFonts w:cs="David" w:hint="cs"/>
          <w:rtl/>
        </w:rPr>
        <w:lastRenderedPageBreak/>
        <w:t xml:space="preserve">פסק הדין נשוא הערעור עסק בשאלות מקדמיות של סילוק על הסף מחמת טענות של התיישנות, שיהוי ואי נקיטת הליך מתאים. בית הדין קמא קיבל את הבקשות ומחק את תביעתו של המערער על הסף. הערעור בתיק שבכותרת עוסק אך ורק בסוגיות המקדמיות בהן הכריע פסק הדין. </w:t>
      </w:r>
    </w:p>
    <w:p w:rsidR="00801BAC" w:rsidRPr="00C901B5" w:rsidRDefault="00D603D2" w:rsidP="00971A55">
      <w:pPr>
        <w:pStyle w:val="2"/>
        <w:numPr>
          <w:ilvl w:val="0"/>
          <w:numId w:val="2"/>
        </w:numPr>
        <w:tabs>
          <w:tab w:val="clear" w:pos="566"/>
          <w:tab w:val="left" w:pos="620"/>
        </w:tabs>
        <w:spacing w:after="120"/>
        <w:ind w:left="620" w:hanging="486"/>
        <w:rPr>
          <w:sz w:val="28"/>
          <w:lang w:eastAsia="en-US"/>
        </w:rPr>
      </w:pPr>
      <w:r>
        <w:rPr>
          <w:rFonts w:hint="cs"/>
          <w:sz w:val="28"/>
          <w:rtl/>
          <w:lang w:eastAsia="en-US"/>
        </w:rPr>
        <w:t>פתח דבר</w:t>
      </w:r>
    </w:p>
    <w:p w:rsidR="00971A55" w:rsidRDefault="00971A55" w:rsidP="007D4BF0">
      <w:pPr>
        <w:numPr>
          <w:ilvl w:val="0"/>
          <w:numId w:val="1"/>
        </w:numPr>
        <w:tabs>
          <w:tab w:val="left" w:pos="566"/>
        </w:tabs>
        <w:spacing w:after="240" w:line="360" w:lineRule="auto"/>
        <w:ind w:left="566" w:hanging="540"/>
        <w:jc w:val="both"/>
        <w:rPr>
          <w:rFonts w:cs="David"/>
        </w:rPr>
      </w:pPr>
      <w:r>
        <w:rPr>
          <w:rFonts w:cs="David" w:hint="cs"/>
          <w:rtl/>
        </w:rPr>
        <w:t>המערער הועסק</w:t>
      </w:r>
      <w:r w:rsidR="007D4BF0">
        <w:rPr>
          <w:rFonts w:cs="David" w:hint="cs"/>
          <w:rtl/>
        </w:rPr>
        <w:t xml:space="preserve"> במשרד האוצר</w:t>
      </w:r>
      <w:r>
        <w:rPr>
          <w:rFonts w:cs="David" w:hint="cs"/>
          <w:rtl/>
        </w:rPr>
        <w:t xml:space="preserve"> במשך </w:t>
      </w:r>
      <w:r w:rsidR="007D4BF0">
        <w:rPr>
          <w:rFonts w:cs="David" w:hint="cs"/>
          <w:rtl/>
        </w:rPr>
        <w:t>כעשרים שנים תחת כתב מינוי והחל משנת 1990 ועד פרישתו הכפויה בשנת 2012 בחוזה בכירים. ביום 1.4.2010 הוארך תוקפו של חוזה הבכירים מכוחו הועסק המערער לתקופה של ארבע שנים נוספות</w:t>
      </w:r>
      <w:r w:rsidR="00FC712D">
        <w:rPr>
          <w:rFonts w:cs="David" w:hint="cs"/>
          <w:rtl/>
        </w:rPr>
        <w:t xml:space="preserve"> עד ליום 31.3.2014</w:t>
      </w:r>
      <w:r w:rsidR="007D4BF0">
        <w:rPr>
          <w:rFonts w:cs="David" w:hint="cs"/>
          <w:rtl/>
        </w:rPr>
        <w:t>, אף שהמשיבות ידעו היטב כי המערער יגיע לגיל פרישה במהלך תקופת החוזה (בחודש יולי בשנת 2012).</w:t>
      </w:r>
    </w:p>
    <w:p w:rsidR="00D603D2" w:rsidRDefault="007D4BF0" w:rsidP="008C7FC6">
      <w:pPr>
        <w:numPr>
          <w:ilvl w:val="0"/>
          <w:numId w:val="1"/>
        </w:numPr>
        <w:tabs>
          <w:tab w:val="left" w:pos="566"/>
        </w:tabs>
        <w:spacing w:after="240" w:line="360" w:lineRule="auto"/>
        <w:ind w:left="566" w:hanging="540"/>
        <w:jc w:val="both"/>
        <w:rPr>
          <w:rFonts w:cs="David"/>
        </w:rPr>
      </w:pPr>
      <w:r w:rsidRPr="007C08B1">
        <w:rPr>
          <w:rFonts w:cs="David" w:hint="cs"/>
          <w:rtl/>
        </w:rPr>
        <w:t>בפועל, וחרף ה</w:t>
      </w:r>
      <w:r w:rsidR="007C08B1" w:rsidRPr="007C08B1">
        <w:rPr>
          <w:rFonts w:cs="David" w:hint="cs"/>
          <w:rtl/>
        </w:rPr>
        <w:t xml:space="preserve">וראותיו הכתובות של חוזה הבכירים הודיעה המדינה חד-צדדית למערער על הפסקת עבודתו בחודש אוגוסט 2012, באמצעות משרד האוצר </w:t>
      </w:r>
      <w:r w:rsidR="007C08B1" w:rsidRPr="007C08B1">
        <w:rPr>
          <w:rFonts w:cs="David"/>
          <w:rtl/>
        </w:rPr>
        <w:t>–</w:t>
      </w:r>
      <w:r w:rsidR="007C08B1" w:rsidRPr="007C08B1">
        <w:rPr>
          <w:rFonts w:cs="David" w:hint="cs"/>
          <w:rtl/>
        </w:rPr>
        <w:t xml:space="preserve"> שאינו הגורם המוסמך</w:t>
      </w:r>
      <w:r w:rsidR="007C08B1">
        <w:rPr>
          <w:rFonts w:cs="David" w:hint="cs"/>
          <w:rtl/>
        </w:rPr>
        <w:t xml:space="preserve">, ולמעשה </w:t>
      </w:r>
      <w:r w:rsidR="007C08B1">
        <w:rPr>
          <w:rFonts w:cs="David"/>
          <w:rtl/>
        </w:rPr>
        <w:t>–</w:t>
      </w:r>
      <w:r w:rsidR="007C08B1">
        <w:rPr>
          <w:rFonts w:cs="David" w:hint="cs"/>
          <w:rtl/>
        </w:rPr>
        <w:t xml:space="preserve"> סילקה אותו ממקום עבודתו לאחר כארבעים ושתיים שנים, ללא שימוע</w:t>
      </w:r>
      <w:r w:rsidR="008C7FC6">
        <w:rPr>
          <w:rFonts w:cs="David" w:hint="cs"/>
          <w:rtl/>
        </w:rPr>
        <w:t>,</w:t>
      </w:r>
      <w:r w:rsidR="007C08B1">
        <w:rPr>
          <w:rFonts w:cs="David" w:hint="cs"/>
          <w:rtl/>
        </w:rPr>
        <w:t xml:space="preserve"> בניגוד להוראות החוזה</w:t>
      </w:r>
      <w:r w:rsidR="008C7FC6">
        <w:rPr>
          <w:rFonts w:cs="David" w:hint="cs"/>
          <w:rtl/>
        </w:rPr>
        <w:t xml:space="preserve"> ובניגוד מוחלט להוראות הדין המתוות את הדרך להפרשת עובד לגימלאות, לרבות לעניין מועד ההודעה על הכוונה להפריש את המערער לגימלאות</w:t>
      </w:r>
      <w:r w:rsidR="007C08B1">
        <w:rPr>
          <w:rFonts w:cs="David" w:hint="cs"/>
          <w:rtl/>
        </w:rPr>
        <w:t xml:space="preserve">. </w:t>
      </w:r>
    </w:p>
    <w:p w:rsidR="007C08B1" w:rsidRPr="004E3AEB" w:rsidRDefault="007C08B1" w:rsidP="007C08B1">
      <w:pPr>
        <w:numPr>
          <w:ilvl w:val="0"/>
          <w:numId w:val="1"/>
        </w:numPr>
        <w:tabs>
          <w:tab w:val="left" w:pos="566"/>
        </w:tabs>
        <w:spacing w:after="240" w:line="360" w:lineRule="auto"/>
        <w:ind w:left="566" w:hanging="540"/>
        <w:jc w:val="both"/>
        <w:rPr>
          <w:rFonts w:cs="David"/>
        </w:rPr>
      </w:pPr>
      <w:r>
        <w:rPr>
          <w:rFonts w:cs="David" w:hint="cs"/>
          <w:rtl/>
        </w:rPr>
        <w:t xml:space="preserve">במשך מספר חודשים, לאחר שסולק מעבודתו בניגוד לדין, לא קיבל המערער גמלה, ורק בחודש </w:t>
      </w:r>
      <w:r>
        <w:rPr>
          <w:rFonts w:cs="David" w:hint="cs"/>
          <w:b/>
          <w:bCs/>
          <w:rtl/>
        </w:rPr>
        <w:t>דצמבר 2012 קיבל המערער לראשונה מהגורם המוסמך הודעה על הגמלה המגיעה לו</w:t>
      </w:r>
      <w:r w:rsidR="00BD1F60">
        <w:rPr>
          <w:rFonts w:cs="David" w:hint="cs"/>
          <w:b/>
          <w:bCs/>
          <w:rtl/>
        </w:rPr>
        <w:t>, ונדהם לגלות כי המדינה פגעה פגיעה קשה בזכויותיו ובגימלה המגיעה לו, בנוסף על הפגיעה הקשה כתוצאה מהפסקת החוזה הקצוב במהלך תקופת החוזה</w:t>
      </w:r>
      <w:r>
        <w:rPr>
          <w:rFonts w:cs="David" w:hint="cs"/>
          <w:b/>
          <w:bCs/>
          <w:rtl/>
        </w:rPr>
        <w:t xml:space="preserve">. </w:t>
      </w:r>
    </w:p>
    <w:p w:rsidR="004E3AEB" w:rsidRPr="00B80E15" w:rsidRDefault="004E3AEB" w:rsidP="004E3AEB">
      <w:pPr>
        <w:tabs>
          <w:tab w:val="left" w:pos="566"/>
        </w:tabs>
        <w:spacing w:after="240" w:line="360" w:lineRule="auto"/>
        <w:ind w:left="566"/>
        <w:jc w:val="both"/>
        <w:rPr>
          <w:rFonts w:cs="David"/>
        </w:rPr>
      </w:pPr>
      <w:r w:rsidRPr="00B80E15">
        <w:rPr>
          <w:rFonts w:cs="David" w:hint="cs"/>
          <w:rtl/>
        </w:rPr>
        <w:t>יודגש כי בהודעה זאת נכתב למערער</w:t>
      </w:r>
      <w:r>
        <w:rPr>
          <w:rFonts w:cs="David" w:hint="cs"/>
          <w:b/>
          <w:bCs/>
          <w:rtl/>
        </w:rPr>
        <w:t xml:space="preserve"> </w:t>
      </w:r>
      <w:r>
        <w:rPr>
          <w:rFonts w:cs="David" w:hint="cs"/>
          <w:b/>
          <w:bCs/>
          <w:u w:val="single"/>
          <w:rtl/>
        </w:rPr>
        <w:t>לראשונה</w:t>
      </w:r>
      <w:r>
        <w:rPr>
          <w:rFonts w:cs="David" w:hint="cs"/>
          <w:b/>
          <w:bCs/>
          <w:rtl/>
        </w:rPr>
        <w:t xml:space="preserve"> כי על ההחלטה נית</w:t>
      </w:r>
      <w:r w:rsidR="00B80E15">
        <w:rPr>
          <w:rFonts w:cs="David" w:hint="cs"/>
          <w:b/>
          <w:bCs/>
          <w:rtl/>
        </w:rPr>
        <w:t xml:space="preserve">ן לערער תוך 60 יום ממועד קבלתה. </w:t>
      </w:r>
      <w:r w:rsidR="00B80E15" w:rsidRPr="00B80E15">
        <w:rPr>
          <w:rFonts w:cs="David" w:hint="cs"/>
          <w:rtl/>
        </w:rPr>
        <w:t xml:space="preserve">וחשוב אף יותר </w:t>
      </w:r>
      <w:r w:rsidR="00B80E15" w:rsidRPr="00B80E15">
        <w:rPr>
          <w:rFonts w:cs="David"/>
          <w:rtl/>
        </w:rPr>
        <w:t>–</w:t>
      </w:r>
      <w:r w:rsidR="00B80E15" w:rsidRPr="00B80E15">
        <w:rPr>
          <w:rFonts w:cs="David" w:hint="cs"/>
          <w:rtl/>
        </w:rPr>
        <w:t xml:space="preserve"> </w:t>
      </w:r>
      <w:r w:rsidR="00B80E15">
        <w:rPr>
          <w:rFonts w:cs="David" w:hint="cs"/>
          <w:b/>
          <w:bCs/>
          <w:rtl/>
        </w:rPr>
        <w:t xml:space="preserve">ההודעה קובעת את המועד המוקדם לתחילת מירוץ ההתיישנות </w:t>
      </w:r>
      <w:r w:rsidR="00B80E15">
        <w:rPr>
          <w:rFonts w:cs="David"/>
          <w:b/>
          <w:bCs/>
          <w:rtl/>
        </w:rPr>
        <w:t>–</w:t>
      </w:r>
      <w:r w:rsidR="00B80E15">
        <w:rPr>
          <w:rFonts w:cs="David" w:hint="cs"/>
          <w:b/>
          <w:bCs/>
          <w:rtl/>
        </w:rPr>
        <w:t xml:space="preserve"> דצמבר 2012 </w:t>
      </w:r>
      <w:r w:rsidR="00B80E15">
        <w:rPr>
          <w:rFonts w:cs="David" w:hint="cs"/>
          <w:rtl/>
        </w:rPr>
        <w:t>(כזכור, התביעה בבית הדין קמא הוגשה בחודש אוקטובר 2019, פחות משבע שנים ממועד זה).</w:t>
      </w:r>
    </w:p>
    <w:p w:rsidR="006C1AAF" w:rsidRDefault="00BD1F60" w:rsidP="007C08B1">
      <w:pPr>
        <w:numPr>
          <w:ilvl w:val="0"/>
          <w:numId w:val="1"/>
        </w:numPr>
        <w:tabs>
          <w:tab w:val="left" w:pos="566"/>
        </w:tabs>
        <w:spacing w:after="240" w:line="360" w:lineRule="auto"/>
        <w:ind w:left="566" w:hanging="540"/>
        <w:jc w:val="both"/>
        <w:rPr>
          <w:rFonts w:cs="David"/>
        </w:rPr>
      </w:pPr>
      <w:r>
        <w:rPr>
          <w:rFonts w:cs="David" w:hint="cs"/>
          <w:rtl/>
        </w:rPr>
        <w:t xml:space="preserve">בעקבות פניותיו של המערער, הוא התבקש להשלים את בירור טענותיו מול נציבות שירות המדינה, כאשר הוסבר לו שהוא אינו כפוף למועד הגשת ערעור על פי חוק הגמלאות. המערער פעל בהתאם כאשר המדינה </w:t>
      </w:r>
      <w:r w:rsidR="008C7FC6">
        <w:rPr>
          <w:rFonts w:cs="David" w:hint="cs"/>
          <w:rtl/>
        </w:rPr>
        <w:t xml:space="preserve">נקטה סחבת ממושכת </w:t>
      </w:r>
      <w:r w:rsidR="008C7FC6">
        <w:rPr>
          <w:rFonts w:cs="David"/>
          <w:rtl/>
        </w:rPr>
        <w:t>–</w:t>
      </w:r>
      <w:r w:rsidR="008C7FC6">
        <w:rPr>
          <w:rFonts w:cs="David" w:hint="cs"/>
          <w:rtl/>
        </w:rPr>
        <w:t xml:space="preserve"> כפי שהוסבר ותואר בכתב התביעה. רק כאשר הבין המערער כי לא נותרה לו ברירה וכי תקופת ההתיישנות הולכת ומתקרבת </w:t>
      </w:r>
      <w:r w:rsidR="008C7FC6">
        <w:rPr>
          <w:rFonts w:cs="David"/>
          <w:rtl/>
        </w:rPr>
        <w:t>–</w:t>
      </w:r>
      <w:r w:rsidR="008C7FC6">
        <w:rPr>
          <w:rFonts w:cs="David" w:hint="cs"/>
          <w:rtl/>
        </w:rPr>
        <w:t xml:space="preserve"> הוא פנה לבית הדין לעבודה בחודש אוקטובר 2019, פחות משבע שנים מהמועד בו נודע לו לראשונה מה גובה הגימלה</w:t>
      </w:r>
      <w:r w:rsidR="00434BEF">
        <w:rPr>
          <w:rFonts w:cs="David" w:hint="cs"/>
          <w:rtl/>
        </w:rPr>
        <w:t xml:space="preserve"> המשולמת לו</w:t>
      </w:r>
      <w:r w:rsidR="008C7FC6">
        <w:rPr>
          <w:rFonts w:cs="David" w:hint="cs"/>
          <w:rtl/>
        </w:rPr>
        <w:t xml:space="preserve">. </w:t>
      </w:r>
    </w:p>
    <w:p w:rsidR="008C7FC6" w:rsidRDefault="008C7FC6" w:rsidP="007C08B1">
      <w:pPr>
        <w:numPr>
          <w:ilvl w:val="0"/>
          <w:numId w:val="1"/>
        </w:numPr>
        <w:tabs>
          <w:tab w:val="left" w:pos="566"/>
        </w:tabs>
        <w:spacing w:after="240" w:line="360" w:lineRule="auto"/>
        <w:ind w:left="566" w:hanging="540"/>
        <w:jc w:val="both"/>
        <w:rPr>
          <w:rFonts w:cs="David"/>
        </w:rPr>
      </w:pPr>
      <w:r>
        <w:rPr>
          <w:rFonts w:cs="David" w:hint="cs"/>
          <w:rtl/>
        </w:rPr>
        <w:t>בהמשך ישיר להתנהלות המדינה עד להגשת התביעה היא הגישה בקשה לסילוק על הסף מטעמי התיישנות ושיהוי ובית הדין קמא קיבל את בקשתה</w:t>
      </w:r>
      <w:r w:rsidR="00B80E15">
        <w:rPr>
          <w:rFonts w:cs="David" w:hint="cs"/>
          <w:rtl/>
        </w:rPr>
        <w:t>, ואף הוסיף עליה</w:t>
      </w:r>
      <w:r>
        <w:rPr>
          <w:rFonts w:cs="David" w:hint="cs"/>
          <w:rtl/>
        </w:rPr>
        <w:t xml:space="preserve">. מכאן הערעור שבכותרת. </w:t>
      </w:r>
    </w:p>
    <w:p w:rsidR="007C08B1" w:rsidRPr="007C08B1" w:rsidRDefault="007C08B1" w:rsidP="00B80E15">
      <w:pPr>
        <w:tabs>
          <w:tab w:val="left" w:pos="566"/>
        </w:tabs>
        <w:spacing w:line="360" w:lineRule="auto"/>
        <w:ind w:left="566"/>
        <w:jc w:val="both"/>
        <w:rPr>
          <w:rFonts w:cs="David"/>
        </w:rPr>
      </w:pPr>
    </w:p>
    <w:p w:rsidR="008F5336" w:rsidRDefault="00FA099A"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t>פסק הדין אינו עולה בקנה אחד עם מדיניות בתי הדין ביחס לבקשות לסילוק על הסף</w:t>
      </w:r>
    </w:p>
    <w:p w:rsidR="00B71DBC" w:rsidRDefault="00A0368B" w:rsidP="004101E7">
      <w:pPr>
        <w:numPr>
          <w:ilvl w:val="0"/>
          <w:numId w:val="1"/>
        </w:numPr>
        <w:tabs>
          <w:tab w:val="left" w:pos="566"/>
        </w:tabs>
        <w:spacing w:after="240" w:line="360" w:lineRule="auto"/>
        <w:ind w:left="566" w:hanging="540"/>
        <w:jc w:val="both"/>
        <w:rPr>
          <w:rFonts w:cs="David"/>
        </w:rPr>
      </w:pPr>
      <w:r w:rsidRPr="00B80E15">
        <w:rPr>
          <w:rFonts w:cs="David" w:hint="cs"/>
          <w:rtl/>
        </w:rPr>
        <w:t>כאמור בסעיף 19 לפסק הדין "</w:t>
      </w:r>
      <w:r w:rsidRPr="00B80E15">
        <w:rPr>
          <w:rFonts w:asciiTheme="majorBidi" w:hAnsiTheme="majorBidi" w:cstheme="majorBidi"/>
          <w:rtl/>
        </w:rPr>
        <w:t>סעד של דחייה על הסף הוא סעד שיש לנקוט לגביו משנה זהירות</w:t>
      </w:r>
      <w:r w:rsidRPr="00B80E15">
        <w:rPr>
          <w:rFonts w:cs="David" w:hint="cs"/>
          <w:rtl/>
        </w:rPr>
        <w:t xml:space="preserve">". </w:t>
      </w:r>
      <w:r w:rsidR="00B71DBC" w:rsidRPr="00B80E15">
        <w:rPr>
          <w:rFonts w:cs="David" w:hint="cs"/>
          <w:rtl/>
        </w:rPr>
        <w:t xml:space="preserve">ואכן, ההלכה המקובלת היא </w:t>
      </w:r>
      <w:r w:rsidR="00B71DBC" w:rsidRPr="00B80E15">
        <w:rPr>
          <w:rFonts w:cs="David"/>
          <w:rtl/>
        </w:rPr>
        <w:t>ש</w:t>
      </w:r>
      <w:r w:rsidR="00B71DBC" w:rsidRPr="00B80E15">
        <w:rPr>
          <w:rFonts w:cs="David"/>
          <w:b/>
          <w:bCs/>
          <w:rtl/>
        </w:rPr>
        <w:t>רק במקרים נדירים מתקבלות בקשות לדחייה על הסף</w:t>
      </w:r>
      <w:r w:rsidR="00B71DBC" w:rsidRPr="00B80E15">
        <w:rPr>
          <w:rFonts w:cs="David"/>
          <w:rtl/>
        </w:rPr>
        <w:t xml:space="preserve"> (</w:t>
      </w:r>
      <w:r w:rsidR="00B71DBC" w:rsidRPr="00B80E15">
        <w:rPr>
          <w:rFonts w:cs="David" w:hint="cs"/>
          <w:rtl/>
        </w:rPr>
        <w:t xml:space="preserve">ראו לדוגמא </w:t>
      </w:r>
      <w:r w:rsidR="00B71DBC" w:rsidRPr="00B80E15">
        <w:rPr>
          <w:rFonts w:cs="David"/>
          <w:rtl/>
        </w:rPr>
        <w:t xml:space="preserve">ברע 158/99  </w:t>
      </w:r>
      <w:r w:rsidR="00B71DBC" w:rsidRPr="00B80E15">
        <w:rPr>
          <w:rFonts w:cs="David"/>
          <w:u w:val="single"/>
          <w:rtl/>
        </w:rPr>
        <w:t>סלקום ישראל בע"מ נ' רגינה בליאק</w:t>
      </w:r>
      <w:r w:rsidR="00B71DBC" w:rsidRPr="00B80E15">
        <w:rPr>
          <w:rFonts w:cs="David" w:hint="cs"/>
          <w:rtl/>
        </w:rPr>
        <w:t xml:space="preserve">; </w:t>
      </w:r>
      <w:r w:rsidR="00B71DBC" w:rsidRPr="00B80E15">
        <w:rPr>
          <w:rFonts w:cs="David"/>
          <w:rtl/>
        </w:rPr>
        <w:t xml:space="preserve">ברע 67197-01/17  </w:t>
      </w:r>
      <w:r w:rsidR="00B71DBC" w:rsidRPr="00B80E15">
        <w:rPr>
          <w:rFonts w:cs="David"/>
          <w:u w:val="single"/>
          <w:rtl/>
        </w:rPr>
        <w:t xml:space="preserve">רותם גיספאן נ' בסט שרותי קירור </w:t>
      </w:r>
      <w:r w:rsidR="00B71DBC" w:rsidRPr="00B80E15">
        <w:rPr>
          <w:rFonts w:cs="David"/>
          <w:u w:val="single"/>
          <w:rtl/>
        </w:rPr>
        <w:lastRenderedPageBreak/>
        <w:t>בע"מ, שחר שטינלאוף</w:t>
      </w:r>
      <w:r w:rsidR="00B71DBC" w:rsidRPr="00B80E15">
        <w:rPr>
          <w:rFonts w:cs="David" w:hint="cs"/>
          <w:rtl/>
        </w:rPr>
        <w:t xml:space="preserve">). </w:t>
      </w:r>
      <w:r w:rsidR="00B80E15" w:rsidRPr="00B80E15">
        <w:rPr>
          <w:rFonts w:cs="David" w:hint="cs"/>
          <w:rtl/>
        </w:rPr>
        <w:t xml:space="preserve">כידוע, </w:t>
      </w:r>
      <w:r w:rsidR="00B71DBC" w:rsidRPr="00B80E15">
        <w:rPr>
          <w:rFonts w:cs="David" w:hint="cs"/>
          <w:rtl/>
        </w:rPr>
        <w:t>הלכה זאת עולה</w:t>
      </w:r>
      <w:r w:rsidR="00B71DBC" w:rsidRPr="00B80E15">
        <w:rPr>
          <w:rFonts w:cs="David"/>
          <w:rtl/>
        </w:rPr>
        <w:t xml:space="preserve"> בקנה אחד עם ההכרה במעמדה של זכות הגישה לערכאות (</w:t>
      </w:r>
      <w:r w:rsidR="00B71DBC" w:rsidRPr="00B80E15">
        <w:rPr>
          <w:rFonts w:cs="David" w:hint="cs"/>
          <w:rtl/>
        </w:rPr>
        <w:t xml:space="preserve">ראו לדוגמא </w:t>
      </w:r>
      <w:r w:rsidR="00B71DBC" w:rsidRPr="00B80E15">
        <w:rPr>
          <w:rFonts w:cs="David"/>
          <w:rtl/>
        </w:rPr>
        <w:t xml:space="preserve">עבל 59462-12/15 </w:t>
      </w:r>
      <w:r w:rsidR="00B71DBC" w:rsidRPr="00B80E15">
        <w:rPr>
          <w:rFonts w:cs="David"/>
          <w:b/>
          <w:bCs/>
          <w:rtl/>
        </w:rPr>
        <w:t>מוניקה מאלו נ' המוסד לביטוח לאומי</w:t>
      </w:r>
      <w:r w:rsidR="00B71DBC" w:rsidRPr="00B80E15">
        <w:rPr>
          <w:rFonts w:cs="David"/>
          <w:rtl/>
        </w:rPr>
        <w:t>, מיום 24.8.2018).</w:t>
      </w:r>
    </w:p>
    <w:p w:rsidR="0065419A" w:rsidRPr="00B80E15" w:rsidRDefault="0065419A" w:rsidP="00B80E15">
      <w:pPr>
        <w:numPr>
          <w:ilvl w:val="0"/>
          <w:numId w:val="1"/>
        </w:numPr>
        <w:tabs>
          <w:tab w:val="left" w:pos="566"/>
        </w:tabs>
        <w:spacing w:after="240" w:line="360" w:lineRule="auto"/>
        <w:ind w:left="566" w:hanging="540"/>
        <w:jc w:val="both"/>
        <w:rPr>
          <w:rFonts w:cs="David"/>
          <w:rtl/>
        </w:rPr>
      </w:pPr>
      <w:r w:rsidRPr="00B80E15">
        <w:rPr>
          <w:rFonts w:cs="David" w:hint="cs"/>
          <w:rtl/>
        </w:rPr>
        <w:t xml:space="preserve">בית הדין קמא סקר אינטרסים שונים שאותם יש לאזן בהכרעה בבחינת בקשות לסילוק על הסף. אלא שדווקא האינטרסים שסקר בית הדין קמא בסעיף 19 לפסק הדין תומכות בכך שהתביעה תתברר לגופה </w:t>
      </w:r>
      <w:r w:rsidR="00A234B7" w:rsidRPr="00B80E15">
        <w:rPr>
          <w:rFonts w:cs="David" w:hint="cs"/>
          <w:rtl/>
        </w:rPr>
        <w:t xml:space="preserve">ולא כפי שקבע בית הדין קמא </w:t>
      </w:r>
      <w:r w:rsidR="00A234B7" w:rsidRPr="00B80E15">
        <w:rPr>
          <w:rFonts w:cs="David"/>
          <w:rtl/>
        </w:rPr>
        <w:t>–</w:t>
      </w:r>
      <w:r w:rsidR="00A234B7" w:rsidRPr="00B80E15">
        <w:rPr>
          <w:rFonts w:cs="David" w:hint="cs"/>
          <w:rtl/>
        </w:rPr>
        <w:t xml:space="preserve"> </w:t>
      </w:r>
    </w:p>
    <w:p w:rsidR="001B1104" w:rsidRDefault="001B1104" w:rsidP="000105BC">
      <w:pPr>
        <w:pStyle w:val="af0"/>
        <w:numPr>
          <w:ilvl w:val="0"/>
          <w:numId w:val="8"/>
        </w:numPr>
        <w:tabs>
          <w:tab w:val="left" w:pos="1070"/>
        </w:tabs>
        <w:spacing w:after="240" w:line="360" w:lineRule="auto"/>
        <w:ind w:left="1065" w:hanging="446"/>
        <w:contextualSpacing w:val="0"/>
        <w:jc w:val="both"/>
        <w:rPr>
          <w:rFonts w:cs="David"/>
          <w:sz w:val="24"/>
          <w:szCs w:val="24"/>
        </w:rPr>
      </w:pPr>
      <w:r w:rsidRPr="001B1104">
        <w:rPr>
          <w:rFonts w:cs="David" w:hint="cs"/>
          <w:b/>
          <w:bCs/>
          <w:sz w:val="24"/>
          <w:szCs w:val="24"/>
          <w:rtl/>
        </w:rPr>
        <w:t xml:space="preserve">למדינה לא נגרם </w:t>
      </w:r>
      <w:r w:rsidR="00A234B7" w:rsidRPr="001B1104">
        <w:rPr>
          <w:rFonts w:cs="David"/>
          <w:b/>
          <w:bCs/>
          <w:sz w:val="24"/>
          <w:szCs w:val="24"/>
          <w:rtl/>
        </w:rPr>
        <w:t>"נזק ראייתי"-</w:t>
      </w:r>
      <w:r w:rsidR="00A234B7" w:rsidRPr="00520CE6">
        <w:rPr>
          <w:rFonts w:cs="David"/>
          <w:sz w:val="24"/>
          <w:szCs w:val="24"/>
          <w:rtl/>
        </w:rPr>
        <w:t xml:space="preserve"> </w:t>
      </w:r>
      <w:r w:rsidR="00A234B7" w:rsidRPr="00520CE6">
        <w:rPr>
          <w:rFonts w:cs="David" w:hint="cs"/>
          <w:sz w:val="24"/>
          <w:szCs w:val="24"/>
          <w:rtl/>
        </w:rPr>
        <w:t>המדינה לא הצביעה על</w:t>
      </w:r>
      <w:r w:rsidR="00A234B7" w:rsidRPr="00520CE6">
        <w:rPr>
          <w:rFonts w:cs="David"/>
          <w:sz w:val="24"/>
          <w:szCs w:val="24"/>
          <w:rtl/>
        </w:rPr>
        <w:t xml:space="preserve"> כל נזק ראייתי </w:t>
      </w:r>
      <w:r w:rsidR="00A234B7" w:rsidRPr="00520CE6">
        <w:rPr>
          <w:rFonts w:cs="David" w:hint="cs"/>
          <w:sz w:val="24"/>
          <w:szCs w:val="24"/>
          <w:rtl/>
        </w:rPr>
        <w:t>קונקרטי</w:t>
      </w:r>
      <w:r>
        <w:rPr>
          <w:rFonts w:cs="David" w:hint="cs"/>
          <w:sz w:val="24"/>
          <w:szCs w:val="24"/>
          <w:rtl/>
        </w:rPr>
        <w:t>, או בכלל.</w:t>
      </w:r>
    </w:p>
    <w:p w:rsidR="00A234B7" w:rsidRPr="001B1104" w:rsidRDefault="00A234B7" w:rsidP="001B1104">
      <w:pPr>
        <w:pStyle w:val="af0"/>
        <w:tabs>
          <w:tab w:val="left" w:pos="1070"/>
        </w:tabs>
        <w:spacing w:after="240" w:line="360" w:lineRule="auto"/>
        <w:ind w:left="1065"/>
        <w:contextualSpacing w:val="0"/>
        <w:jc w:val="both"/>
        <w:rPr>
          <w:rFonts w:cs="David"/>
          <w:sz w:val="24"/>
          <w:szCs w:val="24"/>
          <w:rtl/>
        </w:rPr>
      </w:pPr>
      <w:r w:rsidRPr="001B1104">
        <w:rPr>
          <w:rFonts w:cs="David"/>
          <w:sz w:val="24"/>
          <w:szCs w:val="24"/>
          <w:rtl/>
        </w:rPr>
        <w:t>ממילא היתה זאת אחריותה המלאה ל</w:t>
      </w:r>
      <w:r w:rsidR="00520CE6" w:rsidRPr="001B1104">
        <w:rPr>
          <w:rFonts w:cs="David"/>
          <w:sz w:val="24"/>
          <w:szCs w:val="24"/>
          <w:rtl/>
        </w:rPr>
        <w:t>דאוג לשמור את המסמכים הרלבנטיים</w:t>
      </w:r>
      <w:r w:rsidR="00520CE6" w:rsidRPr="001B1104">
        <w:rPr>
          <w:rFonts w:cs="David" w:hint="cs"/>
          <w:sz w:val="24"/>
          <w:szCs w:val="24"/>
          <w:rtl/>
        </w:rPr>
        <w:t xml:space="preserve">. ראו </w:t>
      </w:r>
      <w:r w:rsidR="00520CE6" w:rsidRPr="001B1104">
        <w:rPr>
          <w:rFonts w:cs="David"/>
          <w:sz w:val="24"/>
          <w:szCs w:val="24"/>
          <w:rtl/>
        </w:rPr>
        <w:t xml:space="preserve">תקנה 4(7) </w:t>
      </w:r>
      <w:r w:rsidR="00520CE6" w:rsidRPr="001B1104">
        <w:rPr>
          <w:rFonts w:cs="David" w:hint="cs"/>
          <w:sz w:val="24"/>
          <w:szCs w:val="24"/>
          <w:rtl/>
        </w:rPr>
        <w:t>ל</w:t>
      </w:r>
      <w:r w:rsidRPr="001B1104">
        <w:rPr>
          <w:rFonts w:cs="David"/>
          <w:sz w:val="24"/>
          <w:szCs w:val="24"/>
          <w:rtl/>
        </w:rPr>
        <w:t xml:space="preserve">תקנות הארכיונים (ביעור חומר ארכיוני במוסדות המדינה וברשויות המקומיות), תשמ"ו-1986. </w:t>
      </w:r>
      <w:r w:rsidR="00520CE6" w:rsidRPr="001B1104">
        <w:rPr>
          <w:rFonts w:cs="David" w:hint="cs"/>
          <w:sz w:val="24"/>
          <w:szCs w:val="24"/>
          <w:rtl/>
        </w:rPr>
        <w:t>הקובעת</w:t>
      </w:r>
      <w:r w:rsidRPr="001B1104">
        <w:rPr>
          <w:rFonts w:cs="David"/>
          <w:sz w:val="24"/>
          <w:szCs w:val="24"/>
          <w:rtl/>
        </w:rPr>
        <w:t xml:space="preserve"> כי שמירת תיקו האישי של עובד שהוא או שאריו מקבלים גמלה מהמדינה, יישמר - "</w:t>
      </w:r>
      <w:r w:rsidRPr="001B1104">
        <w:rPr>
          <w:rFonts w:cs="David"/>
          <w:b/>
          <w:bCs/>
          <w:i/>
          <w:iCs/>
          <w:sz w:val="24"/>
          <w:szCs w:val="24"/>
          <w:rtl/>
        </w:rPr>
        <w:t>100 שנים לאחר לידתו של האדם אליו מתייחס התיק</w:t>
      </w:r>
      <w:r w:rsidRPr="001B1104">
        <w:rPr>
          <w:rFonts w:cs="David"/>
          <w:sz w:val="24"/>
          <w:szCs w:val="24"/>
          <w:rtl/>
        </w:rPr>
        <w:t xml:space="preserve">". </w:t>
      </w:r>
    </w:p>
    <w:p w:rsidR="00A234B7" w:rsidRPr="00520CE6" w:rsidRDefault="001B1104" w:rsidP="00520CE6">
      <w:pPr>
        <w:pStyle w:val="af0"/>
        <w:tabs>
          <w:tab w:val="left" w:pos="1070"/>
        </w:tabs>
        <w:spacing w:after="240" w:line="360" w:lineRule="auto"/>
        <w:ind w:left="1065"/>
        <w:contextualSpacing w:val="0"/>
        <w:jc w:val="both"/>
        <w:rPr>
          <w:rFonts w:cs="David"/>
          <w:sz w:val="24"/>
          <w:szCs w:val="24"/>
        </w:rPr>
      </w:pPr>
      <w:r>
        <w:rPr>
          <w:rFonts w:cs="David" w:hint="cs"/>
          <w:sz w:val="24"/>
          <w:szCs w:val="24"/>
          <w:rtl/>
        </w:rPr>
        <w:t xml:space="preserve">כמו כן </w:t>
      </w:r>
      <w:r w:rsidR="00A234B7" w:rsidRPr="00520CE6">
        <w:rPr>
          <w:rFonts w:cs="David"/>
          <w:sz w:val="24"/>
          <w:szCs w:val="24"/>
          <w:rtl/>
        </w:rPr>
        <w:t>חלה חובה כללית על המדינה, כמעסיק ציבורי, לשמור מסמכים לפחות לכל תקופת ההתיישנות, ואין היא יכולה להיבנות מטענה ערטילאית ולא מוכחת של "נזק ראייתי".</w:t>
      </w:r>
    </w:p>
    <w:p w:rsidR="00A234B7" w:rsidRPr="00520CE6" w:rsidRDefault="00A234B7" w:rsidP="001B1104">
      <w:pPr>
        <w:pStyle w:val="af0"/>
        <w:numPr>
          <w:ilvl w:val="0"/>
          <w:numId w:val="8"/>
        </w:numPr>
        <w:tabs>
          <w:tab w:val="left" w:pos="1070"/>
        </w:tabs>
        <w:spacing w:after="240" w:line="360" w:lineRule="auto"/>
        <w:ind w:left="1065" w:hanging="446"/>
        <w:contextualSpacing w:val="0"/>
        <w:jc w:val="both"/>
        <w:rPr>
          <w:rFonts w:cs="David"/>
          <w:sz w:val="24"/>
          <w:szCs w:val="24"/>
          <w:rtl/>
        </w:rPr>
      </w:pPr>
      <w:r w:rsidRPr="001B1104">
        <w:rPr>
          <w:rFonts w:cs="David"/>
          <w:b/>
          <w:bCs/>
          <w:sz w:val="24"/>
          <w:szCs w:val="24"/>
          <w:rtl/>
        </w:rPr>
        <w:t>ה</w:t>
      </w:r>
      <w:r w:rsidR="001B1104">
        <w:rPr>
          <w:rFonts w:cs="David" w:hint="cs"/>
          <w:b/>
          <w:bCs/>
          <w:sz w:val="24"/>
          <w:szCs w:val="24"/>
          <w:rtl/>
        </w:rPr>
        <w:t>מערער</w:t>
      </w:r>
      <w:r w:rsidRPr="001B1104">
        <w:rPr>
          <w:rFonts w:cs="David"/>
          <w:b/>
          <w:bCs/>
          <w:sz w:val="24"/>
          <w:szCs w:val="24"/>
          <w:rtl/>
        </w:rPr>
        <w:t xml:space="preserve"> </w:t>
      </w:r>
      <w:r w:rsidR="001B1104" w:rsidRPr="001B1104">
        <w:rPr>
          <w:rFonts w:cs="David" w:hint="cs"/>
          <w:b/>
          <w:bCs/>
          <w:sz w:val="24"/>
          <w:szCs w:val="24"/>
          <w:rtl/>
        </w:rPr>
        <w:t xml:space="preserve">לא </w:t>
      </w:r>
      <w:r w:rsidRPr="001B1104">
        <w:rPr>
          <w:rFonts w:cs="David"/>
          <w:b/>
          <w:bCs/>
          <w:sz w:val="24"/>
          <w:szCs w:val="24"/>
          <w:rtl/>
        </w:rPr>
        <w:t>"ישן על זכויותיו"</w:t>
      </w:r>
      <w:r w:rsidRPr="00520CE6">
        <w:rPr>
          <w:rFonts w:cs="David"/>
          <w:sz w:val="24"/>
          <w:szCs w:val="24"/>
          <w:rtl/>
        </w:rPr>
        <w:t xml:space="preserve"> – המערער פנה עשרות רבות של פעמים, בעל פה ובכתב, לכל גורם אפשרי וע"פ הנחיות ובתיאום עם המשיבות כמתואר בפרק ב.8 לכתב התביעה כמו גם בפרק ה.1 לתגובה לבקשה לסילוק על הסף. לכן, לא ניתן לראות במערער כמי שישן על זכויותיו.</w:t>
      </w:r>
    </w:p>
    <w:p w:rsidR="00A234B7" w:rsidRPr="00520CE6" w:rsidRDefault="00A234B7" w:rsidP="00520CE6">
      <w:pPr>
        <w:pStyle w:val="af0"/>
        <w:numPr>
          <w:ilvl w:val="0"/>
          <w:numId w:val="8"/>
        </w:numPr>
        <w:tabs>
          <w:tab w:val="left" w:pos="1070"/>
        </w:tabs>
        <w:spacing w:after="240" w:line="360" w:lineRule="auto"/>
        <w:ind w:left="1065" w:hanging="446"/>
        <w:contextualSpacing w:val="0"/>
        <w:jc w:val="both"/>
        <w:rPr>
          <w:rFonts w:cs="David"/>
          <w:sz w:val="24"/>
          <w:szCs w:val="24"/>
        </w:rPr>
      </w:pPr>
      <w:r w:rsidRPr="001B1104">
        <w:rPr>
          <w:rFonts w:cs="David"/>
          <w:b/>
          <w:bCs/>
          <w:sz w:val="24"/>
          <w:szCs w:val="24"/>
          <w:rtl/>
        </w:rPr>
        <w:t xml:space="preserve">התובע </w:t>
      </w:r>
      <w:r w:rsidR="001B1104" w:rsidRPr="001B1104">
        <w:rPr>
          <w:rFonts w:cs="David" w:hint="cs"/>
          <w:b/>
          <w:bCs/>
          <w:sz w:val="24"/>
          <w:szCs w:val="24"/>
          <w:rtl/>
        </w:rPr>
        <w:t>לא "</w:t>
      </w:r>
      <w:r w:rsidRPr="001B1104">
        <w:rPr>
          <w:rFonts w:cs="David"/>
          <w:b/>
          <w:bCs/>
          <w:sz w:val="24"/>
          <w:szCs w:val="24"/>
          <w:rtl/>
        </w:rPr>
        <w:t>ויתר ומחל על זכויותיו"</w:t>
      </w:r>
      <w:r w:rsidRPr="00520CE6">
        <w:rPr>
          <w:rFonts w:cs="David"/>
          <w:sz w:val="24"/>
          <w:szCs w:val="24"/>
          <w:rtl/>
        </w:rPr>
        <w:t xml:space="preserve"> – ברור כי נימוק זה לא מתקיים בענייננו, לאור הפניות הרבות של המערער, ולמען הקיצור נפנה לדברים שכתבנו לעיל.</w:t>
      </w:r>
    </w:p>
    <w:p w:rsidR="00A234B7" w:rsidRPr="00520CE6" w:rsidRDefault="00A234B7" w:rsidP="00520CE6">
      <w:pPr>
        <w:pStyle w:val="af0"/>
        <w:numPr>
          <w:ilvl w:val="0"/>
          <w:numId w:val="8"/>
        </w:numPr>
        <w:tabs>
          <w:tab w:val="left" w:pos="1070"/>
        </w:tabs>
        <w:spacing w:after="240" w:line="360" w:lineRule="auto"/>
        <w:ind w:left="1065" w:hanging="446"/>
        <w:contextualSpacing w:val="0"/>
        <w:jc w:val="both"/>
        <w:rPr>
          <w:rFonts w:cs="David"/>
          <w:sz w:val="24"/>
          <w:szCs w:val="24"/>
        </w:rPr>
      </w:pPr>
      <w:r w:rsidRPr="001B1104">
        <w:rPr>
          <w:rFonts w:cs="David"/>
          <w:b/>
          <w:bCs/>
          <w:sz w:val="24"/>
          <w:szCs w:val="24"/>
          <w:rtl/>
        </w:rPr>
        <w:t>הצורך "לברר תביעות תוך זמן סביר"</w:t>
      </w:r>
      <w:r w:rsidRPr="00520CE6">
        <w:rPr>
          <w:rFonts w:cs="David"/>
          <w:sz w:val="24"/>
          <w:szCs w:val="24"/>
          <w:rtl/>
        </w:rPr>
        <w:t xml:space="preserve"> – במקרה זה מי שפועל בחוסר סבירות היא המדינה, אשר בידה כל המסמכים והמידע הדרושים לברר את התביעה, ואשר התעכבה במתן תשובותיה לפניותיו של המערער לפני הגשת התביעה.</w:t>
      </w:r>
    </w:p>
    <w:p w:rsidR="00B71DBC" w:rsidRDefault="00B71DBC" w:rsidP="008345E1">
      <w:pPr>
        <w:numPr>
          <w:ilvl w:val="0"/>
          <w:numId w:val="1"/>
        </w:numPr>
        <w:tabs>
          <w:tab w:val="left" w:pos="566"/>
        </w:tabs>
        <w:spacing w:after="240" w:line="360" w:lineRule="auto"/>
        <w:ind w:left="566" w:hanging="540"/>
        <w:jc w:val="both"/>
        <w:rPr>
          <w:rFonts w:cs="David"/>
        </w:rPr>
      </w:pPr>
      <w:r>
        <w:rPr>
          <w:rFonts w:cs="David" w:hint="cs"/>
          <w:rtl/>
        </w:rPr>
        <w:t>עוד עמדנו על כך שלטעמנו</w:t>
      </w:r>
      <w:r w:rsidRPr="00B71DBC">
        <w:rPr>
          <w:rFonts w:cs="David" w:hint="cs"/>
          <w:rtl/>
        </w:rPr>
        <w:t xml:space="preserve"> -</w:t>
      </w:r>
      <w:r>
        <w:rPr>
          <w:rFonts w:cs="David" w:hint="cs"/>
          <w:rtl/>
        </w:rPr>
        <w:t xml:space="preserve"> </w:t>
      </w:r>
      <w:r>
        <w:rPr>
          <w:rFonts w:cs="David"/>
          <w:rtl/>
        </w:rPr>
        <w:t xml:space="preserve">ובית הדין קמא לא נתן לכך משקל כלשהו – </w:t>
      </w:r>
      <w:r w:rsidRPr="00B71DBC">
        <w:rPr>
          <w:rFonts w:cs="David"/>
          <w:b/>
          <w:bCs/>
          <w:rtl/>
        </w:rPr>
        <w:t>כאשר המדינה מבקשת לסלק תביעות נגדה על הסף יש לנקוט חומרה יתרה בבחינת בקשות כאמור, כך שרק במקרים חריגים ויוצאי דופן תתקבלנה בקשות כאמור</w:t>
      </w:r>
      <w:r>
        <w:rPr>
          <w:rFonts w:cs="David"/>
          <w:rtl/>
        </w:rPr>
        <w:t>.</w:t>
      </w:r>
      <w:r w:rsidR="001B1104">
        <w:rPr>
          <w:rFonts w:cs="David" w:hint="cs"/>
          <w:rtl/>
        </w:rPr>
        <w:t xml:space="preserve"> </w:t>
      </w:r>
    </w:p>
    <w:p w:rsidR="00B80E15" w:rsidRDefault="00B80E15" w:rsidP="008345E1">
      <w:pPr>
        <w:numPr>
          <w:ilvl w:val="0"/>
          <w:numId w:val="1"/>
        </w:numPr>
        <w:tabs>
          <w:tab w:val="left" w:pos="566"/>
        </w:tabs>
        <w:spacing w:after="240" w:line="360" w:lineRule="auto"/>
        <w:ind w:left="566" w:hanging="540"/>
        <w:jc w:val="both"/>
        <w:rPr>
          <w:rFonts w:cs="David"/>
        </w:rPr>
      </w:pPr>
      <w:r w:rsidRPr="00B80E15">
        <w:rPr>
          <w:rFonts w:cs="David" w:hint="cs"/>
          <w:u w:val="single"/>
          <w:rtl/>
        </w:rPr>
        <w:t>לסיכום חלק זה</w:t>
      </w:r>
      <w:r>
        <w:rPr>
          <w:rFonts w:cs="David" w:hint="cs"/>
          <w:rtl/>
        </w:rPr>
        <w:t xml:space="preserve"> </w:t>
      </w:r>
      <w:r w:rsidR="008345E1">
        <w:rPr>
          <w:rFonts w:cs="David"/>
          <w:rtl/>
        </w:rPr>
        <w:t>–</w:t>
      </w:r>
      <w:r>
        <w:rPr>
          <w:rFonts w:cs="David" w:hint="cs"/>
          <w:rtl/>
        </w:rPr>
        <w:t xml:space="preserve"> </w:t>
      </w:r>
      <w:r w:rsidR="008345E1">
        <w:rPr>
          <w:rFonts w:cs="David" w:hint="cs"/>
          <w:rtl/>
        </w:rPr>
        <w:t xml:space="preserve">בחינת הטענות המשפטיות והעובדתיות המפורטות להלן חייב להיעשות תחת ההנחה שסילוק התביעה על הסף </w:t>
      </w:r>
      <w:r w:rsidR="008345E1" w:rsidRPr="008345E1">
        <w:rPr>
          <w:rFonts w:cs="David" w:hint="cs"/>
          <w:b/>
          <w:bCs/>
          <w:rtl/>
        </w:rPr>
        <w:t>דורש וודאות כמעט מוחלטת שאין טעם לקיים את הדיון בתביעה</w:t>
      </w:r>
      <w:r w:rsidR="008345E1">
        <w:rPr>
          <w:rFonts w:cs="David" w:hint="cs"/>
          <w:rtl/>
        </w:rPr>
        <w:t xml:space="preserve">. </w:t>
      </w:r>
      <w:r w:rsidR="008345E1" w:rsidRPr="001B1104">
        <w:rPr>
          <w:rFonts w:cs="David" w:hint="cs"/>
          <w:b/>
          <w:bCs/>
          <w:sz w:val="28"/>
          <w:szCs w:val="28"/>
          <w:u w:val="single"/>
          <w:rtl/>
        </w:rPr>
        <w:t>אין זה המקרה שלפנינו</w:t>
      </w:r>
      <w:r w:rsidR="008345E1">
        <w:rPr>
          <w:rFonts w:cs="David" w:hint="cs"/>
          <w:rtl/>
        </w:rPr>
        <w:t>.</w:t>
      </w:r>
    </w:p>
    <w:p w:rsidR="00FA099A" w:rsidRDefault="00FA099A" w:rsidP="00FA099A">
      <w:pPr>
        <w:tabs>
          <w:tab w:val="left" w:pos="566"/>
        </w:tabs>
        <w:spacing w:after="240" w:line="360" w:lineRule="auto"/>
        <w:ind w:left="566"/>
        <w:jc w:val="both"/>
        <w:rPr>
          <w:rFonts w:cs="David"/>
          <w:rtl/>
        </w:rPr>
      </w:pPr>
    </w:p>
    <w:p w:rsidR="007172BD" w:rsidRPr="007172BD" w:rsidRDefault="001B1104" w:rsidP="00057EF8">
      <w:pPr>
        <w:pStyle w:val="2"/>
        <w:numPr>
          <w:ilvl w:val="0"/>
          <w:numId w:val="2"/>
        </w:numPr>
        <w:tabs>
          <w:tab w:val="clear" w:pos="566"/>
          <w:tab w:val="left" w:pos="656"/>
        </w:tabs>
        <w:spacing w:after="120"/>
        <w:ind w:left="656" w:hanging="486"/>
        <w:rPr>
          <w:sz w:val="28"/>
          <w:rtl/>
          <w:lang w:eastAsia="en-US"/>
        </w:rPr>
      </w:pPr>
      <w:r>
        <w:rPr>
          <w:rFonts w:hint="cs"/>
          <w:sz w:val="28"/>
          <w:rtl/>
          <w:lang w:eastAsia="en-US"/>
        </w:rPr>
        <w:lastRenderedPageBreak/>
        <w:t>המערער לא נדרש להגיש ערעור גמלה במועד הקבוע בחוק הגימלאות</w:t>
      </w:r>
    </w:p>
    <w:p w:rsidR="008277A4" w:rsidRDefault="00FA099A" w:rsidP="00434BEF">
      <w:pPr>
        <w:tabs>
          <w:tab w:val="left" w:pos="566"/>
        </w:tabs>
        <w:spacing w:after="240" w:line="360" w:lineRule="auto"/>
        <w:ind w:left="80"/>
        <w:jc w:val="both"/>
        <w:rPr>
          <w:rFonts w:cs="David"/>
          <w:rtl/>
        </w:rPr>
      </w:pPr>
      <w:r>
        <w:rPr>
          <w:rFonts w:cs="David" w:hint="cs"/>
          <w:rtl/>
        </w:rPr>
        <w:t>בית הדין קמא קבע כי</w:t>
      </w:r>
      <w:r w:rsidR="00A555C7">
        <w:rPr>
          <w:rFonts w:cs="David" w:hint="cs"/>
          <w:rtl/>
        </w:rPr>
        <w:t xml:space="preserve"> היה על ה</w:t>
      </w:r>
      <w:r>
        <w:rPr>
          <w:rFonts w:cs="David" w:hint="cs"/>
          <w:rtl/>
        </w:rPr>
        <w:t>מערער</w:t>
      </w:r>
      <w:r w:rsidR="00A555C7">
        <w:rPr>
          <w:rFonts w:cs="David" w:hint="cs"/>
          <w:rtl/>
        </w:rPr>
        <w:t xml:space="preserve"> להגיש ערעור גמלה תוך 60 ימים ממועד קבלת החלטת הממונה, וזאת בהתאם להוראות תקנות שירות המדינה (גימלאות) (המועד להגשת ערעור), התש"ל </w:t>
      </w:r>
      <w:r w:rsidR="00A555C7">
        <w:rPr>
          <w:rFonts w:cs="David"/>
          <w:rtl/>
        </w:rPr>
        <w:t>–</w:t>
      </w:r>
      <w:r w:rsidR="00A555C7">
        <w:rPr>
          <w:rFonts w:cs="David" w:hint="cs"/>
          <w:rtl/>
        </w:rPr>
        <w:t xml:space="preserve"> 1970</w:t>
      </w:r>
      <w:r w:rsidR="00434BEF">
        <w:rPr>
          <w:rFonts w:cs="David" w:hint="cs"/>
          <w:rtl/>
        </w:rPr>
        <w:t xml:space="preserve"> (להלן: </w:t>
      </w:r>
      <w:r w:rsidR="00932D99">
        <w:rPr>
          <w:rFonts w:cs="David" w:hint="cs"/>
          <w:rtl/>
        </w:rPr>
        <w:t>"</w:t>
      </w:r>
      <w:r w:rsidR="009D7BB4">
        <w:rPr>
          <w:rFonts w:cs="David" w:hint="cs"/>
          <w:b/>
          <w:bCs/>
          <w:rtl/>
        </w:rPr>
        <w:t>התקנות</w:t>
      </w:r>
      <w:r w:rsidR="00932D99">
        <w:rPr>
          <w:rFonts w:cs="David" w:hint="cs"/>
          <w:rtl/>
        </w:rPr>
        <w:t>")</w:t>
      </w:r>
      <w:r w:rsidR="00A555C7">
        <w:rPr>
          <w:rFonts w:cs="David" w:hint="cs"/>
          <w:rtl/>
        </w:rPr>
        <w:t xml:space="preserve">. כפי שנפרט להלן, </w:t>
      </w:r>
      <w:r w:rsidR="009D7BB4">
        <w:rPr>
          <w:rFonts w:cs="David" w:hint="cs"/>
          <w:rtl/>
        </w:rPr>
        <w:t>התקנות</w:t>
      </w:r>
      <w:r w:rsidR="00A555C7">
        <w:rPr>
          <w:rFonts w:cs="David" w:hint="cs"/>
          <w:rtl/>
        </w:rPr>
        <w:t xml:space="preserve"> </w:t>
      </w:r>
      <w:r w:rsidR="009D7BB4">
        <w:rPr>
          <w:rFonts w:cs="David" w:hint="cs"/>
          <w:rtl/>
        </w:rPr>
        <w:t xml:space="preserve">אינן </w:t>
      </w:r>
      <w:r w:rsidR="00A555C7">
        <w:rPr>
          <w:rFonts w:cs="David" w:hint="cs"/>
          <w:rtl/>
        </w:rPr>
        <w:t>חל</w:t>
      </w:r>
      <w:r w:rsidR="009D7BB4">
        <w:rPr>
          <w:rFonts w:cs="David" w:hint="cs"/>
          <w:rtl/>
        </w:rPr>
        <w:t>ות</w:t>
      </w:r>
      <w:r w:rsidR="00A555C7">
        <w:rPr>
          <w:rFonts w:cs="David" w:hint="cs"/>
          <w:rtl/>
        </w:rPr>
        <w:t xml:space="preserve"> על העסקתו של ה</w:t>
      </w:r>
      <w:r>
        <w:rPr>
          <w:rFonts w:cs="David" w:hint="cs"/>
          <w:rtl/>
        </w:rPr>
        <w:t>מערער</w:t>
      </w:r>
      <w:r w:rsidR="00A555C7">
        <w:rPr>
          <w:rFonts w:cs="David" w:hint="cs"/>
          <w:rtl/>
        </w:rPr>
        <w:t>.</w:t>
      </w:r>
    </w:p>
    <w:p w:rsidR="008277A4" w:rsidRPr="007C00B3" w:rsidRDefault="003554ED" w:rsidP="005B629B">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הוראות</w:t>
      </w:r>
      <w:r w:rsidR="008277A4" w:rsidRPr="007C00B3">
        <w:rPr>
          <w:rFonts w:cs="David" w:hint="cs"/>
          <w:b/>
          <w:bCs/>
          <w:sz w:val="24"/>
          <w:szCs w:val="24"/>
          <w:u w:val="single"/>
          <w:rtl/>
        </w:rPr>
        <w:t xml:space="preserve"> חוזה הבכירים </w:t>
      </w:r>
      <w:r w:rsidR="005B629B">
        <w:rPr>
          <w:rFonts w:cs="David" w:hint="cs"/>
          <w:b/>
          <w:bCs/>
          <w:sz w:val="24"/>
          <w:szCs w:val="24"/>
          <w:u w:val="single"/>
          <w:rtl/>
        </w:rPr>
        <w:t>קובעות כי סעיף 43 ל</w:t>
      </w:r>
      <w:r w:rsidR="008277A4" w:rsidRPr="007C00B3">
        <w:rPr>
          <w:rFonts w:cs="David" w:hint="cs"/>
          <w:b/>
          <w:bCs/>
          <w:sz w:val="24"/>
          <w:szCs w:val="24"/>
          <w:u w:val="single"/>
          <w:rtl/>
        </w:rPr>
        <w:t>חוק הגימלאות</w:t>
      </w:r>
      <w:r w:rsidR="005B629B">
        <w:rPr>
          <w:rFonts w:cs="David" w:hint="cs"/>
          <w:b/>
          <w:bCs/>
          <w:sz w:val="24"/>
          <w:szCs w:val="24"/>
          <w:u w:val="single"/>
          <w:rtl/>
        </w:rPr>
        <w:t xml:space="preserve"> אינו חל על יחסי הצדדים</w:t>
      </w:r>
    </w:p>
    <w:p w:rsidR="009D7BB4" w:rsidRPr="007C00B3" w:rsidRDefault="009D7BB4" w:rsidP="00FE4388">
      <w:pPr>
        <w:numPr>
          <w:ilvl w:val="0"/>
          <w:numId w:val="1"/>
        </w:numPr>
        <w:tabs>
          <w:tab w:val="clear" w:pos="630"/>
          <w:tab w:val="left" w:pos="620"/>
        </w:tabs>
        <w:spacing w:after="240" w:line="360" w:lineRule="auto"/>
        <w:ind w:left="620" w:hanging="540"/>
        <w:jc w:val="both"/>
        <w:rPr>
          <w:rFonts w:cs="David"/>
        </w:rPr>
      </w:pPr>
      <w:r w:rsidRPr="007C00B3">
        <w:rPr>
          <w:rFonts w:cs="David" w:hint="cs"/>
          <w:rtl/>
        </w:rPr>
        <w:t xml:space="preserve">המסמך הבסיסי להבנת מערכת היחסים בין הצדדים, ומהם החוקים החלים עליה, הוא </w:t>
      </w:r>
      <w:r w:rsidRPr="007C00B3">
        <w:rPr>
          <w:rFonts w:cs="David" w:hint="cs"/>
          <w:b/>
          <w:bCs/>
          <w:rtl/>
        </w:rPr>
        <w:t>חוזה הבכירים עליו חתם ה</w:t>
      </w:r>
      <w:r>
        <w:rPr>
          <w:rFonts w:cs="David" w:hint="cs"/>
          <w:b/>
          <w:bCs/>
          <w:rtl/>
        </w:rPr>
        <w:t>מערער</w:t>
      </w:r>
      <w:r w:rsidRPr="007C00B3">
        <w:rPr>
          <w:rFonts w:cs="David" w:hint="cs"/>
          <w:rtl/>
        </w:rPr>
        <w:t xml:space="preserve">. נקדים ונזכיר כי מדובר </w:t>
      </w:r>
      <w:r w:rsidRPr="007C00B3">
        <w:rPr>
          <w:rFonts w:cs="David" w:hint="cs"/>
          <w:b/>
          <w:bCs/>
          <w:rtl/>
        </w:rPr>
        <w:t>בחוזה שנוסח ונכתב על ידי המדינה, כאשר ה</w:t>
      </w:r>
      <w:r>
        <w:rPr>
          <w:rFonts w:cs="David" w:hint="cs"/>
          <w:b/>
          <w:bCs/>
          <w:rtl/>
        </w:rPr>
        <w:t>מערער</w:t>
      </w:r>
      <w:r w:rsidRPr="007C00B3">
        <w:rPr>
          <w:rFonts w:cs="David" w:hint="cs"/>
          <w:b/>
          <w:bCs/>
          <w:rtl/>
        </w:rPr>
        <w:t xml:space="preserve"> לא יכול היה לשנות בו מילה או פסיק</w:t>
      </w:r>
      <w:r w:rsidRPr="007C00B3">
        <w:rPr>
          <w:rFonts w:cs="David" w:hint="cs"/>
          <w:rtl/>
        </w:rPr>
        <w:t xml:space="preserve">. כאשר מדובר בחוזה שנוסח על ידי המדינה בלבד, המשמעות הפרשנית ברורה: </w:t>
      </w:r>
      <w:r w:rsidRPr="00FE4388">
        <w:rPr>
          <w:rFonts w:cs="David" w:hint="cs"/>
          <w:b/>
          <w:bCs/>
          <w:u w:val="single"/>
          <w:rtl/>
        </w:rPr>
        <w:t>אף אם יש ספק פרשני, ולטעמנו אין ספק פרשני, יש לפרש את החוזה לרעת המדינה</w:t>
      </w:r>
      <w:r w:rsidRPr="007C00B3">
        <w:rPr>
          <w:rFonts w:cs="David" w:hint="cs"/>
          <w:rtl/>
        </w:rPr>
        <w:t>.</w:t>
      </w:r>
    </w:p>
    <w:p w:rsidR="00A555C7" w:rsidRPr="008277A4" w:rsidRDefault="00A555C7" w:rsidP="00F94E4F">
      <w:pPr>
        <w:numPr>
          <w:ilvl w:val="0"/>
          <w:numId w:val="1"/>
        </w:numPr>
        <w:tabs>
          <w:tab w:val="clear" w:pos="630"/>
          <w:tab w:val="left" w:pos="620"/>
        </w:tabs>
        <w:spacing w:after="240" w:line="360" w:lineRule="auto"/>
        <w:ind w:left="620" w:hanging="540"/>
        <w:jc w:val="both"/>
        <w:rPr>
          <w:rFonts w:cs="David"/>
        </w:rPr>
      </w:pPr>
      <w:r w:rsidRPr="00F94E4F">
        <w:rPr>
          <w:rFonts w:cs="David" w:hint="cs"/>
          <w:u w:val="single"/>
          <w:rtl/>
        </w:rPr>
        <w:t>סעיף 11 לחוזה הבכירים</w:t>
      </w:r>
      <w:r>
        <w:rPr>
          <w:rFonts w:cs="David" w:hint="cs"/>
          <w:rtl/>
        </w:rPr>
        <w:t xml:space="preserve"> </w:t>
      </w:r>
      <w:r w:rsidR="00F94E4F">
        <w:rPr>
          <w:rFonts w:cs="David" w:hint="cs"/>
          <w:rtl/>
        </w:rPr>
        <w:t>ק</w:t>
      </w:r>
      <w:r>
        <w:rPr>
          <w:rFonts w:cs="David" w:hint="cs"/>
          <w:rtl/>
        </w:rPr>
        <w:t xml:space="preserve">ובע כי </w:t>
      </w:r>
      <w:r>
        <w:rPr>
          <w:rFonts w:cs="David"/>
          <w:rtl/>
        </w:rPr>
        <w:t>–</w:t>
      </w:r>
      <w:r>
        <w:rPr>
          <w:rFonts w:cs="David" w:hint="cs"/>
          <w:rtl/>
        </w:rPr>
        <w:t xml:space="preserve"> "</w:t>
      </w:r>
      <w:r>
        <w:rPr>
          <w:rFonts w:cs="David" w:hint="cs"/>
          <w:b/>
          <w:bCs/>
          <w:i/>
          <w:iCs/>
          <w:rtl/>
        </w:rPr>
        <w:t>על תקופת עבודתו של העובד לפי חוזה זה</w:t>
      </w:r>
      <w:r w:rsidRPr="007C00B3">
        <w:rPr>
          <w:rFonts w:cs="David" w:hint="cs"/>
          <w:b/>
          <w:bCs/>
          <w:i/>
          <w:iCs/>
          <w:u w:val="single"/>
          <w:rtl/>
        </w:rPr>
        <w:t xml:space="preserve"> לא</w:t>
      </w:r>
      <w:r>
        <w:rPr>
          <w:rFonts w:cs="David" w:hint="cs"/>
          <w:b/>
          <w:bCs/>
          <w:i/>
          <w:iCs/>
          <w:rtl/>
        </w:rPr>
        <w:t xml:space="preserve"> יחול חוק שירות המדינה (גימלאות) (נוסח משולב), התש"ל </w:t>
      </w:r>
      <w:r>
        <w:rPr>
          <w:rFonts w:cs="David"/>
          <w:b/>
          <w:bCs/>
          <w:i/>
          <w:iCs/>
          <w:rtl/>
        </w:rPr>
        <w:t>–</w:t>
      </w:r>
      <w:r>
        <w:rPr>
          <w:rFonts w:cs="David" w:hint="cs"/>
          <w:b/>
          <w:bCs/>
          <w:i/>
          <w:iCs/>
          <w:rtl/>
        </w:rPr>
        <w:t xml:space="preserve"> 1970 (להלן - חוק הגימלאות)".</w:t>
      </w:r>
    </w:p>
    <w:p w:rsidR="00EE0351" w:rsidRDefault="006C1AAF" w:rsidP="00EE0351">
      <w:pPr>
        <w:numPr>
          <w:ilvl w:val="0"/>
          <w:numId w:val="1"/>
        </w:numPr>
        <w:tabs>
          <w:tab w:val="clear" w:pos="630"/>
          <w:tab w:val="left" w:pos="620"/>
        </w:tabs>
        <w:spacing w:after="240" w:line="360" w:lineRule="auto"/>
        <w:ind w:left="620" w:hanging="540"/>
        <w:jc w:val="both"/>
        <w:rPr>
          <w:rFonts w:cs="David"/>
        </w:rPr>
      </w:pPr>
      <w:r w:rsidRPr="005B629B">
        <w:rPr>
          <w:rFonts w:cs="David" w:hint="cs"/>
          <w:u w:val="single"/>
          <w:rtl/>
        </w:rPr>
        <w:t xml:space="preserve">סעיף </w:t>
      </w:r>
      <w:r w:rsidR="00CD38F6" w:rsidRPr="005B629B">
        <w:rPr>
          <w:rFonts w:cs="David" w:hint="cs"/>
          <w:u w:val="single"/>
          <w:rtl/>
        </w:rPr>
        <w:t>12 לחוזה הבכירים</w:t>
      </w:r>
      <w:r w:rsidR="00EE0351">
        <w:rPr>
          <w:rFonts w:cs="David" w:hint="cs"/>
          <w:rtl/>
        </w:rPr>
        <w:t xml:space="preserve">, הנפתח </w:t>
      </w:r>
      <w:r w:rsidR="00EE0351" w:rsidRPr="00EE0351">
        <w:rPr>
          <w:rFonts w:cs="David" w:hint="cs"/>
          <w:rtl/>
        </w:rPr>
        <w:t>במלים: "</w:t>
      </w:r>
      <w:r w:rsidR="00EE0351" w:rsidRPr="00434BEF">
        <w:rPr>
          <w:rFonts w:cs="David" w:hint="cs"/>
          <w:b/>
          <w:bCs/>
          <w:i/>
          <w:iCs/>
          <w:rtl/>
        </w:rPr>
        <w:t>על אף האמור בסעיף 11 לעיל..</w:t>
      </w:r>
      <w:r w:rsidR="00EE0351">
        <w:rPr>
          <w:rFonts w:cs="David" w:hint="cs"/>
          <w:i/>
          <w:iCs/>
          <w:rtl/>
        </w:rPr>
        <w:t>.",</w:t>
      </w:r>
      <w:r w:rsidR="00CD38F6" w:rsidRPr="00EE0351">
        <w:rPr>
          <w:rFonts w:cs="David" w:hint="cs"/>
          <w:rtl/>
        </w:rPr>
        <w:t xml:space="preserve"> קובע מה ההוראות הרלבנטיות מחוק הגימלאות שיחולו על תקופת העסקתו של המערער בחוזה בכירים. </w:t>
      </w:r>
    </w:p>
    <w:p w:rsidR="00EE0351" w:rsidRDefault="00EE0351" w:rsidP="00EE0351">
      <w:pPr>
        <w:spacing w:after="240" w:line="360" w:lineRule="auto"/>
        <w:ind w:left="620"/>
        <w:jc w:val="both"/>
        <w:rPr>
          <w:rFonts w:cs="David"/>
          <w:b/>
          <w:bCs/>
          <w:rtl/>
        </w:rPr>
      </w:pPr>
      <w:r>
        <w:rPr>
          <w:rFonts w:cs="David" w:hint="cs"/>
          <w:rtl/>
        </w:rPr>
        <w:t xml:space="preserve">סעיף 12 לחוזה הבכירים הוא המקור היחידי והבלעדי, אם כן, להחרגה מהכלל הקבוע בסעיף 11 לחוזה, לפיו על העסקתו של המערער לא יחולו הוראות חוק הגימלאות. ודוק - </w:t>
      </w:r>
      <w:r>
        <w:rPr>
          <w:rFonts w:cs="David" w:hint="cs"/>
          <w:b/>
          <w:bCs/>
          <w:rtl/>
        </w:rPr>
        <w:t xml:space="preserve">הוראת חוק גימלאות שלא הוחרגה מכוח סעיף 12 לחוק הגימלאות </w:t>
      </w:r>
      <w:r w:rsidRPr="00434BEF">
        <w:rPr>
          <w:rFonts w:cs="David" w:hint="cs"/>
          <w:b/>
          <w:bCs/>
          <w:u w:val="single"/>
          <w:rtl/>
        </w:rPr>
        <w:t>אינה</w:t>
      </w:r>
      <w:r>
        <w:rPr>
          <w:rFonts w:cs="David" w:hint="cs"/>
          <w:b/>
          <w:bCs/>
          <w:rtl/>
        </w:rPr>
        <w:t xml:space="preserve"> חלה על יחסי הצדדים בתקופת העסקתו של המערער מכוח חוזה הבכירים.</w:t>
      </w:r>
    </w:p>
    <w:p w:rsidR="00F94E4F" w:rsidRDefault="00EE0351" w:rsidP="00EE0351">
      <w:pPr>
        <w:spacing w:after="240" w:line="360" w:lineRule="auto"/>
        <w:ind w:left="620"/>
        <w:jc w:val="both"/>
        <w:rPr>
          <w:rFonts w:cs="David"/>
          <w:b/>
          <w:bCs/>
          <w:rtl/>
        </w:rPr>
      </w:pPr>
      <w:r>
        <w:rPr>
          <w:rFonts w:cs="David" w:hint="cs"/>
          <w:b/>
          <w:bCs/>
          <w:rtl/>
        </w:rPr>
        <w:t xml:space="preserve">עיון בסעיף 12 </w:t>
      </w:r>
      <w:r w:rsidR="00434BEF">
        <w:rPr>
          <w:rFonts w:cs="David" w:hint="cs"/>
          <w:b/>
          <w:bCs/>
          <w:rtl/>
        </w:rPr>
        <w:t xml:space="preserve">לחוזה הבכירים </w:t>
      </w:r>
      <w:r>
        <w:rPr>
          <w:rFonts w:cs="David" w:hint="cs"/>
          <w:b/>
          <w:bCs/>
          <w:rtl/>
        </w:rPr>
        <w:t xml:space="preserve">מלמד כי הוראות סעיף 43 לחוק הגימלאות </w:t>
      </w:r>
      <w:r>
        <w:rPr>
          <w:rFonts w:cs="David"/>
          <w:b/>
          <w:bCs/>
          <w:rtl/>
        </w:rPr>
        <w:t>–</w:t>
      </w:r>
      <w:r>
        <w:rPr>
          <w:rFonts w:cs="David" w:hint="cs"/>
          <w:b/>
          <w:bCs/>
          <w:rtl/>
        </w:rPr>
        <w:t xml:space="preserve"> הקובעות את המועד להגשת ערעור גימלה </w:t>
      </w:r>
      <w:r>
        <w:rPr>
          <w:rFonts w:cs="David"/>
          <w:b/>
          <w:bCs/>
          <w:rtl/>
        </w:rPr>
        <w:t>–</w:t>
      </w:r>
      <w:r>
        <w:rPr>
          <w:rFonts w:cs="David" w:hint="cs"/>
          <w:b/>
          <w:bCs/>
          <w:rtl/>
        </w:rPr>
        <w:t xml:space="preserve"> לא הוחרגו מהכלל לפיו הוראות חוק הגימלאות אינן חלות על המערער. </w:t>
      </w:r>
    </w:p>
    <w:p w:rsidR="00EE0351" w:rsidRPr="00EE0351" w:rsidRDefault="00EE0351" w:rsidP="00EE0351">
      <w:pPr>
        <w:spacing w:after="240" w:line="360" w:lineRule="auto"/>
        <w:ind w:left="620"/>
        <w:jc w:val="both"/>
        <w:rPr>
          <w:rFonts w:cs="David"/>
        </w:rPr>
      </w:pPr>
      <w:r>
        <w:rPr>
          <w:rFonts w:cs="David" w:hint="cs"/>
          <w:rtl/>
        </w:rPr>
        <w:t xml:space="preserve">בהתאם, ועל אחת כמה וכמה כאשר מדובר בחוזה שנוסח על ידי המדינה, המסקנה האפשרית היחידה היא שהוראות סעיף 43 לחוק הגימלאות אכן אינן חלות על יחסי הצדדים, והמערער אינו נדרש להגיש "ערעור גימלה" תוך שנה ממועד סיום עבודתו. </w:t>
      </w:r>
    </w:p>
    <w:p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5B629B">
        <w:rPr>
          <w:rFonts w:cs="David" w:hint="cs"/>
          <w:u w:val="single"/>
          <w:rtl/>
        </w:rPr>
        <w:t>סעיף 13 לחוזה הבכירים</w:t>
      </w:r>
      <w:r w:rsidRPr="008D3153">
        <w:rPr>
          <w:rFonts w:cs="David" w:hint="cs"/>
          <w:rtl/>
        </w:rPr>
        <w:t xml:space="preserve"> מוסיף וקובע כי</w:t>
      </w:r>
      <w:r>
        <w:rPr>
          <w:rFonts w:cs="David" w:hint="cs"/>
          <w:b/>
          <w:bCs/>
          <w:rtl/>
        </w:rPr>
        <w:t xml:space="preserve"> - "</w:t>
      </w:r>
      <w:r>
        <w:rPr>
          <w:rFonts w:cs="David" w:hint="cs"/>
          <w:b/>
          <w:bCs/>
          <w:i/>
          <w:iCs/>
          <w:rtl/>
        </w:rPr>
        <w:t xml:space="preserve">חוזה זה יראוהו כהסכם וכחוזה יחידי לפי סעיף 92 ו </w:t>
      </w:r>
      <w:r>
        <w:rPr>
          <w:rFonts w:cs="David"/>
          <w:b/>
          <w:bCs/>
          <w:i/>
          <w:iCs/>
          <w:rtl/>
        </w:rPr>
        <w:t>–</w:t>
      </w:r>
      <w:r>
        <w:rPr>
          <w:rFonts w:cs="David" w:hint="cs"/>
          <w:b/>
          <w:bCs/>
          <w:i/>
          <w:iCs/>
          <w:rtl/>
        </w:rPr>
        <w:t xml:space="preserve"> 107(א)(2) לחוק הגימלאות</w:t>
      </w:r>
      <w:r>
        <w:rPr>
          <w:rFonts w:cs="David" w:hint="cs"/>
          <w:b/>
          <w:bCs/>
          <w:rtl/>
        </w:rPr>
        <w:t>".</w:t>
      </w:r>
    </w:p>
    <w:p w:rsidR="008D3153" w:rsidRPr="008D3153" w:rsidRDefault="008D3153" w:rsidP="005B629B">
      <w:pPr>
        <w:tabs>
          <w:tab w:val="left" w:pos="620"/>
        </w:tabs>
        <w:spacing w:after="240" w:line="360" w:lineRule="auto"/>
        <w:ind w:left="620"/>
        <w:jc w:val="both"/>
        <w:rPr>
          <w:rFonts w:asciiTheme="majorBidi" w:hAnsiTheme="majorBidi" w:cstheme="majorBidi"/>
          <w:rtl/>
        </w:rPr>
      </w:pPr>
      <w:r>
        <w:rPr>
          <w:rFonts w:cs="David" w:hint="cs"/>
          <w:b/>
          <w:bCs/>
          <w:rtl/>
        </w:rPr>
        <w:t xml:space="preserve">סעיף 107(א)(2) לחוק הגימלאות קובע </w:t>
      </w:r>
      <w:r w:rsidR="00FE4388">
        <w:rPr>
          <w:rFonts w:cs="David" w:hint="cs"/>
          <w:b/>
          <w:bCs/>
          <w:rtl/>
        </w:rPr>
        <w:t xml:space="preserve">כי הוראות חוק הגימלאות </w:t>
      </w:r>
      <w:r w:rsidR="00FE4388">
        <w:rPr>
          <w:rFonts w:cs="David" w:hint="cs"/>
          <w:b/>
          <w:bCs/>
          <w:u w:val="single"/>
          <w:rtl/>
        </w:rPr>
        <w:t>לא</w:t>
      </w:r>
      <w:r w:rsidR="00FE4388">
        <w:rPr>
          <w:rFonts w:cs="David" w:hint="cs"/>
          <w:b/>
          <w:bCs/>
          <w:rtl/>
        </w:rPr>
        <w:t xml:space="preserve"> יחולו על </w:t>
      </w:r>
      <w:r>
        <w:rPr>
          <w:rFonts w:cs="David" w:hint="cs"/>
          <w:b/>
          <w:bCs/>
          <w:rtl/>
        </w:rPr>
        <w:t xml:space="preserve"> -</w:t>
      </w:r>
      <w:r w:rsidR="005B629B">
        <w:rPr>
          <w:rFonts w:cs="David" w:hint="cs"/>
          <w:b/>
          <w:bCs/>
          <w:rtl/>
        </w:rPr>
        <w:t xml:space="preserve"> </w:t>
      </w:r>
      <w:r w:rsidR="00FE4388" w:rsidRPr="00FE4388">
        <w:rPr>
          <w:rStyle w:val="wsubclausecontent1"/>
          <w:rFonts w:asciiTheme="majorBidi" w:hAnsiTheme="majorBidi" w:cstheme="majorBidi" w:hint="cs"/>
          <w:rtl/>
        </w:rPr>
        <w:t>"</w:t>
      </w:r>
      <w:r w:rsidRPr="008D3153">
        <w:rPr>
          <w:rStyle w:val="wsubclausecontent1"/>
          <w:rFonts w:asciiTheme="majorBidi" w:hAnsiTheme="majorBidi" w:cstheme="majorBidi"/>
          <w:b/>
          <w:bCs/>
          <w:u w:val="single"/>
          <w:rtl/>
        </w:rPr>
        <w:t>על עובד המדינה המועסק כדין על פי חוזה יחידי</w:t>
      </w:r>
      <w:r w:rsidRPr="008D3153">
        <w:rPr>
          <w:rStyle w:val="wsubclausecontent1"/>
          <w:rFonts w:asciiTheme="majorBidi" w:hAnsiTheme="majorBidi" w:cstheme="majorBidi"/>
          <w:rtl/>
        </w:rPr>
        <w:t>, אם כך נקבע באותו חוזה ובמידה שנקבע;</w:t>
      </w:r>
      <w:r w:rsidR="00986742">
        <w:rPr>
          <w:rStyle w:val="wsubclausecontent1"/>
          <w:rFonts w:asciiTheme="majorBidi" w:hAnsiTheme="majorBidi" w:cstheme="majorBidi" w:hint="cs"/>
          <w:rtl/>
        </w:rPr>
        <w:t>".</w:t>
      </w:r>
    </w:p>
    <w:p w:rsidR="008D3153" w:rsidRPr="00986742" w:rsidRDefault="008D3153" w:rsidP="00057EF8">
      <w:pPr>
        <w:numPr>
          <w:ilvl w:val="0"/>
          <w:numId w:val="1"/>
        </w:numPr>
        <w:tabs>
          <w:tab w:val="clear" w:pos="630"/>
          <w:tab w:val="left" w:pos="620"/>
        </w:tabs>
        <w:spacing w:after="240" w:line="360" w:lineRule="auto"/>
        <w:ind w:left="620" w:hanging="540"/>
        <w:jc w:val="both"/>
        <w:rPr>
          <w:rFonts w:cs="David"/>
          <w:b/>
          <w:bCs/>
          <w:rtl/>
        </w:rPr>
      </w:pPr>
      <w:r w:rsidRPr="00986742">
        <w:rPr>
          <w:rFonts w:cs="David" w:hint="cs"/>
          <w:rtl/>
        </w:rPr>
        <w:t xml:space="preserve">כאשר מצרפים את הוראות סעיפים 12 ו </w:t>
      </w:r>
      <w:r w:rsidRPr="00986742">
        <w:rPr>
          <w:rFonts w:cs="David"/>
          <w:rtl/>
        </w:rPr>
        <w:t>–</w:t>
      </w:r>
      <w:r w:rsidRPr="00986742">
        <w:rPr>
          <w:rFonts w:cs="David" w:hint="cs"/>
          <w:rtl/>
        </w:rPr>
        <w:t xml:space="preserve"> 13 לחוזה הבכירים עולה, אם כן, תמונה ברורה: </w:t>
      </w:r>
      <w:r w:rsidRPr="00986742">
        <w:rPr>
          <w:rFonts w:cs="David" w:hint="cs"/>
          <w:b/>
          <w:bCs/>
          <w:rtl/>
        </w:rPr>
        <w:t>הוראות חוק הגימלאות חלות על המערער אך ורק בהתאם להוראות חוזה הבכירים.</w:t>
      </w:r>
      <w:r w:rsidR="00986742" w:rsidRPr="00986742">
        <w:rPr>
          <w:rFonts w:cs="David" w:hint="cs"/>
          <w:b/>
          <w:bCs/>
          <w:rtl/>
        </w:rPr>
        <w:t xml:space="preserve"> </w:t>
      </w:r>
      <w:r w:rsidRPr="005B629B">
        <w:rPr>
          <w:rFonts w:cs="David" w:hint="cs"/>
          <w:b/>
          <w:bCs/>
          <w:u w:val="single"/>
          <w:rtl/>
        </w:rPr>
        <w:t>חוזה הבכירים, בכל הכבוד, אינו קובע את תחולת חוק הגימלאות בכל הקשור לערעור על ההחלטה</w:t>
      </w:r>
      <w:r w:rsidRPr="00986742">
        <w:rPr>
          <w:rFonts w:cs="David" w:hint="cs"/>
          <w:b/>
          <w:bCs/>
          <w:rtl/>
        </w:rPr>
        <w:t xml:space="preserve">. </w:t>
      </w:r>
    </w:p>
    <w:p w:rsidR="008D3153" w:rsidRDefault="008D3153" w:rsidP="00057EF8">
      <w:pPr>
        <w:numPr>
          <w:ilvl w:val="0"/>
          <w:numId w:val="1"/>
        </w:numPr>
        <w:tabs>
          <w:tab w:val="clear" w:pos="630"/>
          <w:tab w:val="left" w:pos="620"/>
        </w:tabs>
        <w:spacing w:after="240" w:line="360" w:lineRule="auto"/>
        <w:ind w:left="620" w:hanging="540"/>
        <w:jc w:val="both"/>
        <w:rPr>
          <w:rFonts w:cs="David"/>
          <w:b/>
          <w:bCs/>
        </w:rPr>
      </w:pPr>
      <w:r w:rsidRPr="00986742">
        <w:rPr>
          <w:rFonts w:cs="David" w:hint="cs"/>
          <w:rtl/>
        </w:rPr>
        <w:lastRenderedPageBreak/>
        <w:t>על כן, ו</w:t>
      </w:r>
      <w:r>
        <w:rPr>
          <w:rFonts w:cs="David" w:hint="cs"/>
          <w:b/>
          <w:bCs/>
          <w:rtl/>
        </w:rPr>
        <w:t xml:space="preserve">מכוח חוזה הבכירים שניסחה המדינה עצמה, </w:t>
      </w:r>
      <w:r w:rsidRPr="00E277BA">
        <w:rPr>
          <w:rFonts w:cs="David" w:hint="cs"/>
          <w:b/>
          <w:bCs/>
          <w:u w:val="single"/>
          <w:rtl/>
        </w:rPr>
        <w:t xml:space="preserve">לא </w:t>
      </w:r>
      <w:r>
        <w:rPr>
          <w:rFonts w:cs="David" w:hint="cs"/>
          <w:b/>
          <w:bCs/>
          <w:rtl/>
        </w:rPr>
        <w:t xml:space="preserve">חל </w:t>
      </w:r>
      <w:r w:rsidR="00986742">
        <w:rPr>
          <w:rFonts w:cs="David" w:hint="cs"/>
          <w:b/>
          <w:bCs/>
          <w:rtl/>
        </w:rPr>
        <w:t>המועד להגשת ערעור גמלה על ה</w:t>
      </w:r>
      <w:r w:rsidR="00FA099A">
        <w:rPr>
          <w:rFonts w:cs="David" w:hint="cs"/>
          <w:b/>
          <w:bCs/>
          <w:rtl/>
        </w:rPr>
        <w:t>מערער</w:t>
      </w:r>
      <w:r w:rsidR="00986742">
        <w:rPr>
          <w:rFonts w:cs="David" w:hint="cs"/>
          <w:b/>
          <w:bCs/>
          <w:rtl/>
        </w:rPr>
        <w:t>, ו</w:t>
      </w:r>
      <w:r w:rsidR="004E3AEB">
        <w:rPr>
          <w:rFonts w:cs="David" w:hint="cs"/>
          <w:b/>
          <w:bCs/>
          <w:rtl/>
        </w:rPr>
        <w:t xml:space="preserve">ממילא </w:t>
      </w:r>
      <w:r w:rsidR="00986742">
        <w:rPr>
          <w:rFonts w:cs="David" w:hint="cs"/>
          <w:b/>
          <w:bCs/>
          <w:rtl/>
        </w:rPr>
        <w:t>הוא לא איחר בהגשת תביעתו</w:t>
      </w:r>
      <w:r w:rsidR="00E277BA">
        <w:rPr>
          <w:rFonts w:cs="David" w:hint="cs"/>
          <w:b/>
          <w:bCs/>
          <w:rtl/>
        </w:rPr>
        <w:t xml:space="preserve">, </w:t>
      </w:r>
      <w:r w:rsidR="00E277BA">
        <w:rPr>
          <w:rFonts w:cs="David" w:hint="cs"/>
          <w:rtl/>
        </w:rPr>
        <w:t>כפי שקבע בשוגג בית הדין קמא</w:t>
      </w:r>
      <w:r w:rsidR="00986742">
        <w:rPr>
          <w:rFonts w:cs="David" w:hint="cs"/>
          <w:b/>
          <w:bCs/>
          <w:rtl/>
        </w:rPr>
        <w:t>.</w:t>
      </w:r>
    </w:p>
    <w:p w:rsidR="003B18C5" w:rsidRPr="00F6064D" w:rsidRDefault="003B18C5" w:rsidP="007C00B3">
      <w:pPr>
        <w:tabs>
          <w:tab w:val="left" w:pos="620"/>
        </w:tabs>
        <w:spacing w:line="360" w:lineRule="auto"/>
        <w:ind w:left="630"/>
        <w:jc w:val="both"/>
        <w:rPr>
          <w:rFonts w:cs="David"/>
        </w:rPr>
      </w:pPr>
    </w:p>
    <w:p w:rsidR="00986742" w:rsidRDefault="00986742" w:rsidP="00057EF8">
      <w:pPr>
        <w:pStyle w:val="af0"/>
        <w:numPr>
          <w:ilvl w:val="1"/>
          <w:numId w:val="2"/>
        </w:numPr>
        <w:tabs>
          <w:tab w:val="left" w:pos="620"/>
        </w:tabs>
        <w:spacing w:line="360" w:lineRule="auto"/>
        <w:ind w:left="620" w:hanging="450"/>
        <w:jc w:val="both"/>
        <w:rPr>
          <w:rFonts w:cs="David"/>
          <w:b/>
          <w:bCs/>
          <w:sz w:val="24"/>
          <w:szCs w:val="24"/>
          <w:u w:val="single"/>
        </w:rPr>
      </w:pPr>
      <w:r w:rsidRPr="007C00B3">
        <w:rPr>
          <w:rFonts w:cs="David" w:hint="cs"/>
          <w:b/>
          <w:bCs/>
          <w:sz w:val="24"/>
          <w:szCs w:val="24"/>
          <w:u w:val="single"/>
          <w:rtl/>
        </w:rPr>
        <w:t>כוונות המדינה ביצירת "חוזה בכירים"</w:t>
      </w:r>
    </w:p>
    <w:p w:rsidR="00492BF6" w:rsidRDefault="00E277BA" w:rsidP="00B86963">
      <w:pPr>
        <w:spacing w:after="240" w:line="360" w:lineRule="auto"/>
        <w:jc w:val="both"/>
        <w:rPr>
          <w:rFonts w:cs="David"/>
          <w:rtl/>
        </w:rPr>
      </w:pPr>
      <w:r>
        <w:rPr>
          <w:rFonts w:cs="David" w:hint="cs"/>
          <w:rtl/>
        </w:rPr>
        <w:t>מבלי לגרוע מהאמור לעיל, המערער יטען</w:t>
      </w:r>
      <w:r w:rsidR="00B86963">
        <w:rPr>
          <w:rFonts w:cs="David" w:hint="cs"/>
          <w:rtl/>
        </w:rPr>
        <w:t xml:space="preserve"> כי </w:t>
      </w:r>
      <w:r w:rsidR="00B86963" w:rsidRPr="007C00B3">
        <w:rPr>
          <w:rFonts w:cs="David" w:hint="cs"/>
          <w:b/>
          <w:bCs/>
          <w:rtl/>
        </w:rPr>
        <w:t>המדינה עצמה ביקש ליצור הפרדה ברורה בין העסקה לפי כתב מינוי לבין העסקה בחוזה הבכירים</w:t>
      </w:r>
      <w:r w:rsidR="00B86963">
        <w:rPr>
          <w:rFonts w:cs="David" w:hint="cs"/>
          <w:rtl/>
        </w:rPr>
        <w:t xml:space="preserve">, </w:t>
      </w:r>
      <w:r w:rsidR="00492BF6">
        <w:rPr>
          <w:rFonts w:cs="David" w:hint="cs"/>
          <w:rtl/>
        </w:rPr>
        <w:t>כך שהעסקת ה</w:t>
      </w:r>
      <w:r w:rsidR="00FA099A">
        <w:rPr>
          <w:rFonts w:cs="David" w:hint="cs"/>
          <w:rtl/>
        </w:rPr>
        <w:t>מערער</w:t>
      </w:r>
      <w:r w:rsidR="00492BF6">
        <w:rPr>
          <w:rFonts w:cs="David" w:hint="cs"/>
          <w:rtl/>
        </w:rPr>
        <w:t>, לרבות לעניין הגמלה, תבוצע לפי כללים שונים מאלה שחלים על עובדי דירוג-דרגה.</w:t>
      </w:r>
    </w:p>
    <w:p w:rsidR="006D22BC" w:rsidRDefault="006D22BC" w:rsidP="00057EF8">
      <w:pPr>
        <w:numPr>
          <w:ilvl w:val="0"/>
          <w:numId w:val="1"/>
        </w:numPr>
        <w:tabs>
          <w:tab w:val="clear" w:pos="630"/>
          <w:tab w:val="left" w:pos="620"/>
        </w:tabs>
        <w:spacing w:after="240" w:line="360" w:lineRule="auto"/>
        <w:ind w:left="620" w:hanging="540"/>
        <w:jc w:val="both"/>
        <w:rPr>
          <w:rFonts w:cs="David"/>
        </w:rPr>
      </w:pPr>
      <w:r w:rsidRPr="006D22BC">
        <w:rPr>
          <w:rFonts w:cs="David"/>
          <w:rtl/>
        </w:rPr>
        <w:t>חוק שירות המדינה (מינויים)</w:t>
      </w:r>
      <w:r>
        <w:rPr>
          <w:rFonts w:cs="David" w:hint="cs"/>
          <w:rtl/>
        </w:rPr>
        <w:t>,</w:t>
      </w:r>
      <w:r w:rsidRPr="006D22BC">
        <w:rPr>
          <w:rFonts w:cs="David"/>
          <w:rtl/>
        </w:rPr>
        <w:t xml:space="preserve"> תשי"ט -1959</w:t>
      </w:r>
      <w:r>
        <w:rPr>
          <w:rFonts w:cs="David" w:hint="cs"/>
          <w:rtl/>
        </w:rPr>
        <w:t>,</w:t>
      </w:r>
      <w:r w:rsidRPr="006D22BC">
        <w:rPr>
          <w:rFonts w:cs="David"/>
          <w:rtl/>
        </w:rPr>
        <w:t xml:space="preserve"> וכן התקנות </w:t>
      </w:r>
      <w:r>
        <w:rPr>
          <w:rFonts w:cs="David" w:hint="cs"/>
          <w:rtl/>
        </w:rPr>
        <w:t xml:space="preserve">שהותקנו מכוחו, </w:t>
      </w:r>
      <w:r w:rsidRPr="006D22BC">
        <w:rPr>
          <w:rFonts w:cs="David"/>
          <w:rtl/>
        </w:rPr>
        <w:t xml:space="preserve">קובעים כי ניתן להעסיק עובד בשירות המדינה באמצעות חוזה מיוחד, </w:t>
      </w:r>
      <w:r>
        <w:rPr>
          <w:rFonts w:cs="David" w:hint="cs"/>
          <w:rtl/>
        </w:rPr>
        <w:t>במקרים מסוימים, שעיקרם הוא חיוניות המשרה והצורך בתשלום שכר גבוה מהמקובל בשירות המדינה</w:t>
      </w:r>
      <w:r w:rsidRPr="006D22BC">
        <w:rPr>
          <w:rFonts w:cs="David"/>
          <w:rtl/>
        </w:rPr>
        <w:t>.</w:t>
      </w:r>
    </w:p>
    <w:p w:rsidR="006D22BC" w:rsidRPr="00C030A9" w:rsidRDefault="006D22BC" w:rsidP="00C030A9">
      <w:pPr>
        <w:tabs>
          <w:tab w:val="left" w:pos="620"/>
        </w:tabs>
        <w:spacing w:after="240" w:line="360" w:lineRule="auto"/>
        <w:ind w:left="620"/>
        <w:jc w:val="both"/>
        <w:rPr>
          <w:rFonts w:cs="David"/>
          <w:rtl/>
        </w:rPr>
      </w:pPr>
      <w:r>
        <w:rPr>
          <w:rFonts w:cs="David" w:hint="cs"/>
          <w:rtl/>
        </w:rPr>
        <w:t xml:space="preserve">עובד, המועסק בחוזה בכירים, </w:t>
      </w:r>
      <w:r w:rsidRPr="006D22BC">
        <w:rPr>
          <w:rFonts w:cs="David"/>
          <w:rtl/>
        </w:rPr>
        <w:t>מתנתק</w:t>
      </w:r>
      <w:r>
        <w:rPr>
          <w:rFonts w:cs="David" w:hint="cs"/>
          <w:rtl/>
        </w:rPr>
        <w:t xml:space="preserve"> למעשה</w:t>
      </w:r>
      <w:r w:rsidRPr="006D22BC">
        <w:rPr>
          <w:rFonts w:cs="David"/>
          <w:rtl/>
        </w:rPr>
        <w:t xml:space="preserve"> </w:t>
      </w:r>
      <w:r>
        <w:rPr>
          <w:rFonts w:cs="David" w:hint="cs"/>
          <w:rtl/>
        </w:rPr>
        <w:t>מהדירוג בו הוא הועסק עד למעבר לחוזה בכירים</w:t>
      </w:r>
      <w:r w:rsidRPr="006D22BC">
        <w:rPr>
          <w:rFonts w:cs="David"/>
          <w:rtl/>
        </w:rPr>
        <w:t xml:space="preserve">. </w:t>
      </w:r>
      <w:r w:rsidR="00E277BA">
        <w:rPr>
          <w:rFonts w:cs="David" w:hint="cs"/>
          <w:rtl/>
        </w:rPr>
        <w:t>ראו פסיקת</w:t>
      </w:r>
      <w:r>
        <w:rPr>
          <w:rFonts w:cs="David" w:hint="cs"/>
          <w:rtl/>
        </w:rPr>
        <w:t xml:space="preserve"> בית הדין </w:t>
      </w:r>
      <w:r w:rsidR="00E277BA">
        <w:rPr>
          <w:rFonts w:cs="David" w:hint="cs"/>
          <w:rtl/>
        </w:rPr>
        <w:t>הנכבד</w:t>
      </w:r>
      <w:r>
        <w:rPr>
          <w:rFonts w:cs="David" w:hint="cs"/>
          <w:rtl/>
        </w:rPr>
        <w:t xml:space="preserve"> </w:t>
      </w:r>
      <w:r w:rsidR="009D1873">
        <w:rPr>
          <w:rFonts w:cs="David" w:hint="cs"/>
          <w:rtl/>
        </w:rPr>
        <w:t>בעניין שיפמן (</w:t>
      </w:r>
      <w:r w:rsidR="009D1873" w:rsidRPr="009D1873">
        <w:rPr>
          <w:rFonts w:cs="David"/>
          <w:rtl/>
        </w:rPr>
        <w:t xml:space="preserve">עע 1243/02  </w:t>
      </w:r>
      <w:r w:rsidR="009D1873" w:rsidRPr="009D1873">
        <w:rPr>
          <w:rFonts w:cs="David"/>
          <w:u w:val="single"/>
          <w:rtl/>
        </w:rPr>
        <w:t>משה שיפמן</w:t>
      </w:r>
      <w:r w:rsidR="009D1873" w:rsidRPr="009D1873">
        <w:rPr>
          <w:rFonts w:cs="David" w:hint="cs"/>
          <w:u w:val="single"/>
          <w:rtl/>
        </w:rPr>
        <w:t xml:space="preserve"> </w:t>
      </w:r>
      <w:r w:rsidR="009D1873" w:rsidRPr="009D1873">
        <w:rPr>
          <w:rFonts w:cs="David"/>
          <w:u w:val="single"/>
          <w:rtl/>
        </w:rPr>
        <w:t>ואח'  נ' מדינת ישראל</w:t>
      </w:r>
      <w:r w:rsidR="009D1873">
        <w:rPr>
          <w:rFonts w:cs="David" w:hint="cs"/>
          <w:rtl/>
        </w:rPr>
        <w:t xml:space="preserve">) </w:t>
      </w:r>
      <w:r w:rsidR="00627E7F">
        <w:rPr>
          <w:rFonts w:cs="David" w:hint="cs"/>
          <w:rtl/>
        </w:rPr>
        <w:t>ובעניין דורנשטיין (</w:t>
      </w:r>
      <w:hyperlink r:id="rId8" w:tgtFrame="Psak_198072" w:history="1">
        <w:r w:rsidR="009D1873" w:rsidRPr="009D1873">
          <w:rPr>
            <w:rFonts w:cs="David"/>
            <w:rtl/>
          </w:rPr>
          <w:t>עע 1029/04,</w:t>
        </w:r>
      </w:hyperlink>
      <w:r w:rsidR="009D1873" w:rsidRPr="009D1873">
        <w:rPr>
          <w:rFonts w:cs="David"/>
          <w:rtl/>
        </w:rPr>
        <w:t xml:space="preserve"> </w:t>
      </w:r>
      <w:r w:rsidR="009D1873" w:rsidRPr="009D1873">
        <w:rPr>
          <w:rFonts w:cs="David"/>
          <w:u w:val="single"/>
          <w:rtl/>
        </w:rPr>
        <w:t xml:space="preserve">עמנואל דורנשטיין ואח' </w:t>
      </w:r>
      <w:r w:rsidR="009D1873">
        <w:rPr>
          <w:rFonts w:cs="David" w:hint="cs"/>
          <w:u w:val="single"/>
          <w:rtl/>
        </w:rPr>
        <w:t>נ'</w:t>
      </w:r>
      <w:r w:rsidR="009D1873" w:rsidRPr="009D1873">
        <w:rPr>
          <w:rFonts w:cs="David"/>
          <w:u w:val="single"/>
          <w:rtl/>
        </w:rPr>
        <w:t xml:space="preserve"> מדינת ישראל</w:t>
      </w:r>
      <w:r w:rsidR="00627E7F">
        <w:rPr>
          <w:rFonts w:cs="David" w:hint="cs"/>
          <w:rtl/>
        </w:rPr>
        <w:t xml:space="preserve">), הקובעים </w:t>
      </w:r>
      <w:r w:rsidR="00C030A9">
        <w:rPr>
          <w:rFonts w:cs="David" w:hint="cs"/>
          <w:rtl/>
        </w:rPr>
        <w:t xml:space="preserve">את העיקרון של ניתוק העובדים הבכירים ממסגרת ההעסקה השגרתית בשירות המדינה, וקובע מתכונת חדשה, מעין עיסקת חבילה, עם יתרונות וחסרונות, וכפי שנכתב בפרשת דורנשטיין </w:t>
      </w:r>
      <w:r w:rsidR="00C030A9">
        <w:rPr>
          <w:rFonts w:cs="David"/>
          <w:rtl/>
        </w:rPr>
        <w:t>–</w:t>
      </w:r>
      <w:r w:rsidR="00C030A9">
        <w:rPr>
          <w:rFonts w:cs="David" w:hint="cs"/>
          <w:rtl/>
        </w:rPr>
        <w:t xml:space="preserve"> "</w:t>
      </w:r>
      <w:r w:rsidRPr="00C030A9">
        <w:rPr>
          <w:b/>
          <w:bCs/>
          <w:rtl/>
        </w:rPr>
        <w:t xml:space="preserve">לא יכול להיות ספק כי העסקה בחוזה בכירים, במתכונת בה מדובר, הינה </w:t>
      </w:r>
      <w:r w:rsidRPr="00C030A9">
        <w:rPr>
          <w:b/>
          <w:bCs/>
          <w:sz w:val="28"/>
          <w:szCs w:val="28"/>
          <w:u w:val="single"/>
          <w:rtl/>
        </w:rPr>
        <w:t>שינוי מהותי</w:t>
      </w:r>
      <w:r w:rsidRPr="00C030A9">
        <w:rPr>
          <w:b/>
          <w:bCs/>
          <w:u w:val="single"/>
          <w:rtl/>
        </w:rPr>
        <w:t xml:space="preserve"> במבנה ההעסקה ואין היא בבחינת שינוי בסולם השכר </w:t>
      </w:r>
      <w:r w:rsidRPr="00C030A9">
        <w:rPr>
          <w:b/>
          <w:bCs/>
          <w:sz w:val="28"/>
          <w:szCs w:val="28"/>
          <w:u w:val="single"/>
          <w:rtl/>
        </w:rPr>
        <w:t>לגביו ניתן לבצע "תיאומים</w:t>
      </w:r>
      <w:r w:rsidR="009D1873" w:rsidRPr="00C030A9">
        <w:rPr>
          <w:sz w:val="28"/>
          <w:szCs w:val="28"/>
          <w:rtl/>
        </w:rPr>
        <w:t>"</w:t>
      </w:r>
      <w:r w:rsidR="009D1873" w:rsidRPr="00C030A9">
        <w:rPr>
          <w:rFonts w:hint="cs"/>
          <w:rtl/>
        </w:rPr>
        <w:t xml:space="preserve"> ...</w:t>
      </w:r>
      <w:r w:rsidRPr="00C030A9">
        <w:rPr>
          <w:rtl/>
        </w:rPr>
        <w:t xml:space="preserve">". </w:t>
      </w:r>
    </w:p>
    <w:p w:rsidR="0012175D" w:rsidRDefault="0012175D" w:rsidP="003949E3">
      <w:pPr>
        <w:numPr>
          <w:ilvl w:val="0"/>
          <w:numId w:val="1"/>
        </w:numPr>
        <w:tabs>
          <w:tab w:val="clear" w:pos="630"/>
          <w:tab w:val="left" w:pos="620"/>
        </w:tabs>
        <w:spacing w:after="240" w:line="360" w:lineRule="auto"/>
        <w:ind w:left="620" w:hanging="540"/>
        <w:jc w:val="both"/>
        <w:rPr>
          <w:rFonts w:cs="David"/>
        </w:rPr>
      </w:pPr>
      <w:r>
        <w:rPr>
          <w:rFonts w:cs="David" w:hint="cs"/>
          <w:rtl/>
        </w:rPr>
        <w:t>ואכן, חוזה הבכירים עליו חתם ה</w:t>
      </w:r>
      <w:r w:rsidR="00FA099A">
        <w:rPr>
          <w:rFonts w:cs="David" w:hint="cs"/>
          <w:rtl/>
        </w:rPr>
        <w:t>מערער</w:t>
      </w:r>
      <w:r>
        <w:rPr>
          <w:rFonts w:cs="David" w:hint="cs"/>
          <w:rtl/>
        </w:rPr>
        <w:t>, כולל הוראות רבות המעידות על כוונת המדינה להחיל מערכת כללים שונה על היחסים החוזיים עם ה</w:t>
      </w:r>
      <w:r w:rsidR="00FA099A">
        <w:rPr>
          <w:rFonts w:cs="David" w:hint="cs"/>
          <w:rtl/>
        </w:rPr>
        <w:t>מערער</w:t>
      </w:r>
      <w:r w:rsidR="009D1873">
        <w:rPr>
          <w:rFonts w:cs="David" w:hint="cs"/>
          <w:rtl/>
        </w:rPr>
        <w:t>, ולנתק אותו ממערכת הכלל</w:t>
      </w:r>
      <w:r w:rsidR="00C030A9">
        <w:rPr>
          <w:rFonts w:cs="David" w:hint="cs"/>
          <w:rtl/>
        </w:rPr>
        <w:t>ים הקבועה בהעסקה לפי כתבי מינוי</w:t>
      </w:r>
      <w:r w:rsidR="003949E3">
        <w:rPr>
          <w:rFonts w:cs="David" w:hint="cs"/>
          <w:rtl/>
        </w:rPr>
        <w:t xml:space="preserve"> ובכפיפות לחוק הגימלאות - </w:t>
      </w:r>
    </w:p>
    <w:p w:rsidR="001E4F99" w:rsidRPr="003949E3" w:rsidRDefault="003949E3" w:rsidP="00DA0C0B">
      <w:pPr>
        <w:numPr>
          <w:ilvl w:val="1"/>
          <w:numId w:val="1"/>
        </w:numPr>
        <w:tabs>
          <w:tab w:val="clear" w:pos="792"/>
          <w:tab w:val="left" w:pos="1160"/>
        </w:tabs>
        <w:spacing w:after="240" w:line="360" w:lineRule="auto"/>
        <w:ind w:left="1160" w:hanging="540"/>
        <w:jc w:val="both"/>
        <w:rPr>
          <w:rFonts w:cs="David"/>
          <w:rtl/>
        </w:rPr>
      </w:pPr>
      <w:r w:rsidRPr="003949E3">
        <w:rPr>
          <w:rFonts w:cs="David" w:hint="cs"/>
          <w:rtl/>
        </w:rPr>
        <w:t>במבוא</w:t>
      </w:r>
      <w:r w:rsidR="0012175D" w:rsidRPr="003949E3">
        <w:rPr>
          <w:rFonts w:cs="David" w:hint="cs"/>
          <w:rtl/>
        </w:rPr>
        <w:t xml:space="preserve"> </w:t>
      </w:r>
      <w:r w:rsidR="0012175D" w:rsidRPr="003949E3">
        <w:rPr>
          <w:rFonts w:cs="David"/>
          <w:rtl/>
        </w:rPr>
        <w:t>–</w:t>
      </w:r>
      <w:r w:rsidR="0012175D" w:rsidRPr="003949E3">
        <w:rPr>
          <w:rFonts w:cs="David" w:hint="cs"/>
          <w:rtl/>
        </w:rPr>
        <w:t xml:space="preserve"> "</w:t>
      </w:r>
      <w:r w:rsidR="0012175D" w:rsidRPr="003949E3">
        <w:rPr>
          <w:rFonts w:cs="David" w:hint="cs"/>
          <w:b/>
          <w:bCs/>
          <w:i/>
          <w:iCs/>
          <w:rtl/>
        </w:rPr>
        <w:t>והעובד מסכים לביטול כתב המינוי שלו</w:t>
      </w:r>
      <w:r w:rsidRPr="003949E3">
        <w:rPr>
          <w:rFonts w:cs="David" w:hint="cs"/>
          <w:b/>
          <w:bCs/>
          <w:i/>
          <w:iCs/>
          <w:rtl/>
        </w:rPr>
        <w:t xml:space="preserve">.. </w:t>
      </w:r>
      <w:r w:rsidRPr="003949E3">
        <w:rPr>
          <w:rFonts w:cs="David" w:hint="cs"/>
          <w:i/>
          <w:iCs/>
          <w:rtl/>
        </w:rPr>
        <w:t xml:space="preserve">"; </w:t>
      </w:r>
      <w:r w:rsidRPr="003949E3">
        <w:rPr>
          <w:rFonts w:cs="David" w:hint="cs"/>
          <w:rtl/>
        </w:rPr>
        <w:t xml:space="preserve">וכן נקבע במבוא כי </w:t>
      </w:r>
      <w:r w:rsidR="001E4F99" w:rsidRPr="003949E3">
        <w:rPr>
          <w:rFonts w:cs="David" w:hint="cs"/>
          <w:rtl/>
        </w:rPr>
        <w:t xml:space="preserve">החוזה נעשה לפי סעיף 40 לחוק שירות המדינה (מינויים), תשי"ט </w:t>
      </w:r>
      <w:r w:rsidR="001E4F99" w:rsidRPr="003949E3">
        <w:rPr>
          <w:rFonts w:cs="David"/>
          <w:rtl/>
        </w:rPr>
        <w:t>–</w:t>
      </w:r>
      <w:r w:rsidRPr="003949E3">
        <w:rPr>
          <w:rFonts w:cs="David" w:hint="cs"/>
          <w:rtl/>
        </w:rPr>
        <w:t xml:space="preserve"> 1959, הקובע, בין ההיתר, כי - </w:t>
      </w:r>
      <w:r w:rsidR="001E4F99" w:rsidRPr="003949E3">
        <w:rPr>
          <w:rStyle w:val="wsubclausecontent1"/>
          <w:rFonts w:asciiTheme="majorBidi" w:hAnsiTheme="majorBidi" w:cstheme="majorBidi"/>
          <w:b/>
          <w:bCs/>
          <w:u w:val="single"/>
          <w:rtl/>
        </w:rPr>
        <w:t>הוראות חוק זה לא יחולו על אדם המועסק לפי חוזה מיוחד אלא במידה שנקבע בחוזה</w:t>
      </w:r>
      <w:r w:rsidR="001E4F99" w:rsidRPr="003949E3">
        <w:rPr>
          <w:rStyle w:val="wsubclausecontent1"/>
          <w:rFonts w:cs="David" w:hint="cs"/>
          <w:rtl/>
        </w:rPr>
        <w:t>".</w:t>
      </w:r>
    </w:p>
    <w:p w:rsidR="001E4F99" w:rsidRDefault="001E4F99" w:rsidP="003949E3">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5 לחוזה הבכירים </w:t>
      </w:r>
      <w:r w:rsidR="003949E3">
        <w:rPr>
          <w:rFonts w:cs="David" w:hint="cs"/>
          <w:rtl/>
        </w:rPr>
        <w:t>קובע כי העובד יועסק</w:t>
      </w:r>
      <w:r>
        <w:rPr>
          <w:rFonts w:cs="David" w:hint="cs"/>
          <w:rtl/>
        </w:rPr>
        <w:t xml:space="preserve"> </w:t>
      </w:r>
      <w:r>
        <w:rPr>
          <w:rFonts w:cs="David"/>
          <w:rtl/>
        </w:rPr>
        <w:t>–</w:t>
      </w:r>
      <w:r>
        <w:rPr>
          <w:rFonts w:cs="David" w:hint="cs"/>
          <w:rtl/>
        </w:rPr>
        <w:t xml:space="preserve"> "</w:t>
      </w:r>
      <w:r w:rsidR="003949E3">
        <w:rPr>
          <w:rFonts w:cs="David" w:hint="cs"/>
          <w:b/>
          <w:bCs/>
          <w:i/>
          <w:iCs/>
          <w:rtl/>
        </w:rPr>
        <w:t>..</w:t>
      </w:r>
      <w:r w:rsidRPr="009D1873">
        <w:rPr>
          <w:rFonts w:cs="David" w:hint="cs"/>
          <w:b/>
          <w:bCs/>
          <w:i/>
          <w:iCs/>
          <w:rtl/>
        </w:rPr>
        <w:t xml:space="preserve"> על פי חוזה זה ולא על פי כתב המינוי המבוטל בזה</w:t>
      </w:r>
      <w:r>
        <w:rPr>
          <w:rFonts w:cs="David" w:hint="cs"/>
          <w:rtl/>
        </w:rPr>
        <w:t xml:space="preserve">". והסיפא </w:t>
      </w:r>
      <w:r w:rsidR="003949E3">
        <w:rPr>
          <w:rFonts w:cs="David" w:hint="cs"/>
          <w:rtl/>
        </w:rPr>
        <w:t>מוסיפה ו</w:t>
      </w:r>
      <w:r>
        <w:rPr>
          <w:rFonts w:cs="David" w:hint="cs"/>
          <w:rtl/>
        </w:rPr>
        <w:t xml:space="preserve">קובעת </w:t>
      </w:r>
      <w:r w:rsidR="003949E3">
        <w:rPr>
          <w:rFonts w:cs="David" w:hint="cs"/>
          <w:rtl/>
        </w:rPr>
        <w:t xml:space="preserve">כי </w:t>
      </w:r>
      <w:r>
        <w:rPr>
          <w:rFonts w:cs="David"/>
          <w:rtl/>
        </w:rPr>
        <w:t>–</w:t>
      </w:r>
      <w:r>
        <w:rPr>
          <w:rFonts w:cs="David" w:hint="cs"/>
          <w:rtl/>
        </w:rPr>
        <w:t xml:space="preserve"> "</w:t>
      </w:r>
      <w:r w:rsidRPr="009D1873">
        <w:rPr>
          <w:rFonts w:cs="David" w:hint="cs"/>
          <w:b/>
          <w:bCs/>
          <w:i/>
          <w:iCs/>
          <w:rtl/>
        </w:rPr>
        <w:t>לעובד לא תהיה הזכות לחזור ולקבל כתב מינוי</w:t>
      </w:r>
      <w:r>
        <w:rPr>
          <w:rFonts w:cs="David" w:hint="cs"/>
          <w:rtl/>
        </w:rPr>
        <w:t>".</w:t>
      </w:r>
    </w:p>
    <w:p w:rsidR="001E4F99" w:rsidRDefault="001E4F99" w:rsidP="00057EF8">
      <w:pPr>
        <w:numPr>
          <w:ilvl w:val="1"/>
          <w:numId w:val="1"/>
        </w:numPr>
        <w:tabs>
          <w:tab w:val="clear" w:pos="792"/>
          <w:tab w:val="left" w:pos="1160"/>
        </w:tabs>
        <w:spacing w:after="240" w:line="360" w:lineRule="auto"/>
        <w:ind w:left="1160" w:hanging="540"/>
        <w:jc w:val="both"/>
        <w:rPr>
          <w:rFonts w:cs="David"/>
        </w:rPr>
      </w:pPr>
      <w:r>
        <w:rPr>
          <w:rFonts w:cs="David" w:hint="cs"/>
          <w:rtl/>
        </w:rPr>
        <w:t xml:space="preserve">סעיף 7 לחוזה הבכירים קובע שורה של תנאים להם </w:t>
      </w:r>
      <w:r w:rsidRPr="003949E3">
        <w:rPr>
          <w:rFonts w:cs="David" w:hint="cs"/>
          <w:b/>
          <w:bCs/>
          <w:u w:val="single"/>
          <w:rtl/>
        </w:rPr>
        <w:t>לא</w:t>
      </w:r>
      <w:r>
        <w:rPr>
          <w:rFonts w:cs="David" w:hint="cs"/>
          <w:rtl/>
        </w:rPr>
        <w:t xml:space="preserve"> זכאי ה</w:t>
      </w:r>
      <w:r w:rsidR="00FA099A">
        <w:rPr>
          <w:rFonts w:cs="David" w:hint="cs"/>
          <w:rtl/>
        </w:rPr>
        <w:t>מערער</w:t>
      </w:r>
      <w:r>
        <w:rPr>
          <w:rFonts w:cs="David" w:hint="cs"/>
          <w:rtl/>
        </w:rPr>
        <w:t>, מאחר שהוא מועסק בחוזה בכירים כאמור.</w:t>
      </w:r>
    </w:p>
    <w:p w:rsidR="009D1873" w:rsidRPr="0065419A" w:rsidRDefault="009D1873" w:rsidP="0065419A">
      <w:pPr>
        <w:numPr>
          <w:ilvl w:val="0"/>
          <w:numId w:val="1"/>
        </w:numPr>
        <w:tabs>
          <w:tab w:val="clear" w:pos="630"/>
          <w:tab w:val="left" w:pos="620"/>
        </w:tabs>
        <w:spacing w:after="240" w:line="360" w:lineRule="auto"/>
        <w:ind w:left="620" w:hanging="540"/>
        <w:jc w:val="both"/>
        <w:rPr>
          <w:rFonts w:cs="David"/>
        </w:rPr>
      </w:pPr>
      <w:r>
        <w:rPr>
          <w:rFonts w:cs="David" w:hint="cs"/>
          <w:rtl/>
        </w:rPr>
        <w:t>על רקע דברים אלה, מתחדדת ומתחזק</w:t>
      </w:r>
      <w:r w:rsidR="00672B49">
        <w:rPr>
          <w:rFonts w:cs="David" w:hint="cs"/>
          <w:rtl/>
        </w:rPr>
        <w:t>ת</w:t>
      </w:r>
      <w:r>
        <w:rPr>
          <w:rFonts w:cs="David" w:hint="cs"/>
          <w:rtl/>
        </w:rPr>
        <w:t xml:space="preserve"> הפרשנות לסעיפים </w:t>
      </w:r>
      <w:r w:rsidR="00F6064D">
        <w:rPr>
          <w:rFonts w:cs="David" w:hint="cs"/>
          <w:rtl/>
        </w:rPr>
        <w:t xml:space="preserve">11 ו </w:t>
      </w:r>
      <w:r w:rsidR="00F6064D">
        <w:rPr>
          <w:rFonts w:cs="David"/>
          <w:rtl/>
        </w:rPr>
        <w:t>–</w:t>
      </w:r>
      <w:r w:rsidR="00F6064D">
        <w:rPr>
          <w:rFonts w:cs="David" w:hint="cs"/>
          <w:rtl/>
        </w:rPr>
        <w:t xml:space="preserve"> 12 לחוזה הבכירים של ה</w:t>
      </w:r>
      <w:r w:rsidR="00FA099A">
        <w:rPr>
          <w:rFonts w:cs="David" w:hint="cs"/>
          <w:rtl/>
        </w:rPr>
        <w:t>מערער</w:t>
      </w:r>
      <w:r w:rsidR="00F6064D">
        <w:rPr>
          <w:rFonts w:cs="David" w:hint="cs"/>
          <w:rtl/>
        </w:rPr>
        <w:t xml:space="preserve">, ולפיהם </w:t>
      </w:r>
      <w:r w:rsidR="00F6064D">
        <w:rPr>
          <w:rFonts w:cs="David"/>
          <w:rtl/>
        </w:rPr>
        <w:t>–</w:t>
      </w:r>
      <w:r w:rsidR="00F6064D">
        <w:rPr>
          <w:rFonts w:cs="David" w:hint="cs"/>
          <w:rtl/>
        </w:rPr>
        <w:t xml:space="preserve"> </w:t>
      </w:r>
      <w:r w:rsidR="00F6064D">
        <w:rPr>
          <w:rFonts w:cs="David" w:hint="cs"/>
          <w:b/>
          <w:bCs/>
          <w:rtl/>
        </w:rPr>
        <w:t>המדינה ניתקה את ה</w:t>
      </w:r>
      <w:r w:rsidR="00FA099A">
        <w:rPr>
          <w:rFonts w:cs="David" w:hint="cs"/>
          <w:b/>
          <w:bCs/>
          <w:rtl/>
        </w:rPr>
        <w:t>מערער</w:t>
      </w:r>
      <w:r w:rsidR="00F6064D">
        <w:rPr>
          <w:rFonts w:cs="David" w:hint="cs"/>
          <w:b/>
          <w:bCs/>
          <w:rtl/>
        </w:rPr>
        <w:t xml:space="preserve"> מהוראות חוק הגימלאות וסולמות השכר, </w:t>
      </w:r>
      <w:r w:rsidR="00F6064D" w:rsidRPr="007C00B3">
        <w:rPr>
          <w:rFonts w:cs="David" w:hint="cs"/>
          <w:b/>
          <w:bCs/>
          <w:u w:val="single"/>
          <w:rtl/>
        </w:rPr>
        <w:t>וקבעה את תנאי העסקתו בהתאם להוראות חוזה הבכירים</w:t>
      </w:r>
      <w:r w:rsidR="00F6064D">
        <w:rPr>
          <w:rFonts w:cs="David" w:hint="cs"/>
          <w:b/>
          <w:bCs/>
          <w:rtl/>
        </w:rPr>
        <w:t xml:space="preserve">. </w:t>
      </w:r>
      <w:r w:rsidR="0065419A" w:rsidRPr="0065419A">
        <w:rPr>
          <w:rFonts w:cs="David" w:hint="cs"/>
          <w:sz w:val="28"/>
          <w:szCs w:val="28"/>
          <w:rtl/>
        </w:rPr>
        <w:t xml:space="preserve">מאחר </w:t>
      </w:r>
      <w:r w:rsidR="0065419A" w:rsidRPr="0065419A">
        <w:rPr>
          <w:rFonts w:cs="David" w:hint="cs"/>
          <w:b/>
          <w:bCs/>
          <w:sz w:val="28"/>
          <w:szCs w:val="28"/>
          <w:rtl/>
        </w:rPr>
        <w:t>ש</w:t>
      </w:r>
      <w:r w:rsidR="00F6064D" w:rsidRPr="0065419A">
        <w:rPr>
          <w:rFonts w:cs="David" w:hint="cs"/>
          <w:b/>
          <w:bCs/>
          <w:sz w:val="28"/>
          <w:szCs w:val="28"/>
          <w:rtl/>
        </w:rPr>
        <w:t>חוזה הבכירים אינו קובע כי ה</w:t>
      </w:r>
      <w:r w:rsidR="00FA099A" w:rsidRPr="0065419A">
        <w:rPr>
          <w:rFonts w:cs="David" w:hint="cs"/>
          <w:b/>
          <w:bCs/>
          <w:sz w:val="28"/>
          <w:szCs w:val="28"/>
          <w:rtl/>
        </w:rPr>
        <w:t>מערער</w:t>
      </w:r>
      <w:r w:rsidR="00F6064D" w:rsidRPr="0065419A">
        <w:rPr>
          <w:rFonts w:cs="David" w:hint="cs"/>
          <w:b/>
          <w:bCs/>
          <w:sz w:val="28"/>
          <w:szCs w:val="28"/>
          <w:rtl/>
        </w:rPr>
        <w:t xml:space="preserve"> </w:t>
      </w:r>
      <w:r w:rsidR="00F6064D" w:rsidRPr="0065419A">
        <w:rPr>
          <w:rFonts w:cs="David" w:hint="cs"/>
          <w:b/>
          <w:bCs/>
          <w:sz w:val="28"/>
          <w:szCs w:val="28"/>
          <w:rtl/>
        </w:rPr>
        <w:lastRenderedPageBreak/>
        <w:t xml:space="preserve">נדרש להגיש ערעור בהתאם להוראות חוק הגימלאות, </w:t>
      </w:r>
      <w:r w:rsidR="0065419A" w:rsidRPr="0065419A">
        <w:rPr>
          <w:rFonts w:cs="David" w:hint="cs"/>
          <w:b/>
          <w:bCs/>
          <w:sz w:val="28"/>
          <w:szCs w:val="28"/>
          <w:rtl/>
        </w:rPr>
        <w:t>הרי ש</w:t>
      </w:r>
      <w:r w:rsidR="00F6064D" w:rsidRPr="0065419A">
        <w:rPr>
          <w:rFonts w:cs="David" w:hint="cs"/>
          <w:b/>
          <w:bCs/>
          <w:sz w:val="28"/>
          <w:szCs w:val="28"/>
          <w:rtl/>
        </w:rPr>
        <w:t>ה</w:t>
      </w:r>
      <w:r w:rsidR="00FA099A" w:rsidRPr="0065419A">
        <w:rPr>
          <w:rFonts w:cs="David" w:hint="cs"/>
          <w:b/>
          <w:bCs/>
          <w:sz w:val="28"/>
          <w:szCs w:val="28"/>
          <w:rtl/>
        </w:rPr>
        <w:t>מערער</w:t>
      </w:r>
      <w:r w:rsidR="00F6064D" w:rsidRPr="0065419A">
        <w:rPr>
          <w:rFonts w:cs="David" w:hint="cs"/>
          <w:b/>
          <w:bCs/>
          <w:sz w:val="28"/>
          <w:szCs w:val="28"/>
          <w:rtl/>
        </w:rPr>
        <w:t xml:space="preserve"> לא איחר בהגשת תביעתו.</w:t>
      </w:r>
    </w:p>
    <w:p w:rsidR="0065419A" w:rsidRDefault="0065419A" w:rsidP="0065419A">
      <w:pPr>
        <w:pStyle w:val="af0"/>
        <w:tabs>
          <w:tab w:val="left" w:pos="620"/>
        </w:tabs>
        <w:spacing w:line="360" w:lineRule="auto"/>
        <w:ind w:left="620"/>
        <w:jc w:val="both"/>
        <w:rPr>
          <w:rFonts w:cs="David"/>
          <w:b/>
          <w:bCs/>
          <w:sz w:val="24"/>
          <w:szCs w:val="24"/>
          <w:u w:val="single"/>
        </w:rPr>
      </w:pPr>
    </w:p>
    <w:p w:rsidR="00E277BA" w:rsidRDefault="00E277BA" w:rsidP="00E277BA">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פסיקה קודמת של בית דין אזורי לעבודה</w:t>
      </w:r>
    </w:p>
    <w:p w:rsidR="00E277BA" w:rsidRPr="00E277BA" w:rsidRDefault="00E277BA" w:rsidP="00E277BA">
      <w:pPr>
        <w:numPr>
          <w:ilvl w:val="0"/>
          <w:numId w:val="1"/>
        </w:numPr>
        <w:tabs>
          <w:tab w:val="clear" w:pos="630"/>
          <w:tab w:val="left" w:pos="620"/>
        </w:tabs>
        <w:spacing w:after="240" w:line="360" w:lineRule="auto"/>
        <w:ind w:left="620" w:hanging="540"/>
        <w:jc w:val="both"/>
        <w:rPr>
          <w:rFonts w:cs="David"/>
          <w:rtl/>
        </w:rPr>
      </w:pPr>
      <w:r w:rsidRPr="00E277BA">
        <w:rPr>
          <w:rFonts w:cs="David" w:hint="cs"/>
          <w:rtl/>
        </w:rPr>
        <w:t>בפרשה דומה לעניינו של המערער כאן (</w:t>
      </w:r>
      <w:r w:rsidRPr="00E277BA">
        <w:rPr>
          <w:rFonts w:cs="David"/>
          <w:rtl/>
        </w:rPr>
        <w:t xml:space="preserve">תעא (חיפה) 319/07 </w:t>
      </w:r>
      <w:r w:rsidRPr="00E277BA">
        <w:rPr>
          <w:rFonts w:cs="David"/>
          <w:b/>
          <w:bCs/>
          <w:rtl/>
        </w:rPr>
        <w:t>גרימברג סימון נ' עיריית קרית ביאליק, מדינת ישראל</w:t>
      </w:r>
      <w:r w:rsidRPr="00E277BA">
        <w:rPr>
          <w:rFonts w:cs="David" w:hint="cs"/>
          <w:b/>
          <w:bCs/>
          <w:rtl/>
        </w:rPr>
        <w:t xml:space="preserve"> ואח'</w:t>
      </w:r>
      <w:r w:rsidRPr="00E277BA">
        <w:rPr>
          <w:rFonts w:cs="David" w:hint="cs"/>
          <w:rtl/>
        </w:rPr>
        <w:t xml:space="preserve">), סקר בית הדין האיזורי לעבודה בחיפה </w:t>
      </w:r>
      <w:r>
        <w:rPr>
          <w:rFonts w:cs="David" w:hint="cs"/>
          <w:rtl/>
        </w:rPr>
        <w:t>א</w:t>
      </w:r>
      <w:r w:rsidRPr="00E277BA">
        <w:rPr>
          <w:rFonts w:cs="David" w:hint="cs"/>
          <w:rtl/>
        </w:rPr>
        <w:t xml:space="preserve">ת הרקע ליצירתו של חוזה הבכירים (באותו מקרה </w:t>
      </w:r>
      <w:r w:rsidRPr="00E277BA">
        <w:rPr>
          <w:rFonts w:cs="David"/>
          <w:rtl/>
        </w:rPr>
        <w:t>–</w:t>
      </w:r>
      <w:r w:rsidRPr="00E277BA">
        <w:rPr>
          <w:rFonts w:cs="David" w:hint="cs"/>
          <w:rtl/>
        </w:rPr>
        <w:t xml:space="preserve"> ברשויות המקומיות), והגיע למסקנה שלהלן:</w:t>
      </w:r>
    </w:p>
    <w:p w:rsidR="00E277BA" w:rsidRDefault="00E277BA" w:rsidP="00E277BA">
      <w:pPr>
        <w:tabs>
          <w:tab w:val="left" w:pos="1250"/>
        </w:tabs>
        <w:spacing w:line="360" w:lineRule="auto"/>
        <w:ind w:left="1250" w:right="450" w:hanging="360"/>
        <w:jc w:val="both"/>
        <w:rPr>
          <w:rtl/>
        </w:rPr>
      </w:pPr>
      <w:r>
        <w:rPr>
          <w:rFonts w:hint="cs"/>
          <w:rtl/>
        </w:rPr>
        <w:t xml:space="preserve">"15. </w:t>
      </w:r>
      <w:r>
        <w:rPr>
          <w:rtl/>
        </w:rPr>
        <w:t xml:space="preserve">מהאמור עולה, כי </w:t>
      </w:r>
      <w:r w:rsidRPr="00986742">
        <w:rPr>
          <w:b/>
          <w:bCs/>
          <w:u w:val="single"/>
          <w:rtl/>
        </w:rPr>
        <w:t>התובע הוחרג מפורשות מתחולת חוק הגמלאות אף כי זכויותיו לגמלה תקבענה על פי אותו חוק, בכפוף לתנאי החוזה</w:t>
      </w:r>
      <w:r>
        <w:rPr>
          <w:rtl/>
        </w:rPr>
        <w:t>. באופן דומה, נקבעו לתובע בחוזה זכויות מסוימות על פי חוקת העבודה, מבלי שזו חלה על התובע.</w:t>
      </w:r>
    </w:p>
    <w:p w:rsidR="00E277BA" w:rsidRDefault="00E277BA" w:rsidP="00E277BA">
      <w:pPr>
        <w:tabs>
          <w:tab w:val="left" w:pos="1250"/>
        </w:tabs>
        <w:spacing w:after="240" w:line="360" w:lineRule="auto"/>
        <w:ind w:left="1250" w:right="450" w:hanging="360"/>
        <w:jc w:val="both"/>
        <w:rPr>
          <w:rtl/>
        </w:rPr>
      </w:pPr>
      <w:r>
        <w:rPr>
          <w:rtl/>
        </w:rPr>
        <w:t>16.</w:t>
      </w:r>
      <w:r>
        <w:rPr>
          <w:rFonts w:hint="cs"/>
          <w:rtl/>
        </w:rPr>
        <w:t xml:space="preserve"> </w:t>
      </w:r>
      <w:r>
        <w:rPr>
          <w:rtl/>
        </w:rPr>
        <w:t xml:space="preserve">לפיכך, </w:t>
      </w:r>
      <w:r w:rsidRPr="00986742">
        <w:rPr>
          <w:b/>
          <w:bCs/>
          <w:u w:val="single"/>
          <w:rtl/>
        </w:rPr>
        <w:t xml:space="preserve">אין לקבוע כי </w:t>
      </w:r>
      <w:hyperlink r:id="rId9" w:tgtFrame="Hok_32155" w:history="1">
        <w:r w:rsidRPr="00986742">
          <w:rPr>
            <w:b/>
            <w:bCs/>
            <w:u w:val="single"/>
            <w:rtl/>
          </w:rPr>
          <w:t>חוק שירות המדינה (גימלאות</w:t>
        </w:r>
      </w:hyperlink>
      <w:r w:rsidRPr="00986742">
        <w:rPr>
          <w:b/>
          <w:bCs/>
          <w:u w:val="single"/>
          <w:rtl/>
        </w:rPr>
        <w:t>) ותקנותיו לעניין המועד להגשת ערעור חלים על התובע ודין טענת ההתיישנות  להידחות</w:t>
      </w:r>
      <w:r>
        <w:rPr>
          <w:rtl/>
        </w:rPr>
        <w:t>.</w:t>
      </w:r>
      <w:r>
        <w:rPr>
          <w:rFonts w:hint="cs"/>
          <w:rtl/>
        </w:rPr>
        <w:t>".</w:t>
      </w:r>
    </w:p>
    <w:p w:rsidR="00E277BA" w:rsidRDefault="00E277BA" w:rsidP="00634B9D">
      <w:pPr>
        <w:numPr>
          <w:ilvl w:val="0"/>
          <w:numId w:val="1"/>
        </w:numPr>
        <w:tabs>
          <w:tab w:val="clear" w:pos="630"/>
          <w:tab w:val="left" w:pos="620"/>
        </w:tabs>
        <w:spacing w:after="240" w:line="360" w:lineRule="auto"/>
        <w:ind w:left="620" w:hanging="540"/>
        <w:jc w:val="both"/>
        <w:rPr>
          <w:rFonts w:cs="David"/>
        </w:rPr>
      </w:pPr>
      <w:r>
        <w:rPr>
          <w:rFonts w:cs="David" w:hint="cs"/>
          <w:rtl/>
        </w:rPr>
        <w:t xml:space="preserve">המערער יטען כי פסק הדין בעניין סימון משקף נכונה את כוונת הצדדים, כפי שבאה לידי ביטוי בחוזה שניסחה המדינה עצמה, ואת כוונתה של המדינה בבואה להחריג בכירים בשירות הציבורי ממרבית ההוראות בחוק הגימלאות. </w:t>
      </w:r>
    </w:p>
    <w:p w:rsidR="00056C02" w:rsidRPr="00E277BA" w:rsidRDefault="00056C02" w:rsidP="007C00B3">
      <w:pPr>
        <w:spacing w:line="360" w:lineRule="auto"/>
        <w:ind w:left="1250" w:right="450"/>
        <w:jc w:val="both"/>
        <w:rPr>
          <w:rFonts w:asciiTheme="majorBidi" w:hAnsiTheme="majorBidi" w:cstheme="majorBidi"/>
        </w:rPr>
      </w:pPr>
    </w:p>
    <w:p w:rsidR="007172BD" w:rsidRDefault="003B18C5" w:rsidP="00057EF8">
      <w:pPr>
        <w:pStyle w:val="2"/>
        <w:numPr>
          <w:ilvl w:val="0"/>
          <w:numId w:val="2"/>
        </w:numPr>
        <w:tabs>
          <w:tab w:val="clear" w:pos="566"/>
          <w:tab w:val="left" w:pos="656"/>
        </w:tabs>
        <w:spacing w:after="120"/>
        <w:ind w:left="656" w:hanging="486"/>
        <w:rPr>
          <w:sz w:val="28"/>
          <w:lang w:eastAsia="en-US"/>
        </w:rPr>
      </w:pPr>
      <w:r>
        <w:rPr>
          <w:rFonts w:hint="cs"/>
          <w:sz w:val="28"/>
          <w:rtl/>
          <w:lang w:eastAsia="en-US"/>
        </w:rPr>
        <w:t>התביעה לא התיישנה</w:t>
      </w:r>
    </w:p>
    <w:p w:rsidR="00C74155" w:rsidRPr="00C74155" w:rsidRDefault="00C74155" w:rsidP="00C74155">
      <w:pPr>
        <w:spacing w:after="120" w:line="360" w:lineRule="auto"/>
        <w:ind w:left="80"/>
        <w:jc w:val="both"/>
        <w:rPr>
          <w:rFonts w:cs="David"/>
        </w:rPr>
      </w:pPr>
      <w:r w:rsidRPr="00C74155">
        <w:rPr>
          <w:rFonts w:cs="David" w:hint="cs"/>
          <w:rtl/>
        </w:rPr>
        <w:t>בהתאם לאמור לעיל בעניין אי תחולת חוק הגימלאות על מועד הגשת ערעור, המערער נדרש להגיש תוך שבע שנים ממועד גיבושה של עילת תביעה, והוא אכן עשה זאת, כפי שנפרט להלן:</w:t>
      </w:r>
    </w:p>
    <w:p w:rsidR="001B1104" w:rsidRDefault="0025458D" w:rsidP="00634B9D">
      <w:pPr>
        <w:pStyle w:val="af0"/>
        <w:numPr>
          <w:ilvl w:val="1"/>
          <w:numId w:val="2"/>
        </w:numPr>
        <w:spacing w:line="360" w:lineRule="auto"/>
        <w:ind w:left="710" w:hanging="450"/>
        <w:jc w:val="both"/>
        <w:rPr>
          <w:rFonts w:cs="David"/>
          <w:b/>
          <w:bCs/>
          <w:sz w:val="24"/>
          <w:szCs w:val="24"/>
          <w:u w:val="single"/>
        </w:rPr>
      </w:pPr>
      <w:r>
        <w:rPr>
          <w:rFonts w:cs="David" w:hint="cs"/>
          <w:b/>
          <w:bCs/>
          <w:sz w:val="24"/>
          <w:szCs w:val="24"/>
          <w:u w:val="single"/>
          <w:rtl/>
        </w:rPr>
        <w:t>עילת התביעה</w:t>
      </w:r>
      <w:r w:rsidR="00C74155">
        <w:rPr>
          <w:rFonts w:cs="David" w:hint="cs"/>
          <w:b/>
          <w:bCs/>
          <w:sz w:val="24"/>
          <w:szCs w:val="24"/>
          <w:u w:val="single"/>
          <w:rtl/>
        </w:rPr>
        <w:t xml:space="preserve"> התגבשה אך ורק עם קבלת החלטת הנציבות וקביעת גובה הגימלה</w:t>
      </w:r>
    </w:p>
    <w:p w:rsidR="0025458D" w:rsidRDefault="0025458D" w:rsidP="00634B9D">
      <w:pPr>
        <w:numPr>
          <w:ilvl w:val="0"/>
          <w:numId w:val="1"/>
        </w:numPr>
        <w:tabs>
          <w:tab w:val="clear" w:pos="630"/>
          <w:tab w:val="left" w:pos="620"/>
        </w:tabs>
        <w:spacing w:after="240" w:line="360" w:lineRule="auto"/>
        <w:ind w:left="620" w:hanging="540"/>
        <w:jc w:val="both"/>
        <w:rPr>
          <w:rFonts w:cs="David"/>
        </w:rPr>
      </w:pPr>
      <w:r w:rsidRPr="00634B9D">
        <w:rPr>
          <w:rFonts w:cs="David"/>
          <w:rtl/>
        </w:rPr>
        <w:t xml:space="preserve">בראשית הדברים בפרק זה נשוב ונחזור על הדברים שנכתבו במפורש בכתב התביעה - </w:t>
      </w:r>
      <w:r w:rsidRPr="00634B9D">
        <w:rPr>
          <w:rFonts w:cs="David"/>
          <w:b/>
          <w:bCs/>
          <w:rtl/>
        </w:rPr>
        <w:t>במשך מספר חודשים לא הודיע הגורם המוסמך (נציב שרות המדינה) למערער על ההחלטה להפסיק את העסקתו ע"פ החוזה, המדינה לא העבירה למשיב הודעה בעניין גמלתו, ולא שילמה את גמלתו.</w:t>
      </w:r>
      <w:r w:rsidRPr="00634B9D">
        <w:rPr>
          <w:rFonts w:cs="David"/>
          <w:rtl/>
        </w:rPr>
        <w:t xml:space="preserve"> </w:t>
      </w:r>
      <w:r w:rsidR="00634B9D">
        <w:rPr>
          <w:rFonts w:cs="David" w:hint="cs"/>
          <w:rtl/>
        </w:rPr>
        <w:t>בכך נוצר מצב אבסורדי לפיו התובע לא הופרש לגימלאות, אך בפועל לא קיבל שכר (ראו סעיף 5 סיפא לכתב התביעה).</w:t>
      </w:r>
    </w:p>
    <w:p w:rsidR="00BF1C12" w:rsidRPr="005A1484" w:rsidRDefault="005A1484" w:rsidP="006A503E">
      <w:pPr>
        <w:numPr>
          <w:ilvl w:val="0"/>
          <w:numId w:val="1"/>
        </w:numPr>
        <w:tabs>
          <w:tab w:val="clear" w:pos="630"/>
          <w:tab w:val="left" w:pos="620"/>
        </w:tabs>
        <w:spacing w:after="240" w:line="360" w:lineRule="auto"/>
        <w:ind w:left="620" w:hanging="540"/>
        <w:jc w:val="both"/>
        <w:rPr>
          <w:rFonts w:cs="David"/>
        </w:rPr>
      </w:pPr>
      <w:r w:rsidRPr="005A1484">
        <w:rPr>
          <w:rFonts w:cs="David"/>
          <w:rtl/>
        </w:rPr>
        <w:t>המערער יטען כי בכל הכבוד למשרד האוצר</w:t>
      </w:r>
      <w:r>
        <w:rPr>
          <w:rFonts w:cs="David" w:hint="cs"/>
          <w:rtl/>
        </w:rPr>
        <w:t xml:space="preserve"> </w:t>
      </w:r>
      <w:r>
        <w:rPr>
          <w:rFonts w:cs="David"/>
          <w:rtl/>
        </w:rPr>
        <w:t>–</w:t>
      </w:r>
      <w:r>
        <w:rPr>
          <w:rFonts w:cs="David" w:hint="cs"/>
          <w:rtl/>
        </w:rPr>
        <w:t xml:space="preserve"> שנתן את ההחלטה שמנעה ממנו להגיע למקום עבודתו החל מחודש אוגוסט 2012</w:t>
      </w:r>
      <w:r w:rsidRPr="005A1484">
        <w:rPr>
          <w:rFonts w:cs="David"/>
          <w:rtl/>
        </w:rPr>
        <w:t xml:space="preserve">, </w:t>
      </w:r>
      <w:r w:rsidRPr="005A1484">
        <w:rPr>
          <w:rFonts w:cs="David"/>
          <w:b/>
          <w:bCs/>
          <w:rtl/>
        </w:rPr>
        <w:t xml:space="preserve">הגורם היחידי שמוסמך להחליט על סיום תפקידו הוא נציב השירות </w:t>
      </w:r>
      <w:r w:rsidRPr="005A1484">
        <w:rPr>
          <w:rFonts w:cs="David"/>
          <w:rtl/>
        </w:rPr>
        <w:t>(ש</w:t>
      </w:r>
      <w:r w:rsidR="006A503E">
        <w:rPr>
          <w:rFonts w:cs="David" w:hint="cs"/>
          <w:rtl/>
        </w:rPr>
        <w:t xml:space="preserve">ממילא </w:t>
      </w:r>
      <w:r w:rsidRPr="005A1484">
        <w:rPr>
          <w:rFonts w:cs="David"/>
          <w:rtl/>
        </w:rPr>
        <w:t>החלטתו במקרה של המערער ניתנה בניגוד לדין)</w:t>
      </w:r>
      <w:r w:rsidR="00BF1C12">
        <w:rPr>
          <w:rFonts w:cs="David" w:hint="cs"/>
          <w:rtl/>
        </w:rPr>
        <w:t>.</w:t>
      </w:r>
      <w:r w:rsidR="00BF1C12" w:rsidRPr="005A1484">
        <w:rPr>
          <w:rFonts w:cs="David"/>
          <w:rtl/>
        </w:rPr>
        <w:t xml:space="preserve"> </w:t>
      </w:r>
      <w:r w:rsidR="00BF1C12">
        <w:rPr>
          <w:rFonts w:cs="David" w:hint="cs"/>
          <w:rtl/>
        </w:rPr>
        <w:t xml:space="preserve">זאת </w:t>
      </w:r>
      <w:r w:rsidR="00BF1C12" w:rsidRPr="005A1484">
        <w:rPr>
          <w:rFonts w:cs="David"/>
          <w:rtl/>
        </w:rPr>
        <w:t>כאמור בסעיף 4 לחוזה הבכירים (שאותו ציטט בית הדין קמא בסעיף 2 לפסק הדין, תוך התעלמות ממשמעותו).</w:t>
      </w:r>
    </w:p>
    <w:p w:rsidR="005A1484" w:rsidRDefault="005A1484" w:rsidP="005A1484">
      <w:pPr>
        <w:numPr>
          <w:ilvl w:val="0"/>
          <w:numId w:val="1"/>
        </w:numPr>
        <w:tabs>
          <w:tab w:val="clear" w:pos="630"/>
          <w:tab w:val="left" w:pos="620"/>
        </w:tabs>
        <w:spacing w:after="240" w:line="360" w:lineRule="auto"/>
        <w:ind w:left="620" w:hanging="540"/>
        <w:jc w:val="both"/>
        <w:rPr>
          <w:rFonts w:cs="David"/>
        </w:rPr>
      </w:pPr>
      <w:r w:rsidRPr="00BF1C12">
        <w:rPr>
          <w:rFonts w:cs="David"/>
          <w:b/>
          <w:bCs/>
          <w:rtl/>
        </w:rPr>
        <w:t>לפיכך, המכתב של החשבת הכללית דאז בחודש אוגוסט 2012 שבפועל רק מבטלת את סמכויותיו כחשב להתחייב בשם המדינה,  לא יכול היה להפסיק את עבודתו בשירות המדינה</w:t>
      </w:r>
      <w:r w:rsidRPr="005A1484">
        <w:rPr>
          <w:rFonts w:cs="David"/>
          <w:rtl/>
        </w:rPr>
        <w:t>.</w:t>
      </w:r>
    </w:p>
    <w:p w:rsidR="001C57AA" w:rsidRDefault="0025458D" w:rsidP="001C57AA">
      <w:pPr>
        <w:pStyle w:val="a3"/>
        <w:numPr>
          <w:ilvl w:val="0"/>
          <w:numId w:val="1"/>
        </w:numPr>
        <w:tabs>
          <w:tab w:val="clear" w:pos="566"/>
          <w:tab w:val="left" w:pos="674"/>
        </w:tabs>
        <w:spacing w:after="240"/>
      </w:pPr>
      <w:r>
        <w:rPr>
          <w:rtl/>
        </w:rPr>
        <w:lastRenderedPageBreak/>
        <w:t xml:space="preserve">לעניין עילת התביעה, </w:t>
      </w:r>
      <w:r w:rsidR="001C57AA">
        <w:rPr>
          <w:rFonts w:hint="cs"/>
          <w:rtl/>
        </w:rPr>
        <w:t xml:space="preserve">נקבע </w:t>
      </w:r>
      <w:r w:rsidR="00634B9D">
        <w:rPr>
          <w:rtl/>
        </w:rPr>
        <w:t>פסק הדין בעניין רחל קידר</w:t>
      </w:r>
      <w:r w:rsidR="00634B9D">
        <w:rPr>
          <w:rFonts w:hint="cs"/>
          <w:rtl/>
        </w:rPr>
        <w:t xml:space="preserve"> </w:t>
      </w:r>
      <w:r>
        <w:rPr>
          <w:rtl/>
        </w:rPr>
        <w:t>(</w:t>
      </w:r>
      <w:r w:rsidRPr="00D76C15">
        <w:rPr>
          <w:rtl/>
        </w:rPr>
        <w:t xml:space="preserve">עע 23928-09/18  </w:t>
      </w:r>
      <w:r w:rsidRPr="00D76C15">
        <w:rPr>
          <w:b/>
          <w:bCs/>
          <w:rtl/>
        </w:rPr>
        <w:t>שירותי בריאות כללית נ' רחל קידר, קרן הגמלאות המרכזית של עובדי ההסתדרות</w:t>
      </w:r>
      <w:r>
        <w:rPr>
          <w:b/>
          <w:bCs/>
          <w:rtl/>
        </w:rPr>
        <w:t xml:space="preserve"> ואח'</w:t>
      </w:r>
      <w:r w:rsidRPr="00D76C15">
        <w:rPr>
          <w:rtl/>
        </w:rPr>
        <w:t>)</w:t>
      </w:r>
      <w:r>
        <w:rPr>
          <w:rtl/>
        </w:rPr>
        <w:t xml:space="preserve">, </w:t>
      </w:r>
      <w:r w:rsidR="001C57AA">
        <w:rPr>
          <w:rFonts w:hint="cs"/>
          <w:rtl/>
        </w:rPr>
        <w:t xml:space="preserve">כי יש לבחון מתי הלכה למעשה יש לעובד הזכות והכוח הקונקרטי לממש את זכותו התביעה שבידו, </w:t>
      </w:r>
      <w:r w:rsidR="001C57AA" w:rsidRPr="00C74155">
        <w:rPr>
          <w:rFonts w:hint="cs"/>
          <w:b/>
          <w:bCs/>
          <w:rtl/>
        </w:rPr>
        <w:t>ואין די בזכות תביעה תיאורטית</w:t>
      </w:r>
      <w:r w:rsidR="001C57AA">
        <w:rPr>
          <w:rFonts w:hint="cs"/>
          <w:rtl/>
        </w:rPr>
        <w:t xml:space="preserve">. </w:t>
      </w:r>
    </w:p>
    <w:p w:rsidR="001C57AA" w:rsidRDefault="0025458D" w:rsidP="001C57AA">
      <w:pPr>
        <w:pStyle w:val="a3"/>
        <w:tabs>
          <w:tab w:val="clear" w:pos="566"/>
          <w:tab w:val="left" w:pos="674"/>
        </w:tabs>
        <w:spacing w:after="240"/>
        <w:ind w:left="630"/>
        <w:rPr>
          <w:b/>
          <w:bCs/>
          <w:rtl/>
        </w:rPr>
      </w:pPr>
      <w:r w:rsidRPr="00164CDC">
        <w:rPr>
          <w:rtl/>
        </w:rPr>
        <w:t>בענייננו</w:t>
      </w:r>
      <w:r w:rsidR="001C57AA">
        <w:rPr>
          <w:rFonts w:hint="cs"/>
          <w:rtl/>
        </w:rPr>
        <w:t xml:space="preserve">, </w:t>
      </w:r>
      <w:r w:rsidRPr="00164CDC">
        <w:rPr>
          <w:rtl/>
        </w:rPr>
        <w:t xml:space="preserve"> </w:t>
      </w:r>
      <w:r w:rsidRPr="001C57AA">
        <w:rPr>
          <w:b/>
          <w:bCs/>
          <w:rtl/>
        </w:rPr>
        <w:t>מירוץ ההתיישנות לא מתחיל לפני המועד בו ניתנה החלטת הגורם המוסמך על הפסקת עבודתו</w:t>
      </w:r>
      <w:r w:rsidR="001C57AA">
        <w:rPr>
          <w:rFonts w:hint="cs"/>
          <w:b/>
          <w:bCs/>
          <w:rtl/>
        </w:rPr>
        <w:t>, ובטרם נודע למערער מהי הגימלה המגיעה לו</w:t>
      </w:r>
      <w:r w:rsidRPr="001C57AA">
        <w:rPr>
          <w:b/>
          <w:bCs/>
          <w:rtl/>
        </w:rPr>
        <w:t>.</w:t>
      </w:r>
      <w:r w:rsidR="001C57AA">
        <w:rPr>
          <w:rFonts w:hint="cs"/>
          <w:b/>
          <w:bCs/>
          <w:rtl/>
        </w:rPr>
        <w:t xml:space="preserve"> </w:t>
      </w:r>
      <w:r w:rsidR="001C57AA" w:rsidRPr="001C57AA">
        <w:rPr>
          <w:rFonts w:hint="cs"/>
          <w:rtl/>
        </w:rPr>
        <w:t>ומן הכלל אל הפרט:</w:t>
      </w:r>
    </w:p>
    <w:p w:rsidR="001C57AA" w:rsidRDefault="001C57AA" w:rsidP="00C74155">
      <w:pPr>
        <w:pStyle w:val="a3"/>
        <w:numPr>
          <w:ilvl w:val="0"/>
          <w:numId w:val="9"/>
        </w:numPr>
        <w:tabs>
          <w:tab w:val="clear" w:pos="566"/>
          <w:tab w:val="left" w:pos="674"/>
        </w:tabs>
        <w:spacing w:after="240"/>
      </w:pPr>
      <w:r w:rsidRPr="001C57AA">
        <w:rPr>
          <w:rFonts w:hint="cs"/>
          <w:b/>
          <w:bCs/>
          <w:u w:val="single"/>
          <w:rtl/>
        </w:rPr>
        <w:t>ביחס לתביעה על גובה הגימלה</w:t>
      </w:r>
      <w:r>
        <w:rPr>
          <w:rFonts w:hint="cs"/>
          <w:rtl/>
        </w:rPr>
        <w:t xml:space="preserve"> </w:t>
      </w:r>
      <w:r>
        <w:rPr>
          <w:rtl/>
        </w:rPr>
        <w:t>–</w:t>
      </w:r>
      <w:r>
        <w:rPr>
          <w:rFonts w:hint="cs"/>
          <w:rtl/>
        </w:rPr>
        <w:t xml:space="preserve"> כיצד יכול היה המערער לדעת כי יש לו השגות וטענות על גובה הגימלה בטרם קיבל הודעה על שיעור הגימלה?! האם בחודש אוגוסט </w:t>
      </w:r>
      <w:r>
        <w:rPr>
          <w:rtl/>
        </w:rPr>
        <w:t>–</w:t>
      </w:r>
      <w:r>
        <w:rPr>
          <w:rFonts w:hint="cs"/>
          <w:rtl/>
        </w:rPr>
        <w:t xml:space="preserve"> שעה שסולק מעבודתו </w:t>
      </w:r>
      <w:r>
        <w:rPr>
          <w:rtl/>
        </w:rPr>
        <w:t>–</w:t>
      </w:r>
      <w:r>
        <w:rPr>
          <w:rFonts w:hint="cs"/>
          <w:rtl/>
        </w:rPr>
        <w:t xml:space="preserve"> היה יכול המערער לנחש מה תהיה גימלתו בפועל? ואף היה למערער כשרון נבואי </w:t>
      </w:r>
      <w:r>
        <w:rPr>
          <w:rtl/>
        </w:rPr>
        <w:t>–</w:t>
      </w:r>
      <w:r>
        <w:rPr>
          <w:rFonts w:hint="cs"/>
          <w:rtl/>
        </w:rPr>
        <w:t xml:space="preserve"> בית הדין לא היה דן בתביעתו על גובה הגימלה ללא החלטה של הממונה על הגימלאות</w:t>
      </w:r>
      <w:r w:rsidR="00C74155">
        <w:rPr>
          <w:rFonts w:hint="cs"/>
          <w:rtl/>
        </w:rPr>
        <w:t xml:space="preserve"> ומבלי שניתנה ההכרעה של הנציבות בדבר גובה הגימלה</w:t>
      </w:r>
      <w:r>
        <w:rPr>
          <w:rFonts w:hint="cs"/>
          <w:rtl/>
        </w:rPr>
        <w:t>.</w:t>
      </w:r>
    </w:p>
    <w:p w:rsidR="00C74155" w:rsidRDefault="00C74155" w:rsidP="00667B55">
      <w:pPr>
        <w:pStyle w:val="a3"/>
        <w:tabs>
          <w:tab w:val="clear" w:pos="566"/>
          <w:tab w:val="left" w:pos="674"/>
        </w:tabs>
        <w:spacing w:after="240"/>
        <w:ind w:left="990"/>
        <w:rPr>
          <w:b/>
          <w:bCs/>
          <w:rtl/>
        </w:rPr>
      </w:pPr>
      <w:r w:rsidRPr="00667B55">
        <w:rPr>
          <w:rFonts w:hint="cs"/>
          <w:rtl/>
        </w:rPr>
        <w:t xml:space="preserve">ונדגיש </w:t>
      </w:r>
      <w:r>
        <w:rPr>
          <w:rtl/>
        </w:rPr>
        <w:t>–</w:t>
      </w:r>
      <w:r>
        <w:rPr>
          <w:rFonts w:hint="cs"/>
          <w:rtl/>
        </w:rPr>
        <w:t xml:space="preserve"> </w:t>
      </w:r>
      <w:r w:rsidRPr="00667B55">
        <w:rPr>
          <w:rFonts w:hint="cs"/>
          <w:b/>
          <w:bCs/>
          <w:rtl/>
        </w:rPr>
        <w:t xml:space="preserve">פתיחת הליך משפטי ביחס לגובה הגימלה המגיעה למערער </w:t>
      </w:r>
      <w:r w:rsidR="00667B55" w:rsidRPr="00667B55">
        <w:rPr>
          <w:rFonts w:hint="cs"/>
          <w:b/>
          <w:bCs/>
          <w:rtl/>
        </w:rPr>
        <w:t xml:space="preserve">יכולה להתרחש אך ורק במועד בו קיבל המערער הודעה על גובה הגימלה, ובמקרה זה </w:t>
      </w:r>
      <w:r w:rsidR="00667B55" w:rsidRPr="00667B55">
        <w:rPr>
          <w:b/>
          <w:bCs/>
          <w:rtl/>
        </w:rPr>
        <w:t>–</w:t>
      </w:r>
      <w:r w:rsidR="00667B55" w:rsidRPr="00667B55">
        <w:rPr>
          <w:rFonts w:hint="cs"/>
          <w:b/>
          <w:bCs/>
          <w:rtl/>
        </w:rPr>
        <w:t xml:space="preserve"> ינואר 2015!</w:t>
      </w:r>
    </w:p>
    <w:p w:rsidR="00BF1C12" w:rsidRDefault="00BF1C12" w:rsidP="00667B55">
      <w:pPr>
        <w:pStyle w:val="a3"/>
        <w:tabs>
          <w:tab w:val="clear" w:pos="566"/>
          <w:tab w:val="left" w:pos="674"/>
        </w:tabs>
        <w:spacing w:after="240"/>
        <w:ind w:left="990"/>
      </w:pPr>
      <w:r>
        <w:rPr>
          <w:rFonts w:hint="cs"/>
          <w:b/>
          <w:bCs/>
          <w:rtl/>
        </w:rPr>
        <w:t xml:space="preserve">פסק הדין יצר, אם כן, מצב אבסורדי ממש בו עילת התביעה ביחס לגובה הגימלה התגבשה עוד בטרם היה יודע למערער מה גובה הגימלה. </w:t>
      </w:r>
    </w:p>
    <w:p w:rsidR="001C57AA" w:rsidRDefault="005642FE" w:rsidP="001C57AA">
      <w:pPr>
        <w:pStyle w:val="a3"/>
        <w:numPr>
          <w:ilvl w:val="0"/>
          <w:numId w:val="9"/>
        </w:numPr>
        <w:tabs>
          <w:tab w:val="clear" w:pos="566"/>
          <w:tab w:val="left" w:pos="674"/>
        </w:tabs>
        <w:spacing w:after="240"/>
      </w:pPr>
      <w:r>
        <w:rPr>
          <w:rFonts w:hint="cs"/>
          <w:b/>
          <w:bCs/>
          <w:u w:val="single"/>
          <w:rtl/>
        </w:rPr>
        <w:t>ביחס לסילוקו משירות המדינה במהלך תקופת החוזה</w:t>
      </w:r>
      <w:r w:rsidRPr="005642FE">
        <w:rPr>
          <w:rFonts w:hint="cs"/>
          <w:rtl/>
        </w:rPr>
        <w:t xml:space="preserve"> </w:t>
      </w:r>
      <w:r>
        <w:rPr>
          <w:rtl/>
        </w:rPr>
        <w:t>–</w:t>
      </w:r>
      <w:r w:rsidRPr="005642FE">
        <w:rPr>
          <w:rFonts w:hint="cs"/>
          <w:rtl/>
        </w:rPr>
        <w:t xml:space="preserve"> </w:t>
      </w:r>
      <w:r>
        <w:rPr>
          <w:rFonts w:hint="cs"/>
          <w:rtl/>
        </w:rPr>
        <w:t xml:space="preserve">בהיעדר החלטה של הגורם המוסמך </w:t>
      </w:r>
      <w:r w:rsidR="00C74155">
        <w:rPr>
          <w:rFonts w:hint="cs"/>
          <w:rtl/>
        </w:rPr>
        <w:t>על הפסקת עבודתו, לא קמה למערער עילת תביעה ממשית. רק במועד בו נשלחה אליו החלטת נציבות שירות המדינה על הפסקת עבודתו קמה לו זכות תביעה בעניין זה.</w:t>
      </w:r>
    </w:p>
    <w:p w:rsidR="004F5810" w:rsidRPr="004F5810" w:rsidRDefault="004F5810" w:rsidP="004F5810">
      <w:pPr>
        <w:pStyle w:val="a3"/>
        <w:tabs>
          <w:tab w:val="clear" w:pos="566"/>
          <w:tab w:val="left" w:pos="674"/>
        </w:tabs>
        <w:spacing w:after="240"/>
        <w:ind w:left="990"/>
      </w:pPr>
      <w:r>
        <w:rPr>
          <w:rFonts w:hint="cs"/>
          <w:rtl/>
        </w:rPr>
        <w:t>המערער יטען כי אם היה מגיש את תביעתו ללא החלטת נציב השירות היתה עומדת כנגדו הטענה כי מיהר להגיש תביעתו בטרם ניתנה החלטת הגורם המוסמך על פי חוזה הבכירים.</w:t>
      </w:r>
    </w:p>
    <w:p w:rsidR="001F1DAC" w:rsidRPr="006A503E" w:rsidRDefault="001F1DAC" w:rsidP="001F1DAC">
      <w:pPr>
        <w:numPr>
          <w:ilvl w:val="0"/>
          <w:numId w:val="1"/>
        </w:numPr>
        <w:tabs>
          <w:tab w:val="clear" w:pos="630"/>
          <w:tab w:val="left" w:pos="620"/>
        </w:tabs>
        <w:spacing w:after="240" w:line="360" w:lineRule="auto"/>
        <w:ind w:left="620" w:hanging="540"/>
        <w:jc w:val="both"/>
        <w:rPr>
          <w:rFonts w:cs="David"/>
        </w:rPr>
      </w:pPr>
      <w:r w:rsidRPr="006A503E">
        <w:rPr>
          <w:rFonts w:cs="David" w:hint="cs"/>
          <w:rtl/>
        </w:rPr>
        <w:t xml:space="preserve">נציין גם כי ממילא </w:t>
      </w:r>
      <w:r>
        <w:rPr>
          <w:rFonts w:cs="David" w:hint="cs"/>
          <w:rtl/>
        </w:rPr>
        <w:t>החלטת משרד האוצר התרחשה בתקופת פגרה, כך שיש להוסיפה לתקופת מירוץ ההתיישנות.</w:t>
      </w:r>
    </w:p>
    <w:p w:rsidR="00BF1C12" w:rsidRPr="001F1DAC" w:rsidRDefault="00BF1C12" w:rsidP="00BF1C12">
      <w:pPr>
        <w:pStyle w:val="a3"/>
        <w:tabs>
          <w:tab w:val="clear" w:pos="566"/>
          <w:tab w:val="left" w:pos="674"/>
        </w:tabs>
        <w:ind w:left="990"/>
      </w:pPr>
    </w:p>
    <w:p w:rsidR="0025458D" w:rsidRPr="00BF1C12" w:rsidRDefault="0025458D" w:rsidP="009E0900">
      <w:pPr>
        <w:pStyle w:val="af0"/>
        <w:numPr>
          <w:ilvl w:val="1"/>
          <w:numId w:val="2"/>
        </w:numPr>
        <w:spacing w:line="360" w:lineRule="auto"/>
        <w:ind w:left="710" w:hanging="450"/>
        <w:jc w:val="both"/>
        <w:rPr>
          <w:rFonts w:cs="David"/>
          <w:b/>
          <w:bCs/>
          <w:sz w:val="24"/>
          <w:szCs w:val="24"/>
          <w:u w:val="single"/>
        </w:rPr>
      </w:pPr>
      <w:r w:rsidRPr="00BF1C12">
        <w:rPr>
          <w:rFonts w:cs="David"/>
          <w:b/>
          <w:bCs/>
          <w:sz w:val="24"/>
          <w:szCs w:val="24"/>
          <w:u w:val="single"/>
          <w:rtl/>
        </w:rPr>
        <w:t xml:space="preserve">מכלול העובדות </w:t>
      </w:r>
      <w:r w:rsidR="009E0900">
        <w:rPr>
          <w:rFonts w:cs="David" w:hint="cs"/>
          <w:b/>
          <w:bCs/>
          <w:sz w:val="24"/>
          <w:szCs w:val="24"/>
          <w:u w:val="single"/>
          <w:rtl/>
        </w:rPr>
        <w:t>ומשקלה של זכות הגישה לערכאות</w:t>
      </w:r>
      <w:r w:rsidR="00BF1C12" w:rsidRPr="00BF1C12">
        <w:rPr>
          <w:rFonts w:cs="David" w:hint="cs"/>
          <w:b/>
          <w:bCs/>
          <w:sz w:val="24"/>
          <w:szCs w:val="24"/>
          <w:rtl/>
        </w:rPr>
        <w:t xml:space="preserve"> </w:t>
      </w:r>
      <w:r w:rsidRPr="00BF1C12">
        <w:rPr>
          <w:rFonts w:cs="David"/>
          <w:b/>
          <w:bCs/>
          <w:sz w:val="24"/>
          <w:szCs w:val="24"/>
          <w:rtl/>
        </w:rPr>
        <w:t>–</w:t>
      </w:r>
      <w:r w:rsidRPr="00BF1C12">
        <w:rPr>
          <w:rFonts w:cs="David"/>
          <w:b/>
          <w:bCs/>
          <w:sz w:val="24"/>
          <w:szCs w:val="24"/>
          <w:u w:val="single"/>
          <w:rtl/>
        </w:rPr>
        <w:t xml:space="preserve"> </w:t>
      </w:r>
    </w:p>
    <w:p w:rsidR="0025458D" w:rsidRDefault="004F5810" w:rsidP="00BF1C12">
      <w:pPr>
        <w:pStyle w:val="a3"/>
        <w:numPr>
          <w:ilvl w:val="0"/>
          <w:numId w:val="1"/>
        </w:numPr>
        <w:tabs>
          <w:tab w:val="clear" w:pos="566"/>
          <w:tab w:val="left" w:pos="674"/>
        </w:tabs>
        <w:spacing w:after="240"/>
      </w:pPr>
      <w:r>
        <w:rPr>
          <w:rFonts w:hint="cs"/>
          <w:rtl/>
        </w:rPr>
        <w:t xml:space="preserve">מבלי לגרוע מהאמור לעיל, </w:t>
      </w:r>
      <w:r w:rsidR="0025458D">
        <w:rPr>
          <w:rtl/>
        </w:rPr>
        <w:t xml:space="preserve">המערער יוסיף ויטען סיום עבודה של עובד מדינה, בוודאי לאחר כארבעים ושתיים שנות עבודה, מביאה לשורת התרחשויות הקשורות זו בזאת, ואשר לא ניתן לנתקן, ובעיקר הכוונה לתשלום הגמלה המגיעה לעובד מדינה הפרוש לגמלאות. </w:t>
      </w:r>
    </w:p>
    <w:p w:rsidR="009E0900" w:rsidRDefault="0025458D" w:rsidP="009E0900">
      <w:pPr>
        <w:pStyle w:val="a3"/>
        <w:numPr>
          <w:ilvl w:val="0"/>
          <w:numId w:val="1"/>
        </w:numPr>
        <w:tabs>
          <w:tab w:val="clear" w:pos="566"/>
          <w:tab w:val="left" w:pos="674"/>
        </w:tabs>
        <w:spacing w:after="240"/>
      </w:pPr>
      <w:r w:rsidRPr="0060749D">
        <w:rPr>
          <w:rtl/>
        </w:rPr>
        <w:t xml:space="preserve">בכל הכבוד, הקביעה </w:t>
      </w:r>
      <w:r>
        <w:rPr>
          <w:rtl/>
        </w:rPr>
        <w:t xml:space="preserve">של בית הדין קמא בסעיף 27 לפסק הדין, </w:t>
      </w:r>
      <w:r w:rsidRPr="0060749D">
        <w:rPr>
          <w:rtl/>
        </w:rPr>
        <w:t xml:space="preserve">כי </w:t>
      </w:r>
      <w:r>
        <w:rPr>
          <w:rtl/>
        </w:rPr>
        <w:t xml:space="preserve">כבר ביום </w:t>
      </w:r>
      <w:r w:rsidRPr="0060749D">
        <w:rPr>
          <w:rtl/>
        </w:rPr>
        <w:t>5.8.12 "</w:t>
      </w:r>
      <w:r w:rsidRPr="00BF1C12">
        <w:rPr>
          <w:rtl/>
        </w:rPr>
        <w:t>השתכלל בידיו כוח תביעה קונקרטי והתגבשה עילת תביעתו</w:t>
      </w:r>
      <w:r w:rsidRPr="0060749D">
        <w:rPr>
          <w:rtl/>
        </w:rPr>
        <w:t xml:space="preserve">" לצורך התיישנות, מפרידה </w:t>
      </w:r>
      <w:r>
        <w:rPr>
          <w:rtl/>
        </w:rPr>
        <w:t xml:space="preserve">בין המרכיבים השונים של הפרישה לגמלאות ויוצרת הפרדה מלאכותית בין רכיבי הפרישה השונים. </w:t>
      </w:r>
    </w:p>
    <w:p w:rsidR="009E0900" w:rsidRDefault="0025458D" w:rsidP="009E0900">
      <w:pPr>
        <w:pStyle w:val="a3"/>
        <w:tabs>
          <w:tab w:val="clear" w:pos="566"/>
          <w:tab w:val="left" w:pos="674"/>
        </w:tabs>
        <w:spacing w:after="240"/>
        <w:ind w:left="630"/>
        <w:rPr>
          <w:rtl/>
        </w:rPr>
      </w:pPr>
      <w:r>
        <w:rPr>
          <w:rtl/>
        </w:rPr>
        <w:lastRenderedPageBreak/>
        <w:t>לא ניתן להפריד בין רכיבים אלה, ויש לקחת בחשבון את "</w:t>
      </w:r>
      <w:r w:rsidRPr="009E0900">
        <w:rPr>
          <w:b/>
          <w:bCs/>
          <w:rtl/>
        </w:rPr>
        <w:t xml:space="preserve">מכלול העובדות והמהותיות המולידות את הזכות לסעד". </w:t>
      </w:r>
      <w:r w:rsidRPr="002A1C7D">
        <w:rPr>
          <w:rtl/>
        </w:rPr>
        <w:t xml:space="preserve">ראו </w:t>
      </w:r>
      <w:r w:rsidRPr="0060749D">
        <w:rPr>
          <w:rtl/>
        </w:rPr>
        <w:t xml:space="preserve">סעיף 24 לפסק הדין המפנה לפסק הדין בעניין אפרידר </w:t>
      </w:r>
      <w:r>
        <w:rPr>
          <w:rtl/>
        </w:rPr>
        <w:t xml:space="preserve">- </w:t>
      </w:r>
      <w:r w:rsidRPr="0060749D">
        <w:rPr>
          <w:rtl/>
        </w:rPr>
        <w:t>רע"א 6774/19 ‏</w:t>
      </w:r>
      <w:r w:rsidRPr="009E0900">
        <w:rPr>
          <w:b/>
          <w:bCs/>
          <w:rtl/>
        </w:rPr>
        <w:t>אפרידר החברה לשיכון ופיתוח לישראל בע"מ נ' עיריית ראש העין</w:t>
      </w:r>
      <w:r w:rsidRPr="0060749D">
        <w:rPr>
          <w:rtl/>
        </w:rPr>
        <w:t xml:space="preserve"> (16.4.2020);</w:t>
      </w:r>
    </w:p>
    <w:p w:rsidR="009E0900" w:rsidRDefault="009E0900" w:rsidP="009E0900">
      <w:pPr>
        <w:pStyle w:val="a3"/>
        <w:numPr>
          <w:ilvl w:val="0"/>
          <w:numId w:val="1"/>
        </w:numPr>
        <w:tabs>
          <w:tab w:val="clear" w:pos="566"/>
          <w:tab w:val="left" w:pos="674"/>
        </w:tabs>
        <w:spacing w:after="240"/>
      </w:pPr>
      <w:r>
        <w:rPr>
          <w:rFonts w:hint="cs"/>
          <w:rtl/>
        </w:rPr>
        <w:t xml:space="preserve">כמו כן </w:t>
      </w:r>
      <w:r>
        <w:rPr>
          <w:rtl/>
        </w:rPr>
        <w:t>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w:t>
      </w:r>
      <w:r>
        <w:rPr>
          <w:rFonts w:hint="cs"/>
          <w:rtl/>
        </w:rPr>
        <w:t xml:space="preserve"> </w:t>
      </w:r>
      <w:r>
        <w:rPr>
          <w:rtl/>
        </w:rPr>
        <w:t>המערער יוסיף ויטען כי במקרה זה, שבו לכל היותר עשויה להיות מחלוקת בעניין המועד האחרון להגשת התובענה, היה מקום לייחס חשיבות לזכות הגישה לערכאות, שהיא זכות חוקתית, ולהכריע לטובת המערער, בהתאם להוראות חוזה בכירים שאותו ניסחה המדינה.</w:t>
      </w:r>
    </w:p>
    <w:p w:rsidR="009E0900" w:rsidRDefault="009E0900" w:rsidP="001F1DAC">
      <w:pPr>
        <w:pStyle w:val="a3"/>
        <w:numPr>
          <w:ilvl w:val="0"/>
          <w:numId w:val="1"/>
        </w:numPr>
        <w:tabs>
          <w:tab w:val="clear" w:pos="566"/>
          <w:tab w:val="left" w:pos="674"/>
        </w:tabs>
        <w:spacing w:after="240"/>
      </w:pPr>
      <w:r>
        <w:rPr>
          <w:rtl/>
        </w:rPr>
        <w:t xml:space="preserve">לפיכך, וכאשר בוחנים את מכלול העובדות – </w:t>
      </w:r>
      <w:r w:rsidRPr="001F1DAC">
        <w:rPr>
          <w:b/>
          <w:bCs/>
          <w:rtl/>
        </w:rPr>
        <w:t>לא קמה עילה לפני שהמערער התחיל לקבל גמלה, ולמצער – המועד בו ניתנה לו ההודעה על הגמלה שחל בחודש דצמבר</w:t>
      </w:r>
      <w:r>
        <w:rPr>
          <w:rtl/>
        </w:rPr>
        <w:t xml:space="preserve"> 2012.</w:t>
      </w:r>
    </w:p>
    <w:p w:rsidR="009E0900" w:rsidRPr="001F1DAC" w:rsidRDefault="009E0900" w:rsidP="009E0900">
      <w:pPr>
        <w:pStyle w:val="a3"/>
        <w:tabs>
          <w:tab w:val="clear" w:pos="566"/>
          <w:tab w:val="left" w:pos="674"/>
        </w:tabs>
        <w:spacing w:after="240"/>
        <w:ind w:left="630"/>
      </w:pPr>
    </w:p>
    <w:p w:rsidR="0025458D" w:rsidRPr="009E0900" w:rsidRDefault="0025458D" w:rsidP="009E0900">
      <w:pPr>
        <w:pStyle w:val="af0"/>
        <w:numPr>
          <w:ilvl w:val="1"/>
          <w:numId w:val="2"/>
        </w:numPr>
        <w:spacing w:line="360" w:lineRule="auto"/>
        <w:ind w:left="710" w:hanging="450"/>
        <w:jc w:val="both"/>
        <w:rPr>
          <w:rFonts w:cs="David"/>
          <w:b/>
          <w:bCs/>
          <w:sz w:val="24"/>
          <w:szCs w:val="24"/>
          <w:u w:val="single"/>
        </w:rPr>
      </w:pPr>
      <w:r w:rsidRPr="009E0900">
        <w:rPr>
          <w:rFonts w:cs="David"/>
          <w:b/>
          <w:bCs/>
          <w:sz w:val="24"/>
          <w:szCs w:val="24"/>
          <w:u w:val="single"/>
          <w:rtl/>
        </w:rPr>
        <w:t>טעה בית דין קמא כאשר התעלם מהחובה למיצוי הליכים</w:t>
      </w:r>
      <w:r w:rsidRPr="009E0900">
        <w:rPr>
          <w:rFonts w:cs="David"/>
          <w:b/>
          <w:bCs/>
          <w:sz w:val="24"/>
          <w:szCs w:val="24"/>
          <w:rtl/>
        </w:rPr>
        <w:t xml:space="preserve"> – </w:t>
      </w:r>
    </w:p>
    <w:p w:rsidR="0025458D" w:rsidRPr="00912F96" w:rsidRDefault="0025458D" w:rsidP="009E0900">
      <w:pPr>
        <w:pStyle w:val="a3"/>
        <w:numPr>
          <w:ilvl w:val="0"/>
          <w:numId w:val="1"/>
        </w:numPr>
        <w:tabs>
          <w:tab w:val="clear" w:pos="566"/>
          <w:tab w:val="left" w:pos="674"/>
        </w:tabs>
        <w:spacing w:after="240"/>
      </w:pPr>
      <w:r w:rsidRPr="00912F96">
        <w:rPr>
          <w:rtl/>
        </w:rPr>
        <w:t xml:space="preserve">מבלי לגרוע מהטענה כי רק במועד שבו הופרש המערער לגמלאות קמה זכות התביעה, יטען המערער כי למעשה לא היה יכול להגיש תביעתו כבר בחודש אוגוסט 2012, שכן מיד היתה עולה נגדו טענה על אי מיצוי הליכים. </w:t>
      </w:r>
    </w:p>
    <w:p w:rsidR="0025458D" w:rsidRPr="00912F96" w:rsidRDefault="0025458D" w:rsidP="009E0900">
      <w:pPr>
        <w:pStyle w:val="a3"/>
        <w:numPr>
          <w:ilvl w:val="0"/>
          <w:numId w:val="1"/>
        </w:numPr>
        <w:tabs>
          <w:tab w:val="clear" w:pos="566"/>
          <w:tab w:val="left" w:pos="674"/>
        </w:tabs>
        <w:spacing w:after="240"/>
      </w:pPr>
      <w:r w:rsidRPr="00912F96">
        <w:rPr>
          <w:rtl/>
        </w:rPr>
        <w:t>טענה זאת אינה טענה בעלמא, שכן המערער פנה למשיבה – לאחר שנדרש לא להגיע לעבודתו -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 תשובה המתעלמת לחלוטין מהעובדות, מהחוזה ומהחוק, ועומדת על עמדתה המופרכת של המדינה (ראו סעיף 34 לכתב התביעה).</w:t>
      </w:r>
    </w:p>
    <w:p w:rsidR="009E0900" w:rsidRDefault="0025458D" w:rsidP="009E0900">
      <w:pPr>
        <w:pStyle w:val="a3"/>
        <w:numPr>
          <w:ilvl w:val="0"/>
          <w:numId w:val="1"/>
        </w:numPr>
        <w:tabs>
          <w:tab w:val="clear" w:pos="566"/>
          <w:tab w:val="left" w:pos="674"/>
        </w:tabs>
        <w:spacing w:after="240"/>
      </w:pPr>
      <w:r w:rsidRPr="00912F96">
        <w:rPr>
          <w:rtl/>
        </w:rPr>
        <w:t>אם היה המערער מגיש תביעתו בטרם התקבלה תשובת המדינה, בוודאי שהיה נטען נגדו כי לא מיצה את ההליכים וכי היה עליו להמתין ולראות מה משיבה המדינה לבא כוחו, והאם חל שינוי בעמדתה. לפיכך, אין מקום לקבל את הניסיון הפסול לקבוע כי כבר בחודש אוגוסט 2012 היה יכול המערער להגיש תביעתו.</w:t>
      </w:r>
    </w:p>
    <w:p w:rsidR="0025458D" w:rsidRPr="00574032" w:rsidRDefault="0025458D" w:rsidP="009E0900">
      <w:pPr>
        <w:pStyle w:val="a3"/>
        <w:tabs>
          <w:tab w:val="clear" w:pos="566"/>
          <w:tab w:val="left" w:pos="674"/>
        </w:tabs>
        <w:spacing w:after="240"/>
        <w:ind w:left="630"/>
      </w:pPr>
      <w:r w:rsidRPr="00592C88">
        <w:rPr>
          <w:rtl/>
        </w:rPr>
        <w:t xml:space="preserve">המערער יטען כי למצער יש לראות את המועד בו </w:t>
      </w:r>
      <w:r w:rsidRPr="009E0900">
        <w:rPr>
          <w:rFonts w:ascii="David" w:hAnsi="David"/>
          <w:rtl/>
        </w:rPr>
        <w:t xml:space="preserve">התקבלה תשובת משרד האוצר לפנייתו, </w:t>
      </w:r>
      <w:r w:rsidRPr="009E0900">
        <w:rPr>
          <w:rFonts w:ascii="David" w:hAnsi="David"/>
          <w:b/>
          <w:bCs/>
          <w:rtl/>
        </w:rPr>
        <w:t xml:space="preserve">ביום 24.10.2012, </w:t>
      </w:r>
      <w:r w:rsidRPr="009E0900">
        <w:rPr>
          <w:rFonts w:ascii="David" w:hAnsi="David"/>
          <w:rtl/>
        </w:rPr>
        <w:t>כמועד שבו החל מירוץ ההתיישנות לעניין הגשת התביעה, שהוגשה ביום 3.10.20 (סעיף 28 לפסק הדין) וגם במקרה כזה המערער לא איחר בהגשת התביעה</w:t>
      </w:r>
      <w:r w:rsidRPr="00592C88">
        <w:rPr>
          <w:rtl/>
        </w:rPr>
        <w:t>.</w:t>
      </w:r>
    </w:p>
    <w:p w:rsidR="00E51A43" w:rsidRPr="006A503E" w:rsidRDefault="00E51A43" w:rsidP="00815972">
      <w:pPr>
        <w:pStyle w:val="30"/>
        <w:rPr>
          <w:rtl/>
        </w:rPr>
      </w:pPr>
    </w:p>
    <w:p w:rsidR="00177B37" w:rsidRPr="0039100F" w:rsidRDefault="00177B37" w:rsidP="00CB659D">
      <w:pPr>
        <w:pStyle w:val="af0"/>
        <w:numPr>
          <w:ilvl w:val="1"/>
          <w:numId w:val="2"/>
        </w:numPr>
        <w:tabs>
          <w:tab w:val="left" w:pos="620"/>
        </w:tabs>
        <w:spacing w:line="360" w:lineRule="auto"/>
        <w:ind w:left="620" w:hanging="450"/>
        <w:jc w:val="both"/>
        <w:rPr>
          <w:rFonts w:cs="David"/>
          <w:b/>
          <w:bCs/>
          <w:u w:val="single"/>
        </w:rPr>
      </w:pPr>
      <w:r w:rsidRPr="00815972">
        <w:rPr>
          <w:rFonts w:cs="David" w:hint="eastAsia"/>
          <w:b/>
          <w:bCs/>
          <w:sz w:val="24"/>
          <w:szCs w:val="24"/>
          <w:u w:val="single"/>
          <w:rtl/>
        </w:rPr>
        <w:t>תביעה</w:t>
      </w:r>
      <w:r w:rsidRPr="00815972">
        <w:rPr>
          <w:rFonts w:cs="David"/>
          <w:b/>
          <w:bCs/>
          <w:sz w:val="24"/>
          <w:szCs w:val="24"/>
          <w:u w:val="single"/>
          <w:rtl/>
        </w:rPr>
        <w:t xml:space="preserve"> </w:t>
      </w:r>
      <w:r w:rsidRPr="00815972">
        <w:rPr>
          <w:rFonts w:cs="David" w:hint="eastAsia"/>
          <w:b/>
          <w:bCs/>
          <w:sz w:val="24"/>
          <w:szCs w:val="24"/>
          <w:u w:val="single"/>
          <w:rtl/>
        </w:rPr>
        <w:t>מתחדשת</w:t>
      </w:r>
      <w:r w:rsidRPr="00815972">
        <w:rPr>
          <w:rFonts w:cs="David"/>
          <w:b/>
          <w:bCs/>
          <w:sz w:val="24"/>
          <w:szCs w:val="24"/>
          <w:u w:val="single"/>
          <w:rtl/>
        </w:rPr>
        <w:t xml:space="preserve"> </w:t>
      </w:r>
      <w:r w:rsidR="00CB659D">
        <w:rPr>
          <w:rFonts w:cs="David" w:hint="cs"/>
          <w:b/>
          <w:bCs/>
          <w:sz w:val="24"/>
          <w:szCs w:val="24"/>
          <w:u w:val="single"/>
          <w:rtl/>
        </w:rPr>
        <w:t>ש</w:t>
      </w:r>
      <w:r w:rsidR="0039100F">
        <w:rPr>
          <w:rFonts w:cs="David" w:hint="cs"/>
          <w:b/>
          <w:bCs/>
          <w:sz w:val="24"/>
          <w:szCs w:val="24"/>
          <w:u w:val="single"/>
          <w:rtl/>
        </w:rPr>
        <w:t>לא התיישנה</w:t>
      </w:r>
    </w:p>
    <w:p w:rsidR="001F1DAC" w:rsidRPr="001F1DAC" w:rsidRDefault="001F1DAC" w:rsidP="00177B37">
      <w:pPr>
        <w:numPr>
          <w:ilvl w:val="0"/>
          <w:numId w:val="1"/>
        </w:numPr>
        <w:tabs>
          <w:tab w:val="clear" w:pos="630"/>
          <w:tab w:val="left" w:pos="620"/>
        </w:tabs>
        <w:spacing w:after="240" w:line="360" w:lineRule="auto"/>
        <w:ind w:left="620" w:hanging="540"/>
        <w:jc w:val="both"/>
        <w:rPr>
          <w:rFonts w:ascii="David" w:hAnsi="David" w:cs="David"/>
        </w:rPr>
      </w:pPr>
      <w:r>
        <w:rPr>
          <w:rFonts w:ascii="David" w:hAnsi="David" w:cs="David" w:hint="cs"/>
          <w:b/>
          <w:bCs/>
          <w:rtl/>
        </w:rPr>
        <w:t xml:space="preserve">תביעה מתחדשת </w:t>
      </w:r>
      <w:r>
        <w:rPr>
          <w:rFonts w:ascii="David" w:hAnsi="David" w:cs="David"/>
          <w:b/>
          <w:bCs/>
          <w:rtl/>
        </w:rPr>
        <w:t>–</w:t>
      </w:r>
      <w:r>
        <w:rPr>
          <w:rFonts w:ascii="David" w:hAnsi="David" w:cs="David" w:hint="cs"/>
          <w:b/>
          <w:bCs/>
          <w:rtl/>
        </w:rPr>
        <w:t xml:space="preserve"> </w:t>
      </w:r>
    </w:p>
    <w:p w:rsidR="00177B37" w:rsidRDefault="00177B37" w:rsidP="001F1DAC">
      <w:pPr>
        <w:spacing w:after="240" w:line="360" w:lineRule="auto"/>
        <w:ind w:left="620"/>
        <w:jc w:val="both"/>
        <w:rPr>
          <w:rStyle w:val="ac"/>
          <w:rFonts w:ascii="David" w:hAnsi="David" w:cs="David"/>
        </w:rPr>
      </w:pPr>
      <w:r w:rsidRPr="00815972">
        <w:rPr>
          <w:rFonts w:ascii="David" w:hAnsi="David" w:cs="David" w:hint="eastAsia"/>
          <w:rtl/>
        </w:rPr>
        <w:lastRenderedPageBreak/>
        <w:t>מבלי</w:t>
      </w:r>
      <w:r w:rsidRPr="00815972">
        <w:rPr>
          <w:rFonts w:ascii="David" w:hAnsi="David" w:cs="David"/>
          <w:rtl/>
        </w:rPr>
        <w:t xml:space="preserve"> לגרוע מהאמור לעיל, </w:t>
      </w:r>
      <w:r w:rsidR="0039100F">
        <w:rPr>
          <w:rFonts w:ascii="David" w:hAnsi="David" w:cs="David" w:hint="cs"/>
          <w:rtl/>
        </w:rPr>
        <w:t xml:space="preserve">ולמען הזהירות בלבד, </w:t>
      </w:r>
      <w:r w:rsidRPr="00815972">
        <w:rPr>
          <w:rFonts w:ascii="David" w:hAnsi="David" w:cs="David"/>
          <w:rtl/>
        </w:rPr>
        <w:t xml:space="preserve">המערער יוסיף ויטען כי התביעה שלפנינו היא תביעה לגמלה מתחדשות, ועיקר תביעתו היא לעניין הפרשי גמלה. לפיכך, עילת התביעה לתשלום גמלה מתחדשת מידי חודש בחודשו, ולא חלה עליה התיישנות (בג"צ 3514/07 </w:t>
      </w:r>
      <w:r w:rsidRPr="00815972">
        <w:rPr>
          <w:rFonts w:ascii="David" w:hAnsi="David" w:cs="David"/>
          <w:b/>
          <w:bCs/>
          <w:rtl/>
        </w:rPr>
        <w:t>מבטחים נ' פיורסט</w:t>
      </w:r>
      <w:r w:rsidRPr="00815972">
        <w:rPr>
          <w:rFonts w:ascii="David" w:hAnsi="David" w:cs="David"/>
          <w:rtl/>
        </w:rPr>
        <w:t xml:space="preserve"> , ניתן ביום 13.5.12 והאסמכתאות המפורטות שם; ראו גם </w:t>
      </w:r>
      <w:r w:rsidRPr="00177B37">
        <w:rPr>
          <w:rStyle w:val="ac"/>
          <w:rFonts w:ascii="David" w:hAnsi="David" w:cs="David"/>
          <w:rtl/>
        </w:rPr>
        <w:t xml:space="preserve">סעש (תל אביב) 38544-10/12  </w:t>
      </w:r>
      <w:r w:rsidRPr="00177B37">
        <w:rPr>
          <w:rStyle w:val="ac"/>
          <w:rFonts w:ascii="David" w:hAnsi="David" w:cs="David"/>
          <w:b/>
          <w:bCs/>
          <w:u w:val="single"/>
          <w:rtl/>
        </w:rPr>
        <w:t>ראובן בן דוד נ' מנהלת הגמלאות - משרד האוצר ואח'</w:t>
      </w:r>
      <w:r w:rsidRPr="006A503E">
        <w:rPr>
          <w:rStyle w:val="ac"/>
          <w:rFonts w:ascii="David" w:hAnsi="David" w:cs="David"/>
          <w:rtl/>
        </w:rPr>
        <w:t>).</w:t>
      </w:r>
    </w:p>
    <w:p w:rsidR="001F1DAC" w:rsidRPr="001F1DAC" w:rsidRDefault="001F1DAC" w:rsidP="001F1DAC">
      <w:pPr>
        <w:pStyle w:val="a3"/>
        <w:numPr>
          <w:ilvl w:val="0"/>
          <w:numId w:val="1"/>
        </w:numPr>
        <w:tabs>
          <w:tab w:val="clear" w:pos="566"/>
          <w:tab w:val="left" w:pos="674"/>
        </w:tabs>
        <w:spacing w:after="240"/>
      </w:pPr>
      <w:r w:rsidRPr="001F1DAC">
        <w:rPr>
          <w:b/>
          <w:bCs/>
          <w:rtl/>
        </w:rPr>
        <w:t xml:space="preserve">למצער – היה </w:t>
      </w:r>
      <w:r w:rsidRPr="001F1DAC">
        <w:rPr>
          <w:rFonts w:hint="cs"/>
          <w:b/>
          <w:bCs/>
          <w:rtl/>
        </w:rPr>
        <w:t>מקום</w:t>
      </w:r>
      <w:r w:rsidRPr="001F1DAC">
        <w:rPr>
          <w:b/>
          <w:bCs/>
          <w:rtl/>
        </w:rPr>
        <w:t xml:space="preserve"> לדחות את התביעה אך ורק לתקופה שקדמה לחודש אוקטובר 2012</w:t>
      </w:r>
      <w:r>
        <w:rPr>
          <w:rFonts w:hint="cs"/>
          <w:b/>
          <w:bCs/>
          <w:rtl/>
        </w:rPr>
        <w:t xml:space="preserve"> - </w:t>
      </w:r>
    </w:p>
    <w:p w:rsidR="001F1DAC" w:rsidRDefault="001F1DAC" w:rsidP="001F1DAC">
      <w:pPr>
        <w:pStyle w:val="a3"/>
        <w:numPr>
          <w:ilvl w:val="1"/>
          <w:numId w:val="1"/>
        </w:numPr>
        <w:tabs>
          <w:tab w:val="clear" w:pos="566"/>
          <w:tab w:val="clear" w:pos="792"/>
          <w:tab w:val="num" w:pos="1250"/>
        </w:tabs>
        <w:spacing w:after="240"/>
        <w:ind w:left="1250" w:hanging="540"/>
      </w:pPr>
      <w:r w:rsidRPr="00B81328">
        <w:rPr>
          <w:rtl/>
        </w:rPr>
        <w:t xml:space="preserve">המערער יוסיף ויטען כי למצער היה על בית הדין קמא לדחות את התביעה אך ורק ביחס לרכיבי התביעה שקודמים לחודש אוקטובר 2012. </w:t>
      </w:r>
      <w:r>
        <w:rPr>
          <w:rtl/>
        </w:rPr>
        <w:t>המערער יטען כי התביעה לתשלום השכר מכוח חוזה הבכירים היא מסוג התביעות בהן יש לראות את העילה כעילה המתחדשת מדי חודש בחודשו – במועד בו היה אמור להיות משולם למערער השכר.</w:t>
      </w:r>
    </w:p>
    <w:p w:rsidR="001F1DAC" w:rsidRPr="00B81328" w:rsidRDefault="001F1DAC" w:rsidP="001F1DAC">
      <w:pPr>
        <w:pStyle w:val="a3"/>
        <w:numPr>
          <w:ilvl w:val="1"/>
          <w:numId w:val="1"/>
        </w:numPr>
        <w:tabs>
          <w:tab w:val="clear" w:pos="566"/>
          <w:tab w:val="clear" w:pos="792"/>
          <w:tab w:val="num" w:pos="1250"/>
        </w:tabs>
        <w:spacing w:after="240"/>
        <w:ind w:left="1250" w:hanging="540"/>
        <w:rPr>
          <w:rStyle w:val="ac"/>
        </w:rPr>
      </w:pPr>
      <w:r w:rsidRPr="00B81328">
        <w:rPr>
          <w:rtl/>
        </w:rPr>
        <w:t xml:space="preserve">בעניין זה היה מקום להחיל את הכללים שנקבעו ביחס לתשלום גמלה, המתחדשת מדי חודש בחודש – כפי שנקבע בפסק הדין בתיק </w:t>
      </w:r>
      <w:r w:rsidRPr="001F1DAC">
        <w:rPr>
          <w:rFonts w:ascii="David" w:hAnsi="David"/>
          <w:rtl/>
        </w:rPr>
        <w:t xml:space="preserve">בג"צ 3514/07 </w:t>
      </w:r>
      <w:r w:rsidRPr="001F1DAC">
        <w:rPr>
          <w:rFonts w:ascii="David" w:hAnsi="David"/>
          <w:b/>
          <w:bCs/>
          <w:u w:val="single"/>
          <w:rtl/>
        </w:rPr>
        <w:t>מבטחים נ' פיורסט</w:t>
      </w:r>
      <w:r w:rsidRPr="001F1DAC">
        <w:rPr>
          <w:rFonts w:ascii="David" w:hAnsi="David"/>
          <w:rtl/>
        </w:rPr>
        <w:t xml:space="preserve"> , ניתן ביום 13.5.12 והאסמכתאות המפורטות שם; ראו גם </w:t>
      </w:r>
      <w:r w:rsidRPr="001F1DAC">
        <w:rPr>
          <w:rStyle w:val="ac"/>
          <w:rFonts w:ascii="David" w:hAnsi="David"/>
          <w:rtl/>
        </w:rPr>
        <w:t xml:space="preserve">סעש (תל אביב) 38544-10/12  </w:t>
      </w:r>
      <w:r w:rsidRPr="001F1DAC">
        <w:rPr>
          <w:rStyle w:val="ac"/>
          <w:rFonts w:ascii="David" w:hAnsi="David"/>
          <w:b/>
          <w:bCs/>
          <w:u w:val="single"/>
          <w:rtl/>
        </w:rPr>
        <w:t>ראובן בן דוד נ' מנהלת הגמלאות - משרד האוצר ואח').</w:t>
      </w:r>
    </w:p>
    <w:p w:rsidR="006A503E" w:rsidRPr="006A503E" w:rsidRDefault="006A503E" w:rsidP="00CB659D">
      <w:pPr>
        <w:pStyle w:val="af0"/>
        <w:tabs>
          <w:tab w:val="left" w:pos="620"/>
        </w:tabs>
        <w:spacing w:line="360" w:lineRule="auto"/>
        <w:ind w:left="620"/>
        <w:jc w:val="both"/>
        <w:rPr>
          <w:rFonts w:cs="David"/>
          <w:b/>
          <w:bCs/>
          <w:sz w:val="24"/>
          <w:szCs w:val="24"/>
          <w:u w:val="single"/>
        </w:rPr>
      </w:pPr>
    </w:p>
    <w:p w:rsidR="00FC712D" w:rsidRPr="007C00B3" w:rsidRDefault="001F1DAC" w:rsidP="00FC712D">
      <w:pPr>
        <w:pStyle w:val="af0"/>
        <w:numPr>
          <w:ilvl w:val="1"/>
          <w:numId w:val="2"/>
        </w:numPr>
        <w:tabs>
          <w:tab w:val="left" w:pos="620"/>
        </w:tabs>
        <w:spacing w:line="360" w:lineRule="auto"/>
        <w:ind w:left="620" w:hanging="450"/>
        <w:jc w:val="both"/>
        <w:rPr>
          <w:rFonts w:cs="David"/>
          <w:b/>
          <w:bCs/>
          <w:sz w:val="24"/>
          <w:szCs w:val="24"/>
          <w:u w:val="single"/>
        </w:rPr>
      </w:pPr>
      <w:r>
        <w:rPr>
          <w:rFonts w:cs="David" w:hint="cs"/>
          <w:b/>
          <w:bCs/>
          <w:sz w:val="24"/>
          <w:szCs w:val="24"/>
          <w:u w:val="single"/>
          <w:rtl/>
        </w:rPr>
        <w:t>סיכויי התביעה (נוכח הוראות חוזה הבכירים בדבר הפסקת חוזה העבודה)</w:t>
      </w:r>
    </w:p>
    <w:p w:rsidR="00FC712D" w:rsidRDefault="00FC712D" w:rsidP="00FC712D">
      <w:pPr>
        <w:numPr>
          <w:ilvl w:val="0"/>
          <w:numId w:val="1"/>
        </w:numPr>
        <w:tabs>
          <w:tab w:val="clear" w:pos="630"/>
          <w:tab w:val="left" w:pos="620"/>
        </w:tabs>
        <w:spacing w:after="240" w:line="360" w:lineRule="auto"/>
        <w:ind w:left="620" w:hanging="540"/>
        <w:jc w:val="both"/>
        <w:rPr>
          <w:rFonts w:cs="David"/>
        </w:rPr>
      </w:pPr>
      <w:r>
        <w:rPr>
          <w:rFonts w:cs="David" w:hint="cs"/>
          <w:rtl/>
        </w:rPr>
        <w:t xml:space="preserve">בסעיף 31 לפסק הדין קובע בית הדין קמא כי לא התרשם שסיכויי התביעה גבוהים, מאחר שממילא יש למדינה את זכות לסיימו בכל עת לפני תום תקופתו. מסקנה זאת אינה עולה בקנה אחד עם העובדות ועם הוראות החוזה, כפי שנסביר. </w:t>
      </w:r>
    </w:p>
    <w:p w:rsidR="00311534" w:rsidRDefault="00FC712D" w:rsidP="00311534">
      <w:pPr>
        <w:numPr>
          <w:ilvl w:val="0"/>
          <w:numId w:val="1"/>
        </w:numPr>
        <w:tabs>
          <w:tab w:val="clear" w:pos="630"/>
          <w:tab w:val="left" w:pos="620"/>
        </w:tabs>
        <w:spacing w:after="240" w:line="360" w:lineRule="auto"/>
        <w:ind w:left="620" w:hanging="540"/>
        <w:jc w:val="both"/>
        <w:rPr>
          <w:rFonts w:cs="David"/>
        </w:rPr>
      </w:pPr>
      <w:r w:rsidRPr="00CD38F6">
        <w:rPr>
          <w:rFonts w:cs="David" w:hint="cs"/>
          <w:rtl/>
        </w:rPr>
        <w:t>סעיף 4.ב. לחוזה הבכירים אכן קובע כי המדינה רשאית להפסיק את העסקתו של המערער בהודעה של שלושה חודשים מראש.</w:t>
      </w:r>
      <w:r>
        <w:rPr>
          <w:rFonts w:cs="David" w:hint="cs"/>
          <w:rtl/>
        </w:rPr>
        <w:t xml:space="preserve"> אולם, </w:t>
      </w:r>
      <w:r w:rsidR="00311534">
        <w:rPr>
          <w:rFonts w:cs="David" w:hint="cs"/>
          <w:rtl/>
        </w:rPr>
        <w:t>ה</w:t>
      </w:r>
      <w:r>
        <w:rPr>
          <w:rFonts w:cs="David" w:hint="cs"/>
          <w:rtl/>
        </w:rPr>
        <w:t xml:space="preserve">סעיף </w:t>
      </w:r>
      <w:r w:rsidR="00311534">
        <w:rPr>
          <w:rFonts w:cs="David" w:hint="cs"/>
          <w:rtl/>
        </w:rPr>
        <w:t>האמור</w:t>
      </w:r>
      <w:r>
        <w:rPr>
          <w:rFonts w:cs="David" w:hint="cs"/>
          <w:rtl/>
        </w:rPr>
        <w:t xml:space="preserve"> </w:t>
      </w:r>
      <w:r w:rsidRPr="00311534">
        <w:rPr>
          <w:rFonts w:cs="David" w:hint="cs"/>
          <w:b/>
          <w:bCs/>
          <w:rtl/>
        </w:rPr>
        <w:t>קובע מפורשות פרוצדורה ברורה להפסקת עבודתו של המערער במהלך תקופת החוזה</w:t>
      </w:r>
      <w:r w:rsidR="00311534">
        <w:rPr>
          <w:rFonts w:cs="David" w:hint="cs"/>
          <w:b/>
          <w:bCs/>
          <w:rtl/>
        </w:rPr>
        <w:t xml:space="preserve"> -</w:t>
      </w:r>
      <w:r w:rsidR="00311534">
        <w:rPr>
          <w:rFonts w:cs="David"/>
          <w:rtl/>
        </w:rPr>
        <w:t xml:space="preserve"> כאשר נדרשת פנייה מנומקת של מנכ"ל המשרד לנציב שירות המדינה ואישור הנציב וועדת השירות. </w:t>
      </w:r>
      <w:r w:rsidR="00311534" w:rsidRPr="00311534">
        <w:rPr>
          <w:rFonts w:cs="David"/>
          <w:b/>
          <w:bCs/>
          <w:rtl/>
        </w:rPr>
        <w:t>אין חולק כי לא נעשתה פנייה כאמור ולא התקבלה החלטה של וועדת השירות.</w:t>
      </w:r>
    </w:p>
    <w:p w:rsidR="00311534" w:rsidRDefault="00311534" w:rsidP="00311534">
      <w:pPr>
        <w:numPr>
          <w:ilvl w:val="0"/>
          <w:numId w:val="1"/>
        </w:numPr>
        <w:tabs>
          <w:tab w:val="clear" w:pos="630"/>
          <w:tab w:val="left" w:pos="620"/>
        </w:tabs>
        <w:spacing w:after="240" w:line="360" w:lineRule="auto"/>
        <w:ind w:left="620" w:hanging="540"/>
        <w:jc w:val="both"/>
        <w:rPr>
          <w:rFonts w:cs="David"/>
        </w:rPr>
      </w:pPr>
      <w:r>
        <w:rPr>
          <w:rFonts w:cs="David"/>
          <w:rtl/>
        </w:rPr>
        <w:t xml:space="preserve">בנסיבות אלה, כאשר לא בוצע ההליך המתאים להפסקת תוקפו של החוזה לפני תום התקופה, </w:t>
      </w:r>
      <w:r>
        <w:rPr>
          <w:rFonts w:cs="David" w:hint="cs"/>
          <w:rtl/>
        </w:rPr>
        <w:t>לא קמה למדינה הזכות להפסיק את החוזה במהלך תקופת החוזה. על כן שגה בית הדין קמא כאשר קבע ש</w:t>
      </w:r>
      <w:r>
        <w:rPr>
          <w:rFonts w:cs="David"/>
          <w:rtl/>
        </w:rPr>
        <w:t>סיכויי התביעה אינם גבוהים. נהפוך הוא.</w:t>
      </w:r>
    </w:p>
    <w:p w:rsidR="00311534" w:rsidRPr="005C0D90" w:rsidRDefault="00311534" w:rsidP="00311534">
      <w:pPr>
        <w:tabs>
          <w:tab w:val="left" w:pos="620"/>
        </w:tabs>
        <w:spacing w:after="240" w:line="360" w:lineRule="auto"/>
        <w:ind w:left="620"/>
        <w:jc w:val="both"/>
        <w:rPr>
          <w:rFonts w:cs="David"/>
        </w:rPr>
      </w:pPr>
    </w:p>
    <w:p w:rsidR="00311534" w:rsidRPr="00311534" w:rsidRDefault="00311534" w:rsidP="00311534">
      <w:pPr>
        <w:pStyle w:val="2"/>
        <w:numPr>
          <w:ilvl w:val="0"/>
          <w:numId w:val="2"/>
        </w:numPr>
        <w:tabs>
          <w:tab w:val="clear" w:pos="566"/>
          <w:tab w:val="left" w:pos="656"/>
        </w:tabs>
        <w:spacing w:after="120"/>
        <w:ind w:left="656" w:hanging="486"/>
        <w:rPr>
          <w:sz w:val="28"/>
          <w:lang w:eastAsia="en-US"/>
        </w:rPr>
      </w:pPr>
      <w:r w:rsidRPr="00311534">
        <w:rPr>
          <w:sz w:val="28"/>
          <w:rtl/>
          <w:lang w:eastAsia="en-US"/>
        </w:rPr>
        <w:t>טעה בית הדין הנכבד קמא כאשר מחק את התביעה בגין עגמת נפש ונזק לא ממוני</w:t>
      </w:r>
    </w:p>
    <w:p w:rsidR="00311534" w:rsidRPr="00311534" w:rsidRDefault="00311534" w:rsidP="00AB6789">
      <w:pPr>
        <w:numPr>
          <w:ilvl w:val="0"/>
          <w:numId w:val="1"/>
        </w:numPr>
        <w:tabs>
          <w:tab w:val="clear" w:pos="630"/>
          <w:tab w:val="left" w:pos="620"/>
        </w:tabs>
        <w:spacing w:after="240" w:line="360" w:lineRule="auto"/>
        <w:ind w:left="620" w:hanging="540"/>
        <w:jc w:val="both"/>
        <w:rPr>
          <w:rFonts w:cs="David"/>
        </w:rPr>
      </w:pPr>
      <w:r w:rsidRPr="00311534">
        <w:rPr>
          <w:rFonts w:cs="David"/>
          <w:rtl/>
        </w:rPr>
        <w:t>בסעיף 50 לפסק הדין קובע בית הדין קמא כי בקשת המשיבות לא כללה התייחסות לתביעת המערער לפיצוי כספי בגין התנהלות המשיבות (שם). עוד מוסיף וקובע בית הדין קמא כי "</w:t>
      </w:r>
      <w:r w:rsidRPr="00311534">
        <w:rPr>
          <w:rFonts w:cs="David"/>
          <w:b/>
          <w:bCs/>
          <w:i/>
          <w:iCs/>
          <w:rtl/>
        </w:rPr>
        <w:t xml:space="preserve">רכיב תביעה זה בעינו </w:t>
      </w:r>
      <w:r w:rsidRPr="00311534">
        <w:rPr>
          <w:rFonts w:cs="David"/>
          <w:b/>
          <w:bCs/>
          <w:i/>
          <w:iCs/>
          <w:rtl/>
        </w:rPr>
        <w:lastRenderedPageBreak/>
        <w:t>עומד</w:t>
      </w:r>
      <w:r w:rsidRPr="00311534">
        <w:rPr>
          <w:rFonts w:cs="David"/>
          <w:rtl/>
        </w:rPr>
        <w:t>".</w:t>
      </w:r>
      <w:r w:rsidRPr="00311534">
        <w:rPr>
          <w:rFonts w:cs="David" w:hint="cs"/>
          <w:rtl/>
        </w:rPr>
        <w:t xml:space="preserve"> </w:t>
      </w:r>
      <w:r w:rsidRPr="00311534">
        <w:rPr>
          <w:rFonts w:cs="David"/>
          <w:rtl/>
        </w:rPr>
        <w:t xml:space="preserve">למרות האמור לעיל, </w:t>
      </w:r>
      <w:r w:rsidRPr="00311534">
        <w:rPr>
          <w:rFonts w:cs="David"/>
          <w:b/>
          <w:bCs/>
          <w:rtl/>
        </w:rPr>
        <w:t>ואף שבית הדין קמא קובע כי לא היתה בקשה בעניין זה, הוא מחק את תביעת המערער בנימוקים שגויים, המתעלמים לחלוטין מכתב התביעה</w:t>
      </w:r>
      <w:r w:rsidRPr="00311534">
        <w:rPr>
          <w:rFonts w:cs="David"/>
          <w:rtl/>
        </w:rPr>
        <w:t>, כפי שנפרט להלן:</w:t>
      </w:r>
    </w:p>
    <w:p w:rsidR="00311534" w:rsidRPr="00546D81" w:rsidRDefault="00311534" w:rsidP="00546D81">
      <w:pPr>
        <w:numPr>
          <w:ilvl w:val="1"/>
          <w:numId w:val="1"/>
        </w:numPr>
        <w:tabs>
          <w:tab w:val="clear" w:pos="792"/>
          <w:tab w:val="left" w:pos="1250"/>
        </w:tabs>
        <w:spacing w:after="240" w:line="360" w:lineRule="auto"/>
        <w:ind w:left="1250" w:hanging="630"/>
        <w:jc w:val="both"/>
        <w:rPr>
          <w:rFonts w:cs="David"/>
          <w:rtl/>
        </w:rPr>
      </w:pPr>
      <w:r w:rsidRPr="00311534">
        <w:rPr>
          <w:rFonts w:cs="David"/>
          <w:rtl/>
        </w:rPr>
        <w:t>"</w:t>
      </w:r>
      <w:r w:rsidRPr="00311534">
        <w:rPr>
          <w:rFonts w:asciiTheme="majorBidi" w:hAnsiTheme="majorBidi" w:cstheme="majorBidi"/>
          <w:b/>
          <w:bCs/>
          <w:rtl/>
        </w:rPr>
        <w:t>לא פירט בתביעתו את הרקע העובדתי הרלוונטי לפיצוי הכספי המבוקש</w:t>
      </w:r>
      <w:r w:rsidRPr="00311534">
        <w:rPr>
          <w:rFonts w:cs="David"/>
          <w:rtl/>
        </w:rPr>
        <w:t xml:space="preserve">" – </w:t>
      </w:r>
      <w:r w:rsidRPr="00546D81">
        <w:rPr>
          <w:rFonts w:cs="David"/>
          <w:rtl/>
        </w:rPr>
        <w:t>בכל הכבוד, בית הדין קמא התעלם לחלוטין מהדברים המפורשים שנכתבו בכתב התביעה בעניין זה: הן בפרק ב.8. לכתב התביעה והן בפרק ה' לכתב התביעה.</w:t>
      </w:r>
      <w:r w:rsidRPr="00546D81">
        <w:rPr>
          <w:rFonts w:cs="David" w:hint="cs"/>
          <w:rtl/>
        </w:rPr>
        <w:t xml:space="preserve"> </w:t>
      </w:r>
    </w:p>
    <w:p w:rsidR="00546D81" w:rsidRDefault="00311534" w:rsidP="00546D81">
      <w:pPr>
        <w:tabs>
          <w:tab w:val="left" w:pos="1250"/>
        </w:tabs>
        <w:spacing w:after="240" w:line="360" w:lineRule="auto"/>
        <w:ind w:left="1250"/>
        <w:jc w:val="both"/>
        <w:rPr>
          <w:rFonts w:cs="David"/>
          <w:rtl/>
        </w:rPr>
      </w:pPr>
      <w:r>
        <w:rPr>
          <w:rFonts w:cs="David" w:hint="cs"/>
          <w:rtl/>
        </w:rPr>
        <w:t xml:space="preserve">על מנת לא לחזור על הדברים נציין, לעת הזאת, כי </w:t>
      </w:r>
      <w:r>
        <w:rPr>
          <w:rFonts w:cs="David"/>
          <w:rtl/>
        </w:rPr>
        <w:t>פרק ה' לכתב התביעה (</w:t>
      </w:r>
      <w:r w:rsidRPr="00311534">
        <w:rPr>
          <w:rFonts w:cs="David"/>
          <w:rtl/>
        </w:rPr>
        <w:t>סעיפים 79 – 82 בעמודים 24 – 26 לכתב התביעה</w:t>
      </w:r>
      <w:r>
        <w:rPr>
          <w:rFonts w:cs="David"/>
          <w:rtl/>
        </w:rPr>
        <w:t xml:space="preserve">) עוסק כולו בתביעה לפיצויים בגין עגמת נפש ובגין התנהלות שלא כדין. פרק ה' האמור מפרט באופן מלא, ואולי אף מעבר לנדרש במסגרת של כתב תביעה, את הסיבות לתביעה כאמור – החל מפיטוריו בניגוד לדין, ההתנהלות הקלוקלת בעניינו ועגמת הנפש שגרמו לו המשיבות. </w:t>
      </w:r>
    </w:p>
    <w:p w:rsidR="00311534" w:rsidRDefault="00311534" w:rsidP="00546D81">
      <w:pPr>
        <w:tabs>
          <w:tab w:val="left" w:pos="1250"/>
        </w:tabs>
        <w:spacing w:after="240" w:line="360" w:lineRule="auto"/>
        <w:ind w:left="1250"/>
        <w:jc w:val="both"/>
        <w:rPr>
          <w:rFonts w:cs="David"/>
        </w:rPr>
      </w:pPr>
      <w:r>
        <w:rPr>
          <w:rFonts w:cs="David"/>
          <w:rtl/>
        </w:rPr>
        <w:t>קביעת בית הדין קמא כי המערער לא פירט את הרקע העובדתי הרלבנטי שגויה, אם כן, מיסודה, ובכל הכבוד – מתעלמת מהדברים המפורשים שנכתבו בכתב התביעה.</w:t>
      </w:r>
    </w:p>
    <w:p w:rsidR="00311534" w:rsidRPr="00546D81" w:rsidRDefault="00311534" w:rsidP="00546D81">
      <w:pPr>
        <w:numPr>
          <w:ilvl w:val="1"/>
          <w:numId w:val="1"/>
        </w:numPr>
        <w:tabs>
          <w:tab w:val="clear" w:pos="792"/>
          <w:tab w:val="left" w:pos="1250"/>
        </w:tabs>
        <w:spacing w:after="240" w:line="360" w:lineRule="auto"/>
        <w:ind w:left="1250" w:hanging="630"/>
        <w:jc w:val="both"/>
        <w:rPr>
          <w:rFonts w:cs="David"/>
        </w:rPr>
      </w:pPr>
      <w:r w:rsidRPr="00311534">
        <w:rPr>
          <w:rFonts w:cs="David"/>
          <w:rtl/>
        </w:rPr>
        <w:t>"</w:t>
      </w:r>
      <w:r w:rsidRPr="00546D81">
        <w:rPr>
          <w:rFonts w:asciiTheme="majorBidi" w:hAnsiTheme="majorBidi" w:cstheme="majorBidi"/>
          <w:b/>
          <w:bCs/>
          <w:rtl/>
        </w:rPr>
        <w:t>לא הציג את כלל האסמכתאות הנוגעות לעניין</w:t>
      </w:r>
      <w:r w:rsidRPr="00311534">
        <w:rPr>
          <w:rFonts w:cs="David"/>
          <w:rtl/>
        </w:rPr>
        <w:t xml:space="preserve">" – </w:t>
      </w:r>
      <w:r w:rsidRPr="00546D81">
        <w:rPr>
          <w:rFonts w:cs="David"/>
          <w:rtl/>
        </w:rPr>
        <w:t>נזכיר כי בית הדין קמא מחק את התביעה בטרם הוגש כתב ההגנה, ובוודאי שלא היה מקום להצגת כלל האסמכתאות באותו שלב.</w:t>
      </w:r>
      <w:r w:rsidR="00546D81">
        <w:rPr>
          <w:rFonts w:cs="David" w:hint="cs"/>
          <w:rtl/>
        </w:rPr>
        <w:t xml:space="preserve"> </w:t>
      </w:r>
      <w:r w:rsidRPr="00546D81">
        <w:rPr>
          <w:rFonts w:cs="David"/>
          <w:rtl/>
        </w:rPr>
        <w:t>כפי שכתבנו לעיל, וכפי שנכתב במפורש בכתב התביעה, בידי המערער מאות מסמכים והתכתבויות בנושא, וצירופם בשלב של הגשת התביעה מיותר, מנוגד לתקנות והיה יוצר סרבול ובלבול בלתי נסבלים.</w:t>
      </w:r>
    </w:p>
    <w:p w:rsidR="00311534" w:rsidRDefault="00311534" w:rsidP="00546D81">
      <w:pPr>
        <w:tabs>
          <w:tab w:val="left" w:pos="620"/>
          <w:tab w:val="left" w:pos="1250"/>
        </w:tabs>
        <w:spacing w:after="240" w:line="360" w:lineRule="auto"/>
        <w:ind w:left="1250"/>
        <w:jc w:val="both"/>
        <w:rPr>
          <w:rFonts w:cs="David"/>
        </w:rPr>
      </w:pPr>
      <w:r>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311534" w:rsidRPr="000424B8" w:rsidRDefault="00311534" w:rsidP="000424B8">
      <w:pPr>
        <w:numPr>
          <w:ilvl w:val="1"/>
          <w:numId w:val="1"/>
        </w:numPr>
        <w:tabs>
          <w:tab w:val="clear" w:pos="792"/>
          <w:tab w:val="left" w:pos="1250"/>
        </w:tabs>
        <w:spacing w:after="240" w:line="360" w:lineRule="auto"/>
        <w:ind w:left="1250" w:hanging="630"/>
        <w:jc w:val="both"/>
        <w:rPr>
          <w:rFonts w:cs="David"/>
        </w:rPr>
      </w:pPr>
      <w:r w:rsidRPr="00311534">
        <w:rPr>
          <w:rFonts w:cs="David"/>
          <w:rtl/>
        </w:rPr>
        <w:t>"</w:t>
      </w:r>
      <w:r w:rsidRPr="00546D81">
        <w:rPr>
          <w:rFonts w:asciiTheme="majorBidi" w:hAnsiTheme="majorBidi" w:cstheme="majorBidi"/>
          <w:b/>
          <w:bCs/>
          <w:rtl/>
        </w:rPr>
        <w:t>לא כימת את תביעתו ביחס לרכיב תביעה זה לבדו</w:t>
      </w:r>
      <w:r w:rsidRPr="00311534">
        <w:rPr>
          <w:rFonts w:cs="David"/>
          <w:rtl/>
        </w:rPr>
        <w:t xml:space="preserve">" – </w:t>
      </w:r>
      <w:r w:rsidRPr="000424B8">
        <w:rPr>
          <w:rFonts w:cs="David"/>
          <w:rtl/>
        </w:rPr>
        <w:t>בכל הכבוד, גם בעניין זה התעלם בית הדין קמא ממה שנכתב בכתב התביעה. ראו סעיף 82 לכתב התביעה המכמת במפורש ובנפרד רכיב זה בסך 300,000 ₪, בסוף פרק ה' העוסק בפיצוי הכספי האמור. ראו גם סעיף 83 לכתב התביעה, המסכם את הסעדים הכספיים, ולסעיף 83.3 לכתב התביעה שם מכומת הפיצוי המבוקש בנפרד.</w:t>
      </w:r>
    </w:p>
    <w:p w:rsidR="00311534" w:rsidRPr="00311534" w:rsidRDefault="00311534" w:rsidP="00311534">
      <w:pPr>
        <w:numPr>
          <w:ilvl w:val="0"/>
          <w:numId w:val="1"/>
        </w:numPr>
        <w:tabs>
          <w:tab w:val="clear" w:pos="630"/>
          <w:tab w:val="left" w:pos="620"/>
        </w:tabs>
        <w:spacing w:after="240" w:line="360" w:lineRule="auto"/>
        <w:ind w:left="620" w:hanging="540"/>
        <w:jc w:val="both"/>
        <w:rPr>
          <w:rFonts w:cs="David"/>
        </w:rPr>
      </w:pPr>
      <w:r w:rsidRPr="00311534">
        <w:rPr>
          <w:rFonts w:cs="David"/>
          <w:rtl/>
        </w:rPr>
        <w:t>לפיכך, כל הנימוקים של בית הדין קמא למחיקת תביעתו של המערער ברכיב זה שגוים, מתעלמים מהעובדות, ובכל הכבוד – אינם יכולים לעמוד.</w:t>
      </w:r>
    </w:p>
    <w:p w:rsidR="00311534" w:rsidRPr="000424B8" w:rsidRDefault="00311534" w:rsidP="00EA1C2A">
      <w:pPr>
        <w:numPr>
          <w:ilvl w:val="0"/>
          <w:numId w:val="1"/>
        </w:numPr>
        <w:tabs>
          <w:tab w:val="clear" w:pos="630"/>
          <w:tab w:val="left" w:pos="620"/>
        </w:tabs>
        <w:spacing w:after="240" w:line="360" w:lineRule="auto"/>
        <w:ind w:left="620" w:hanging="540"/>
        <w:jc w:val="both"/>
        <w:rPr>
          <w:rFonts w:cs="David"/>
        </w:rPr>
      </w:pPr>
      <w:r w:rsidRPr="000424B8">
        <w:rPr>
          <w:rFonts w:cs="David"/>
          <w:rtl/>
        </w:rPr>
        <w:t>מבלי לגרוע מכך, יוסיף המערער ויבהיר כדלקמן – מחיקת רכיב תביעה זה נעשתה ביום 31.5.2020, כשבעה חודשים לאחר הגשת התביעה. אם יגיש המערער תביעה חדשה עלול להיגרם לו נזק של ממש, בשל טענות התיישנות שעלולות המשיבות להעלות בעניין חלוף המועד ביחס לחלק מרכיבי התביעה (מבלי שישתמע כי המערער מסכים לנכונות טענות כאמור, ככל שיועלו).</w:t>
      </w:r>
    </w:p>
    <w:p w:rsidR="007172BD" w:rsidRDefault="003B18C5" w:rsidP="000424B8">
      <w:pPr>
        <w:pStyle w:val="2"/>
        <w:numPr>
          <w:ilvl w:val="0"/>
          <w:numId w:val="2"/>
        </w:numPr>
        <w:tabs>
          <w:tab w:val="clear" w:pos="566"/>
          <w:tab w:val="left" w:pos="656"/>
        </w:tabs>
        <w:spacing w:after="120"/>
        <w:ind w:left="656" w:hanging="486"/>
        <w:rPr>
          <w:sz w:val="28"/>
          <w:lang w:eastAsia="en-US"/>
        </w:rPr>
      </w:pPr>
      <w:r>
        <w:rPr>
          <w:rFonts w:hint="cs"/>
          <w:sz w:val="28"/>
          <w:rtl/>
          <w:lang w:eastAsia="en-US"/>
        </w:rPr>
        <w:lastRenderedPageBreak/>
        <w:t xml:space="preserve">הערה על </w:t>
      </w:r>
      <w:r w:rsidR="000424B8">
        <w:rPr>
          <w:rFonts w:hint="cs"/>
          <w:sz w:val="28"/>
          <w:rtl/>
          <w:lang w:eastAsia="en-US"/>
        </w:rPr>
        <w:t>מאמציו של המערער להימנע מתביעה וחובת ההגינות החלה על המדינה</w:t>
      </w:r>
    </w:p>
    <w:p w:rsidR="00692ECA" w:rsidRPr="00692ECA" w:rsidRDefault="00692ECA" w:rsidP="00057EF8">
      <w:pPr>
        <w:numPr>
          <w:ilvl w:val="0"/>
          <w:numId w:val="1"/>
        </w:numPr>
        <w:tabs>
          <w:tab w:val="left" w:pos="566"/>
        </w:tabs>
        <w:spacing w:after="240" w:line="360" w:lineRule="auto"/>
        <w:ind w:left="566" w:hanging="540"/>
        <w:jc w:val="both"/>
        <w:rPr>
          <w:rFonts w:cs="David"/>
        </w:rPr>
      </w:pPr>
      <w:r w:rsidRPr="00692ECA">
        <w:rPr>
          <w:rFonts w:cs="David" w:hint="cs"/>
          <w:rtl/>
        </w:rPr>
        <w:t>עמדנו על כך שה</w:t>
      </w:r>
      <w:r w:rsidR="00FA099A">
        <w:rPr>
          <w:rFonts w:cs="David" w:hint="cs"/>
          <w:rtl/>
        </w:rPr>
        <w:t>מערער</w:t>
      </w:r>
      <w:r w:rsidRPr="00692ECA">
        <w:rPr>
          <w:rFonts w:cs="David" w:hint="cs"/>
          <w:rtl/>
        </w:rPr>
        <w:t xml:space="preserve"> הופרש משירות המדינה רק בחודש דצמבר 2012 (ועל כן לא חלה התיישנות על תביעתו). פרק ב.8</w:t>
      </w:r>
      <w:r w:rsidR="00B26FEE">
        <w:rPr>
          <w:rFonts w:cs="David" w:hint="cs"/>
          <w:rtl/>
        </w:rPr>
        <w:t>.</w:t>
      </w:r>
      <w:r w:rsidRPr="00692ECA">
        <w:rPr>
          <w:rFonts w:cs="David" w:hint="cs"/>
          <w:rtl/>
        </w:rPr>
        <w:t xml:space="preserve"> לכתב התביעה, הנושא את הכותרת "</w:t>
      </w:r>
      <w:r w:rsidRPr="00692ECA">
        <w:rPr>
          <w:rFonts w:cs="David" w:hint="cs"/>
          <w:b/>
          <w:bCs/>
          <w:i/>
          <w:iCs/>
          <w:rtl/>
        </w:rPr>
        <w:t>הסחבת הבלתי נסבלת בטיפול בפניותיו של התובע</w:t>
      </w:r>
      <w:r>
        <w:rPr>
          <w:rFonts w:cs="David" w:hint="cs"/>
          <w:rtl/>
        </w:rPr>
        <w:t>"</w:t>
      </w:r>
      <w:r w:rsidR="00367D2B">
        <w:rPr>
          <w:rFonts w:cs="David" w:hint="cs"/>
          <w:rtl/>
        </w:rPr>
        <w:t>, מתאר את המשך ההתרחשות לאחר שה</w:t>
      </w:r>
      <w:r w:rsidR="00FA099A">
        <w:rPr>
          <w:rFonts w:cs="David" w:hint="cs"/>
          <w:rtl/>
        </w:rPr>
        <w:t>מערער</w:t>
      </w:r>
      <w:r w:rsidR="00367D2B">
        <w:rPr>
          <w:rFonts w:cs="David" w:hint="cs"/>
          <w:rtl/>
        </w:rPr>
        <w:t xml:space="preserve"> קיבל את הגמלה הראשונה.</w:t>
      </w:r>
    </w:p>
    <w:p w:rsidR="00367D2B" w:rsidRPr="00CB659D" w:rsidRDefault="00367D2B" w:rsidP="00CB659D">
      <w:pPr>
        <w:numPr>
          <w:ilvl w:val="0"/>
          <w:numId w:val="1"/>
        </w:numPr>
        <w:tabs>
          <w:tab w:val="left" w:pos="566"/>
        </w:tabs>
        <w:spacing w:after="240" w:line="360" w:lineRule="auto"/>
        <w:ind w:left="566" w:hanging="540"/>
        <w:jc w:val="both"/>
        <w:rPr>
          <w:rFonts w:cs="David"/>
        </w:rPr>
      </w:pPr>
      <w:r w:rsidRPr="00CB659D">
        <w:rPr>
          <w:rFonts w:ascii="David" w:hAnsi="David" w:cs="David"/>
          <w:rtl/>
        </w:rPr>
        <w:t>בסעיף 44 לכתב התביעה הפותח את פרק ב.8</w:t>
      </w:r>
      <w:r w:rsidR="00B26FEE" w:rsidRPr="00CB659D">
        <w:rPr>
          <w:rFonts w:ascii="David" w:hAnsi="David" w:cs="David" w:hint="cs"/>
          <w:rtl/>
        </w:rPr>
        <w:t>. לכתב התביעה</w:t>
      </w:r>
      <w:r w:rsidRPr="00CB659D">
        <w:rPr>
          <w:rFonts w:ascii="David" w:hAnsi="David" w:cs="David"/>
          <w:rtl/>
        </w:rPr>
        <w:t>, מבהיר ה</w:t>
      </w:r>
      <w:r w:rsidR="00FA099A" w:rsidRPr="00CB659D">
        <w:rPr>
          <w:rFonts w:ascii="David" w:hAnsi="David" w:cs="David"/>
          <w:rtl/>
        </w:rPr>
        <w:t>מערער</w:t>
      </w:r>
      <w:r w:rsidRPr="00CB659D">
        <w:rPr>
          <w:rFonts w:ascii="David" w:hAnsi="David" w:cs="David"/>
          <w:rtl/>
        </w:rPr>
        <w:t xml:space="preserve"> כי פעל בכל דרך שהיא על מנת להגיע לפתרון</w:t>
      </w:r>
      <w:r w:rsidR="00CB659D">
        <w:rPr>
          <w:rFonts w:ascii="David" w:hAnsi="David" w:cs="David" w:hint="cs"/>
          <w:rtl/>
        </w:rPr>
        <w:t xml:space="preserve"> באמצעות פניות לכל הגורמים הרלבנטיים</w:t>
      </w:r>
      <w:r w:rsidR="00CB659D" w:rsidRPr="00CB659D">
        <w:rPr>
          <w:rFonts w:ascii="David" w:hAnsi="David" w:cs="David" w:hint="cs"/>
          <w:rtl/>
        </w:rPr>
        <w:t xml:space="preserve">. </w:t>
      </w:r>
      <w:r w:rsidRPr="00CB659D">
        <w:rPr>
          <w:rFonts w:cs="David" w:hint="cs"/>
          <w:rtl/>
        </w:rPr>
        <w:t>סעיף 45 סיפא לכתב התביעה מבהיר ה</w:t>
      </w:r>
      <w:r w:rsidR="00FA099A" w:rsidRPr="00CB659D">
        <w:rPr>
          <w:rFonts w:cs="David" w:hint="cs"/>
          <w:rtl/>
        </w:rPr>
        <w:t>מערער</w:t>
      </w:r>
      <w:r w:rsidRPr="00CB659D">
        <w:rPr>
          <w:rFonts w:cs="David" w:hint="cs"/>
          <w:rtl/>
        </w:rPr>
        <w:t xml:space="preserve"> כי </w:t>
      </w:r>
      <w:r w:rsidRPr="00CB659D">
        <w:rPr>
          <w:rFonts w:cs="David"/>
          <w:rtl/>
        </w:rPr>
        <w:t>–</w:t>
      </w:r>
      <w:r w:rsidRPr="00CB659D">
        <w:rPr>
          <w:rFonts w:cs="David" w:hint="cs"/>
          <w:rtl/>
        </w:rPr>
        <w:t xml:space="preserve"> "</w:t>
      </w:r>
      <w:r w:rsidRPr="00CB659D">
        <w:rPr>
          <w:rStyle w:val="emailstyle17"/>
          <w:rFonts w:cs="David" w:hint="cs"/>
          <w:b/>
          <w:bCs/>
          <w:i/>
          <w:iCs/>
          <w:color w:val="auto"/>
          <w:sz w:val="22"/>
          <w:rtl/>
        </w:rPr>
        <w:t>מדובר בעשרות פניות (לכל הפחות) מהן התעלמו הנתבעות או השיבו באיחור ולאחר עיכובים ותזכורות רבות מספור</w:t>
      </w:r>
      <w:r w:rsidRPr="00CB659D">
        <w:rPr>
          <w:rStyle w:val="emailstyle17"/>
          <w:rFonts w:cs="David" w:hint="cs"/>
          <w:color w:val="auto"/>
          <w:sz w:val="22"/>
          <w:rtl/>
        </w:rPr>
        <w:t>".</w:t>
      </w:r>
    </w:p>
    <w:p w:rsidR="00367D2B" w:rsidRDefault="00367D2B" w:rsidP="00D22413">
      <w:pPr>
        <w:tabs>
          <w:tab w:val="left" w:pos="566"/>
        </w:tabs>
        <w:spacing w:after="240" w:line="360" w:lineRule="auto"/>
        <w:ind w:left="566"/>
        <w:jc w:val="both"/>
        <w:rPr>
          <w:rFonts w:cs="David"/>
        </w:rPr>
      </w:pPr>
      <w:r>
        <w:rPr>
          <w:rFonts w:cs="David" w:hint="cs"/>
          <w:rtl/>
        </w:rPr>
        <w:t xml:space="preserve">בחודש אפריל 2017 פנה </w:t>
      </w:r>
      <w:r w:rsidR="00B26FEE">
        <w:rPr>
          <w:rFonts w:cs="David" w:hint="cs"/>
          <w:rtl/>
        </w:rPr>
        <w:t>ה</w:t>
      </w:r>
      <w:r w:rsidR="00FA099A">
        <w:rPr>
          <w:rFonts w:cs="David" w:hint="cs"/>
          <w:rtl/>
        </w:rPr>
        <w:t>מערער</w:t>
      </w:r>
      <w:r w:rsidR="00B26FEE">
        <w:rPr>
          <w:rFonts w:cs="David" w:hint="cs"/>
          <w:rtl/>
        </w:rPr>
        <w:t xml:space="preserve"> </w:t>
      </w:r>
      <w:r>
        <w:rPr>
          <w:rFonts w:cs="David" w:hint="cs"/>
          <w:rtl/>
        </w:rPr>
        <w:t xml:space="preserve">לנציב תלונות הציבור. </w:t>
      </w:r>
      <w:r w:rsidRPr="00367D2B">
        <w:rPr>
          <w:rFonts w:cs="David" w:hint="cs"/>
          <w:rtl/>
        </w:rPr>
        <w:t>רק לאחר כשנה ו</w:t>
      </w:r>
      <w:r>
        <w:rPr>
          <w:rFonts w:cs="David" w:hint="cs"/>
          <w:rtl/>
        </w:rPr>
        <w:t>שלושה חודשים</w:t>
      </w:r>
      <w:r w:rsidRPr="00367D2B">
        <w:rPr>
          <w:rFonts w:cs="David" w:hint="cs"/>
          <w:rtl/>
        </w:rPr>
        <w:t xml:space="preserve">, במהלך </w:t>
      </w:r>
      <w:r w:rsidR="005840DE" w:rsidRPr="005840DE">
        <w:rPr>
          <w:rFonts w:cs="David" w:hint="cs"/>
          <w:b/>
          <w:bCs/>
          <w:u w:val="single"/>
          <w:rtl/>
        </w:rPr>
        <w:t xml:space="preserve">חודש </w:t>
      </w:r>
      <w:r w:rsidRPr="005840DE">
        <w:rPr>
          <w:rFonts w:cs="David" w:hint="cs"/>
          <w:b/>
          <w:bCs/>
          <w:u w:val="single"/>
          <w:rtl/>
        </w:rPr>
        <w:t>יולי 2018</w:t>
      </w:r>
      <w:r w:rsidRPr="00367D2B">
        <w:rPr>
          <w:rFonts w:cs="David" w:hint="cs"/>
          <w:rtl/>
        </w:rPr>
        <w:t xml:space="preserve">, </w:t>
      </w:r>
      <w:r w:rsidR="00B26FEE">
        <w:rPr>
          <w:rFonts w:cs="David" w:hint="cs"/>
          <w:rtl/>
        </w:rPr>
        <w:t xml:space="preserve">ולאחר עיכוב ממושך במענה הפנימי של הנציבות לפניותיו של נציג התלונות, </w:t>
      </w:r>
      <w:r w:rsidRPr="00367D2B">
        <w:rPr>
          <w:rFonts w:cs="David" w:hint="cs"/>
          <w:rtl/>
        </w:rPr>
        <w:t>נתקבלה תשובתו</w:t>
      </w:r>
      <w:r>
        <w:rPr>
          <w:rFonts w:cs="David" w:hint="cs"/>
          <w:rtl/>
        </w:rPr>
        <w:t xml:space="preserve"> של הנציב. נחזור פעם נוספת - </w:t>
      </w:r>
      <w:r w:rsidRPr="00367D2B">
        <w:rPr>
          <w:rFonts w:cs="David" w:hint="cs"/>
          <w:b/>
          <w:bCs/>
          <w:rtl/>
        </w:rPr>
        <w:t xml:space="preserve">שנה ושלושה חודשים </w:t>
      </w:r>
      <w:r w:rsidR="00B26FEE">
        <w:rPr>
          <w:rFonts w:cs="David" w:hint="cs"/>
          <w:b/>
          <w:bCs/>
          <w:rtl/>
        </w:rPr>
        <w:t xml:space="preserve">נדרשו לנציב </w:t>
      </w:r>
      <w:r w:rsidRPr="00367D2B">
        <w:rPr>
          <w:rFonts w:cs="David" w:hint="cs"/>
          <w:b/>
          <w:bCs/>
          <w:rtl/>
        </w:rPr>
        <w:t>כדי להשיב על פנייה</w:t>
      </w:r>
      <w:r>
        <w:rPr>
          <w:rFonts w:cs="David" w:hint="cs"/>
          <w:rtl/>
        </w:rPr>
        <w:t>. וזאת לאחר עשרות פניות של ה</w:t>
      </w:r>
      <w:r w:rsidR="00FA099A">
        <w:rPr>
          <w:rFonts w:cs="David" w:hint="cs"/>
          <w:rtl/>
        </w:rPr>
        <w:t>מערער</w:t>
      </w:r>
      <w:r>
        <w:rPr>
          <w:rFonts w:cs="David" w:hint="cs"/>
          <w:rtl/>
        </w:rPr>
        <w:t xml:space="preserve"> ל</w:t>
      </w:r>
      <w:r w:rsidR="00FA099A">
        <w:rPr>
          <w:rFonts w:cs="David" w:hint="cs"/>
          <w:rtl/>
        </w:rPr>
        <w:t>משיבות</w:t>
      </w:r>
      <w:r>
        <w:rPr>
          <w:rFonts w:cs="David" w:hint="cs"/>
          <w:rtl/>
        </w:rPr>
        <w:t xml:space="preserve">. </w:t>
      </w:r>
    </w:p>
    <w:p w:rsidR="00367D2B" w:rsidRDefault="00367D2B" w:rsidP="00367D2B">
      <w:pPr>
        <w:tabs>
          <w:tab w:val="left" w:pos="566"/>
        </w:tabs>
        <w:spacing w:after="240" w:line="360" w:lineRule="auto"/>
        <w:ind w:left="566"/>
        <w:jc w:val="both"/>
        <w:rPr>
          <w:rFonts w:cs="David"/>
          <w:rtl/>
        </w:rPr>
      </w:pPr>
      <w:r>
        <w:rPr>
          <w:rFonts w:cs="David" w:hint="cs"/>
          <w:rtl/>
        </w:rPr>
        <w:t>לא בכדי מסתיימת תשובת הנציב במלים אלה: "</w:t>
      </w:r>
      <w:r>
        <w:rPr>
          <w:rFonts w:cs="David" w:hint="cs"/>
          <w:b/>
          <w:bCs/>
          <w:i/>
          <w:iCs/>
          <w:rtl/>
        </w:rPr>
        <w:t xml:space="preserve">בשולי הדברים אך לא בשולי חשיבותם נבקש </w:t>
      </w:r>
      <w:r w:rsidRPr="00815972">
        <w:rPr>
          <w:rFonts w:cs="David" w:hint="cs"/>
          <w:b/>
          <w:bCs/>
          <w:i/>
          <w:iCs/>
          <w:u w:val="single"/>
          <w:rtl/>
        </w:rPr>
        <w:t>להתנצל על העיכוב במתן המענה מטעמנו שנבע מעומס עבודה</w:t>
      </w:r>
      <w:r>
        <w:rPr>
          <w:rFonts w:cs="David" w:hint="cs"/>
          <w:rtl/>
        </w:rPr>
        <w:t>" (נספח 12ב' לכתב התביעה).</w:t>
      </w:r>
    </w:p>
    <w:p w:rsidR="000424B8" w:rsidRDefault="000424B8" w:rsidP="000424B8">
      <w:pPr>
        <w:numPr>
          <w:ilvl w:val="0"/>
          <w:numId w:val="1"/>
        </w:numPr>
        <w:tabs>
          <w:tab w:val="left" w:pos="566"/>
        </w:tabs>
        <w:spacing w:after="240" w:line="360" w:lineRule="auto"/>
        <w:ind w:left="566" w:hanging="540"/>
        <w:jc w:val="both"/>
        <w:rPr>
          <w:rFonts w:cs="David"/>
        </w:rPr>
      </w:pPr>
      <w:r>
        <w:rPr>
          <w:rFonts w:cs="David" w:hint="cs"/>
          <w:rtl/>
        </w:rPr>
        <w:t xml:space="preserve">כמו כן כתב התביעה מגלה מספר רב של מקרים בהם דווקא המדינה לא עמדה במועדים הקבועים בחוק. על קצה המזלג ממש </w:t>
      </w:r>
      <w:r>
        <w:rPr>
          <w:rFonts w:cs="David"/>
          <w:rtl/>
        </w:rPr>
        <w:t>–</w:t>
      </w:r>
      <w:r>
        <w:rPr>
          <w:rFonts w:cs="David" w:hint="cs"/>
          <w:rtl/>
        </w:rPr>
        <w:t xml:space="preserve"> </w:t>
      </w:r>
    </w:p>
    <w:p w:rsidR="000424B8" w:rsidRPr="00EC6557"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sidRPr="009C62D0">
        <w:rPr>
          <w:rFonts w:ascii="David" w:hAnsi="David" w:cs="David"/>
          <w:rtl/>
        </w:rPr>
        <w:t>ההודעה על סיום העסקתו של ה</w:t>
      </w:r>
      <w:r>
        <w:rPr>
          <w:rFonts w:ascii="David" w:hAnsi="David" w:cs="David"/>
          <w:rtl/>
        </w:rPr>
        <w:t>מערער</w:t>
      </w:r>
      <w:r w:rsidRPr="009C62D0">
        <w:rPr>
          <w:rFonts w:ascii="David" w:hAnsi="David" w:cs="David"/>
          <w:rtl/>
        </w:rPr>
        <w:t xml:space="preserve"> ניתנה פחות מחודש מהמועד שהיה קבוע בהודעה (סעיף 7 לכתב התביעה). כלומר, פחות מפרק הזמן המינימלי להודעה מוקדמת על פי חוק;</w:t>
      </w:r>
    </w:p>
    <w:p w:rsidR="000424B8" w:rsidRPr="009C62D0"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sidRPr="009C62D0">
        <w:rPr>
          <w:rFonts w:ascii="David" w:hAnsi="David" w:cs="David"/>
          <w:rtl/>
        </w:rPr>
        <w:t xml:space="preserve">בהתאם להוראות חוק הגמלאות, נציב שרות המדינה חייב לידע את העובד בדואר רשום על החלטתו להפריש אותו לקיצבאות </w:t>
      </w:r>
      <w:r w:rsidRPr="009C62D0">
        <w:rPr>
          <w:rFonts w:ascii="David" w:hAnsi="David" w:cs="David"/>
          <w:b/>
          <w:bCs/>
          <w:rtl/>
        </w:rPr>
        <w:t>לפחות 90 יום לפני יום הפרישה</w:t>
      </w:r>
      <w:r w:rsidRPr="009C62D0">
        <w:rPr>
          <w:rFonts w:ascii="David" w:hAnsi="David" w:cs="David"/>
          <w:rtl/>
        </w:rPr>
        <w:t xml:space="preserve">. </w:t>
      </w:r>
      <w:r w:rsidRPr="009C62D0">
        <w:rPr>
          <w:rFonts w:ascii="David" w:hAnsi="David" w:cs="David" w:hint="eastAsia"/>
          <w:rtl/>
        </w:rPr>
        <w:t>כידוע</w:t>
      </w:r>
      <w:r w:rsidRPr="009C62D0">
        <w:rPr>
          <w:rFonts w:ascii="David" w:hAnsi="David" w:cs="David"/>
          <w:rtl/>
        </w:rPr>
        <w:t xml:space="preserve">, ההודעה ניתנה רק בחודש דצמבר 2012, רטרואקטיבית לחודש יולי; </w:t>
      </w:r>
    </w:p>
    <w:p w:rsidR="000424B8"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w:t>
      </w:r>
      <w:r w:rsidRPr="00EC6557">
        <w:rPr>
          <w:rFonts w:ascii="David" w:hAnsi="David" w:cs="David"/>
          <w:rtl/>
        </w:rPr>
        <w:t xml:space="preserve"> התקשי"ר, סמנכ"ל המשרד (ולא פקיד זוטר כלשהו) חייב לתת הודעה על צאתו הצפוי של העובד לגמלאות </w:t>
      </w:r>
      <w:r w:rsidRPr="00EC6557">
        <w:rPr>
          <w:rFonts w:ascii="David" w:hAnsi="David" w:cs="David"/>
          <w:b/>
          <w:bCs/>
          <w:rtl/>
        </w:rPr>
        <w:t>שנה של</w:t>
      </w:r>
      <w:r>
        <w:rPr>
          <w:rFonts w:ascii="David" w:hAnsi="David" w:cs="David" w:hint="cs"/>
          <w:b/>
          <w:bCs/>
          <w:rtl/>
        </w:rPr>
        <w:t>י</w:t>
      </w:r>
      <w:r w:rsidRPr="00EC6557">
        <w:rPr>
          <w:rFonts w:ascii="David" w:hAnsi="David" w:cs="David"/>
          <w:b/>
          <w:bCs/>
          <w:rtl/>
        </w:rPr>
        <w:t>מה לפני מועד הפרישה</w:t>
      </w:r>
      <w:r w:rsidRPr="00EC6557">
        <w:rPr>
          <w:rFonts w:ascii="David" w:hAnsi="David" w:cs="David"/>
          <w:rtl/>
        </w:rPr>
        <w:t xml:space="preserve">. הודעה כאמור לא נמסרה לתובע במועד הקבוע בחוק ולא במועד הנדרש </w:t>
      </w:r>
      <w:r>
        <w:rPr>
          <w:rFonts w:ascii="David" w:hAnsi="David" w:cs="David" w:hint="cs"/>
          <w:rtl/>
        </w:rPr>
        <w:t>בתקשי"ר, אלא רק בחודש דצמבר 2012</w:t>
      </w:r>
      <w:r w:rsidRPr="00EC6557">
        <w:rPr>
          <w:rFonts w:ascii="David" w:hAnsi="David" w:cs="David"/>
          <w:rtl/>
        </w:rPr>
        <w:t>.</w:t>
      </w:r>
    </w:p>
    <w:p w:rsidR="000424B8" w:rsidRDefault="000424B8" w:rsidP="000424B8">
      <w:pPr>
        <w:numPr>
          <w:ilvl w:val="1"/>
          <w:numId w:val="1"/>
        </w:numPr>
        <w:tabs>
          <w:tab w:val="clear" w:pos="792"/>
          <w:tab w:val="left" w:pos="1250"/>
        </w:tabs>
        <w:spacing w:after="240" w:line="360" w:lineRule="auto"/>
        <w:ind w:left="1250" w:hanging="630"/>
        <w:jc w:val="both"/>
        <w:rPr>
          <w:rFonts w:ascii="David" w:hAnsi="David" w:cs="David"/>
        </w:rPr>
      </w:pPr>
      <w:r>
        <w:rPr>
          <w:rFonts w:ascii="David" w:hAnsi="David" w:cs="David" w:hint="cs"/>
          <w:rtl/>
        </w:rPr>
        <w:t>בהתאם להוראות התקשי"ר, היה על האחראי על מערער לשלוח</w:t>
      </w:r>
      <w:r w:rsidRPr="00EC6557">
        <w:rPr>
          <w:rFonts w:ascii="David" w:hAnsi="David" w:cs="David"/>
          <w:rtl/>
        </w:rPr>
        <w:t xml:space="preserve"> עותק של טופס הודעה על הפסקת העבודה גם לממונה על הגמלאות במשרד האוצר</w:t>
      </w:r>
      <w:r>
        <w:rPr>
          <w:rFonts w:ascii="David" w:hAnsi="David" w:cs="David" w:hint="cs"/>
          <w:rtl/>
        </w:rPr>
        <w:t xml:space="preserve"> לפחות 90 ימים לפני מועד הפרישה. הדבר לא נעשה, וכפי שכבר הבהרנו </w:t>
      </w:r>
      <w:r>
        <w:rPr>
          <w:rFonts w:ascii="David" w:hAnsi="David" w:cs="David"/>
          <w:rtl/>
        </w:rPr>
        <w:t>–</w:t>
      </w:r>
      <w:r>
        <w:rPr>
          <w:rFonts w:ascii="David" w:hAnsi="David" w:cs="David" w:hint="cs"/>
          <w:rtl/>
        </w:rPr>
        <w:t xml:space="preserve"> מינהלת הגמלאות לא היתה ערוכה לכך, ורק בחודש דצמבר 2012 נערכה לתשלום והוא בוצע בסוף החודש.</w:t>
      </w:r>
    </w:p>
    <w:p w:rsidR="000424B8" w:rsidRPr="00412566" w:rsidRDefault="000424B8" w:rsidP="000424B8">
      <w:pPr>
        <w:numPr>
          <w:ilvl w:val="0"/>
          <w:numId w:val="1"/>
        </w:numPr>
        <w:tabs>
          <w:tab w:val="left" w:pos="566"/>
        </w:tabs>
        <w:spacing w:after="240" w:line="360" w:lineRule="auto"/>
        <w:ind w:left="566" w:hanging="540"/>
        <w:jc w:val="both"/>
        <w:rPr>
          <w:rFonts w:cs="David"/>
        </w:rPr>
      </w:pPr>
      <w:r w:rsidRPr="00412566">
        <w:rPr>
          <w:rFonts w:cs="David" w:hint="cs"/>
          <w:rtl/>
        </w:rPr>
        <w:t>יתרה מכך, לאורך כל התקופה עד להגשת כתב התביעה (ומתברר שגם לאחריו, נוכח בקשות הדחייה להגשת כתב ההגנה), השתהתה המדינה בטיפול בפניותיו של ה</w:t>
      </w:r>
      <w:r>
        <w:rPr>
          <w:rFonts w:cs="David" w:hint="cs"/>
          <w:rtl/>
        </w:rPr>
        <w:t>מערער</w:t>
      </w:r>
      <w:r w:rsidRPr="00412566">
        <w:rPr>
          <w:rFonts w:cs="David" w:hint="cs"/>
          <w:rtl/>
        </w:rPr>
        <w:t xml:space="preserve">. </w:t>
      </w:r>
      <w:r w:rsidRPr="00412566">
        <w:rPr>
          <w:rFonts w:cs="David" w:hint="cs"/>
          <w:b/>
          <w:bCs/>
          <w:rtl/>
        </w:rPr>
        <w:t>יצוין כי תחילה גם נאמר ל</w:t>
      </w:r>
      <w:r>
        <w:rPr>
          <w:rFonts w:cs="David" w:hint="cs"/>
          <w:b/>
          <w:bCs/>
          <w:rtl/>
        </w:rPr>
        <w:t>מערער</w:t>
      </w:r>
      <w:r w:rsidRPr="00412566">
        <w:rPr>
          <w:rFonts w:cs="David" w:hint="cs"/>
          <w:b/>
          <w:bCs/>
          <w:rtl/>
        </w:rPr>
        <w:t xml:space="preserve"> מפורשות שימצה את הנושא מול הגורמים הרלבנטיים, וכך הוא עשה בפועל.</w:t>
      </w:r>
      <w:r>
        <w:rPr>
          <w:rFonts w:cs="David" w:hint="cs"/>
          <w:rtl/>
        </w:rPr>
        <w:t xml:space="preserve"> </w:t>
      </w:r>
      <w:r w:rsidRPr="00412566">
        <w:rPr>
          <w:rFonts w:cs="David" w:hint="cs"/>
          <w:rtl/>
        </w:rPr>
        <w:t xml:space="preserve">לא נחזור פעם נוספת על </w:t>
      </w:r>
      <w:r w:rsidRPr="00412566">
        <w:rPr>
          <w:rFonts w:cs="David" w:hint="cs"/>
          <w:rtl/>
        </w:rPr>
        <w:lastRenderedPageBreak/>
        <w:t>התנצלותו של נציב התלונות על העיכוב במתן התשובה, שדומה כי היא ממצה את ההתנהלות בעניינו של ה</w:t>
      </w:r>
      <w:r>
        <w:rPr>
          <w:rFonts w:cs="David" w:hint="cs"/>
          <w:rtl/>
        </w:rPr>
        <w:t>מערער</w:t>
      </w:r>
      <w:r w:rsidRPr="00412566">
        <w:rPr>
          <w:rFonts w:cs="David" w:hint="cs"/>
          <w:rtl/>
        </w:rPr>
        <w:t xml:space="preserve">: </w:t>
      </w:r>
      <w:r w:rsidRPr="00412566">
        <w:rPr>
          <w:rFonts w:cs="David" w:hint="cs"/>
          <w:b/>
          <w:bCs/>
          <w:rtl/>
        </w:rPr>
        <w:t xml:space="preserve">עיכוב, השתהות וסחבת. </w:t>
      </w:r>
    </w:p>
    <w:p w:rsidR="00412566" w:rsidRPr="00C029C5" w:rsidRDefault="00367D2B" w:rsidP="00C029C5">
      <w:pPr>
        <w:numPr>
          <w:ilvl w:val="0"/>
          <w:numId w:val="1"/>
        </w:numPr>
        <w:tabs>
          <w:tab w:val="left" w:pos="566"/>
        </w:tabs>
        <w:spacing w:after="240" w:line="360" w:lineRule="auto"/>
        <w:ind w:left="566" w:hanging="540"/>
        <w:jc w:val="both"/>
        <w:rPr>
          <w:rFonts w:cs="David"/>
        </w:rPr>
      </w:pPr>
      <w:r w:rsidRPr="00C029C5">
        <w:rPr>
          <w:rFonts w:cs="David" w:hint="cs"/>
          <w:b/>
          <w:bCs/>
          <w:rtl/>
        </w:rPr>
        <w:t>במשך מספר שנים</w:t>
      </w:r>
      <w:r w:rsidR="000424B8" w:rsidRPr="00C029C5">
        <w:rPr>
          <w:rFonts w:cs="David" w:hint="cs"/>
          <w:b/>
          <w:bCs/>
          <w:rtl/>
        </w:rPr>
        <w:t>, אם כן,</w:t>
      </w:r>
      <w:r w:rsidRPr="00C029C5">
        <w:rPr>
          <w:rFonts w:cs="David" w:hint="cs"/>
          <w:b/>
          <w:bCs/>
          <w:rtl/>
        </w:rPr>
        <w:t xml:space="preserve"> </w:t>
      </w:r>
      <w:r w:rsidR="000424B8" w:rsidRPr="00C029C5">
        <w:rPr>
          <w:rFonts w:cs="David" w:hint="cs"/>
          <w:b/>
          <w:bCs/>
          <w:rtl/>
        </w:rPr>
        <w:t>נקטו</w:t>
      </w:r>
      <w:r w:rsidRPr="00C029C5">
        <w:rPr>
          <w:rFonts w:cs="David" w:hint="cs"/>
          <w:b/>
          <w:bCs/>
          <w:rtl/>
        </w:rPr>
        <w:t xml:space="preserve"> ה</w:t>
      </w:r>
      <w:r w:rsidR="00FA099A" w:rsidRPr="00C029C5">
        <w:rPr>
          <w:rFonts w:cs="David" w:hint="cs"/>
          <w:b/>
          <w:bCs/>
          <w:rtl/>
        </w:rPr>
        <w:t>משיבות</w:t>
      </w:r>
      <w:r w:rsidRPr="00C029C5">
        <w:rPr>
          <w:rFonts w:cs="David" w:hint="cs"/>
          <w:b/>
          <w:bCs/>
          <w:rtl/>
        </w:rPr>
        <w:t xml:space="preserve"> סחבת בלתי נסבלת בכל הקשור לטיפול בפניותיו של ה</w:t>
      </w:r>
      <w:r w:rsidR="00FA099A" w:rsidRPr="00C029C5">
        <w:rPr>
          <w:rFonts w:cs="David" w:hint="cs"/>
          <w:b/>
          <w:bCs/>
          <w:rtl/>
        </w:rPr>
        <w:t>מערער</w:t>
      </w:r>
      <w:r w:rsidR="000424B8" w:rsidRPr="00C029C5">
        <w:rPr>
          <w:rFonts w:cs="David" w:hint="cs"/>
          <w:b/>
          <w:bCs/>
          <w:rtl/>
        </w:rPr>
        <w:t>, ולא עמדו במועדים הקבועים בדין בכל הקשור להתנהלות מולו</w:t>
      </w:r>
      <w:r w:rsidRPr="00C029C5">
        <w:rPr>
          <w:rFonts w:cs="David" w:hint="cs"/>
          <w:b/>
          <w:bCs/>
          <w:rtl/>
        </w:rPr>
        <w:t xml:space="preserve">. </w:t>
      </w:r>
      <w:r w:rsidR="00412566" w:rsidRPr="00C029C5">
        <w:rPr>
          <w:rFonts w:cs="David" w:hint="cs"/>
          <w:rtl/>
        </w:rPr>
        <w:t>על רקע זה, כאשר המדינה לא עמדה במועדים הקבועים</w:t>
      </w:r>
      <w:r w:rsidR="00B26FEE" w:rsidRPr="00C029C5">
        <w:rPr>
          <w:rFonts w:cs="David" w:hint="cs"/>
          <w:rtl/>
        </w:rPr>
        <w:t xml:space="preserve"> בדין</w:t>
      </w:r>
      <w:r w:rsidR="00412566" w:rsidRPr="00C029C5">
        <w:rPr>
          <w:rFonts w:cs="David" w:hint="cs"/>
          <w:rtl/>
        </w:rPr>
        <w:t>, לא פעם אחת ולא פעמיים, תוך שהיא גורמת ל</w:t>
      </w:r>
      <w:r w:rsidR="00FA099A" w:rsidRPr="00C029C5">
        <w:rPr>
          <w:rFonts w:cs="David" w:hint="cs"/>
          <w:rtl/>
        </w:rPr>
        <w:t>מערער</w:t>
      </w:r>
      <w:r w:rsidR="00412566" w:rsidRPr="00C029C5">
        <w:rPr>
          <w:rFonts w:cs="David" w:hint="cs"/>
          <w:rtl/>
        </w:rPr>
        <w:t xml:space="preserve"> נזקים ממשיים, ולאחר שהשתהתה בטיפול בפניותיו, ואף התנצלה על כך, </w:t>
      </w:r>
      <w:r w:rsidR="00412566" w:rsidRPr="00C029C5">
        <w:rPr>
          <w:rFonts w:cs="David" w:hint="cs"/>
          <w:b/>
          <w:bCs/>
          <w:rtl/>
        </w:rPr>
        <w:t>אין זה ראוי כי אותה מדינה ממש, באמצעות ה</w:t>
      </w:r>
      <w:r w:rsidR="00FA099A" w:rsidRPr="00C029C5">
        <w:rPr>
          <w:rFonts w:cs="David" w:hint="cs"/>
          <w:b/>
          <w:bCs/>
          <w:rtl/>
        </w:rPr>
        <w:t>משיבות</w:t>
      </w:r>
      <w:r w:rsidR="00412566" w:rsidRPr="00C029C5">
        <w:rPr>
          <w:rFonts w:cs="David" w:hint="cs"/>
          <w:b/>
          <w:bCs/>
          <w:rtl/>
        </w:rPr>
        <w:t xml:space="preserve">, </w:t>
      </w:r>
      <w:r w:rsidR="00C029C5">
        <w:rPr>
          <w:rFonts w:cs="David" w:hint="cs"/>
          <w:b/>
          <w:bCs/>
          <w:rtl/>
        </w:rPr>
        <w:t>תאחז בטענות של שינוי והתיישנות</w:t>
      </w:r>
      <w:r w:rsidR="00412566" w:rsidRPr="00C029C5">
        <w:rPr>
          <w:rFonts w:cs="David" w:hint="cs"/>
          <w:b/>
          <w:bCs/>
          <w:rtl/>
        </w:rPr>
        <w:t xml:space="preserve">. </w:t>
      </w:r>
    </w:p>
    <w:p w:rsidR="00412566" w:rsidRDefault="00412566" w:rsidP="00412566">
      <w:pPr>
        <w:tabs>
          <w:tab w:val="left" w:pos="566"/>
        </w:tabs>
        <w:spacing w:after="240" w:line="360" w:lineRule="auto"/>
        <w:ind w:left="566"/>
        <w:jc w:val="both"/>
        <w:rPr>
          <w:rFonts w:cs="David"/>
          <w:b/>
          <w:bCs/>
          <w:rtl/>
        </w:rPr>
      </w:pPr>
      <w:r>
        <w:rPr>
          <w:rFonts w:cs="David" w:hint="cs"/>
          <w:b/>
          <w:bCs/>
          <w:rtl/>
        </w:rPr>
        <w:t xml:space="preserve">מדובר בחוסר תום לב קיצוני, ובוודאי שאין בהתנהלות זאת דבר וחצי דבר עם חובת </w:t>
      </w:r>
      <w:r w:rsidR="00C029C5">
        <w:rPr>
          <w:rFonts w:cs="David" w:hint="cs"/>
          <w:b/>
          <w:bCs/>
          <w:rtl/>
        </w:rPr>
        <w:t>ההגינות המנהלית החלה על המדינה, ואף מסיבה זאת יש לקבל את הערעור.</w:t>
      </w:r>
    </w:p>
    <w:p w:rsidR="00412566" w:rsidRPr="00412566" w:rsidRDefault="00412566" w:rsidP="00412566">
      <w:pPr>
        <w:numPr>
          <w:ilvl w:val="0"/>
          <w:numId w:val="1"/>
        </w:numPr>
        <w:tabs>
          <w:tab w:val="left" w:pos="566"/>
        </w:tabs>
        <w:spacing w:after="240" w:line="360" w:lineRule="auto"/>
        <w:ind w:left="566" w:hanging="540"/>
        <w:jc w:val="both"/>
        <w:rPr>
          <w:rFonts w:cs="David"/>
        </w:rPr>
      </w:pPr>
      <w:r>
        <w:rPr>
          <w:rFonts w:cs="David" w:hint="cs"/>
          <w:rtl/>
        </w:rPr>
        <w:t>על כן, ולו מסיבות אלה בלבד, ראוי ונכון לדחות את הבקשה, ועל אחת כמה וכמה נוכח היותה נעדרת בסיס משפטי וחוקי.</w:t>
      </w:r>
    </w:p>
    <w:p w:rsidR="008F5336" w:rsidRDefault="008F5336" w:rsidP="00211F05">
      <w:pPr>
        <w:pStyle w:val="30"/>
        <w:spacing w:after="240"/>
        <w:rPr>
          <w:rtl/>
        </w:rPr>
      </w:pPr>
    </w:p>
    <w:p w:rsidR="009B48BB" w:rsidRPr="00815972" w:rsidRDefault="00FA365A" w:rsidP="003B18C5">
      <w:pPr>
        <w:pStyle w:val="30"/>
        <w:tabs>
          <w:tab w:val="clear" w:pos="566"/>
        </w:tabs>
        <w:spacing w:after="240"/>
        <w:ind w:left="80" w:firstLine="450"/>
        <w:rPr>
          <w:sz w:val="26"/>
          <w:szCs w:val="26"/>
        </w:rPr>
      </w:pPr>
      <w:r w:rsidRPr="00815972">
        <w:rPr>
          <w:rFonts w:hint="eastAsia"/>
          <w:sz w:val="26"/>
          <w:szCs w:val="26"/>
          <w:rtl/>
        </w:rPr>
        <w:t>אשר</w:t>
      </w:r>
      <w:r w:rsidRPr="00815972">
        <w:rPr>
          <w:sz w:val="26"/>
          <w:szCs w:val="26"/>
          <w:rtl/>
        </w:rPr>
        <w:t xml:space="preserve"> </w:t>
      </w:r>
      <w:r w:rsidRPr="00815972">
        <w:rPr>
          <w:rFonts w:hint="eastAsia"/>
          <w:sz w:val="26"/>
          <w:szCs w:val="26"/>
          <w:rtl/>
        </w:rPr>
        <w:t>על</w:t>
      </w:r>
      <w:r w:rsidRPr="00815972">
        <w:rPr>
          <w:sz w:val="26"/>
          <w:szCs w:val="26"/>
          <w:rtl/>
        </w:rPr>
        <w:t xml:space="preserve"> </w:t>
      </w:r>
      <w:r w:rsidRPr="00815972">
        <w:rPr>
          <w:rFonts w:hint="eastAsia"/>
          <w:sz w:val="26"/>
          <w:szCs w:val="26"/>
          <w:rtl/>
        </w:rPr>
        <w:t>כן</w:t>
      </w:r>
      <w:r w:rsidRPr="00815972">
        <w:rPr>
          <w:sz w:val="26"/>
          <w:szCs w:val="26"/>
          <w:rtl/>
        </w:rPr>
        <w:t xml:space="preserve">, </w:t>
      </w:r>
      <w:r w:rsidRPr="00815972">
        <w:rPr>
          <w:rFonts w:hint="eastAsia"/>
          <w:sz w:val="26"/>
          <w:szCs w:val="26"/>
          <w:rtl/>
        </w:rPr>
        <w:t>ולאור</w:t>
      </w:r>
      <w:r w:rsidRPr="00815972">
        <w:rPr>
          <w:sz w:val="26"/>
          <w:szCs w:val="26"/>
          <w:rtl/>
        </w:rPr>
        <w:t xml:space="preserve"> </w:t>
      </w:r>
      <w:r w:rsidRPr="00815972">
        <w:rPr>
          <w:rFonts w:hint="eastAsia"/>
          <w:sz w:val="26"/>
          <w:szCs w:val="26"/>
          <w:rtl/>
        </w:rPr>
        <w:t>האמור</w:t>
      </w:r>
      <w:r w:rsidRPr="00815972">
        <w:rPr>
          <w:sz w:val="26"/>
          <w:szCs w:val="26"/>
          <w:rtl/>
        </w:rPr>
        <w:t xml:space="preserve"> </w:t>
      </w:r>
      <w:r w:rsidRPr="00815972">
        <w:rPr>
          <w:rFonts w:hint="eastAsia"/>
          <w:sz w:val="26"/>
          <w:szCs w:val="26"/>
          <w:rtl/>
        </w:rPr>
        <w:t>לעיל</w:t>
      </w:r>
      <w:r w:rsidRPr="00815972">
        <w:rPr>
          <w:sz w:val="26"/>
          <w:szCs w:val="26"/>
          <w:rtl/>
        </w:rPr>
        <w:t>,</w:t>
      </w:r>
      <w:r w:rsidR="0092613E" w:rsidRPr="00815972">
        <w:rPr>
          <w:sz w:val="26"/>
          <w:szCs w:val="26"/>
          <w:rtl/>
        </w:rPr>
        <w:t xml:space="preserve"> יתבקש בית הדין הנכבד </w:t>
      </w:r>
      <w:r w:rsidR="003B18C5">
        <w:rPr>
          <w:rFonts w:hint="cs"/>
          <w:sz w:val="26"/>
          <w:szCs w:val="26"/>
          <w:rtl/>
        </w:rPr>
        <w:t>לקבל את הערעור</w:t>
      </w:r>
      <w:r w:rsidRPr="00815972">
        <w:rPr>
          <w:sz w:val="26"/>
          <w:szCs w:val="26"/>
          <w:rtl/>
        </w:rPr>
        <w:t xml:space="preserve">, </w:t>
      </w:r>
      <w:r w:rsidRPr="00815972">
        <w:rPr>
          <w:rFonts w:hint="eastAsia"/>
          <w:sz w:val="26"/>
          <w:szCs w:val="26"/>
          <w:rtl/>
        </w:rPr>
        <w:t>ולחייב</w:t>
      </w:r>
      <w:r w:rsidRPr="00815972">
        <w:rPr>
          <w:sz w:val="26"/>
          <w:szCs w:val="26"/>
          <w:rtl/>
        </w:rPr>
        <w:t xml:space="preserve"> </w:t>
      </w:r>
      <w:r w:rsidRPr="00815972">
        <w:rPr>
          <w:rFonts w:hint="eastAsia"/>
          <w:sz w:val="26"/>
          <w:szCs w:val="26"/>
          <w:rtl/>
        </w:rPr>
        <w:t>את</w:t>
      </w:r>
      <w:r w:rsidRPr="00815972">
        <w:rPr>
          <w:sz w:val="26"/>
          <w:szCs w:val="26"/>
          <w:rtl/>
        </w:rPr>
        <w:t xml:space="preserve"> </w:t>
      </w:r>
      <w:r w:rsidRPr="00815972">
        <w:rPr>
          <w:rFonts w:hint="eastAsia"/>
          <w:sz w:val="26"/>
          <w:szCs w:val="26"/>
          <w:rtl/>
        </w:rPr>
        <w:t>ה</w:t>
      </w:r>
      <w:r w:rsidR="00FA099A">
        <w:rPr>
          <w:rFonts w:hint="eastAsia"/>
          <w:sz w:val="26"/>
          <w:szCs w:val="26"/>
          <w:rtl/>
        </w:rPr>
        <w:t>משיבות</w:t>
      </w:r>
      <w:r w:rsidRPr="00815972">
        <w:rPr>
          <w:sz w:val="26"/>
          <w:szCs w:val="26"/>
          <w:rtl/>
        </w:rPr>
        <w:t xml:space="preserve"> </w:t>
      </w:r>
      <w:r w:rsidRPr="00815972">
        <w:rPr>
          <w:rFonts w:hint="eastAsia"/>
          <w:sz w:val="26"/>
          <w:szCs w:val="26"/>
          <w:rtl/>
        </w:rPr>
        <w:t>בהוצאות</w:t>
      </w:r>
      <w:r w:rsidRPr="00815972">
        <w:rPr>
          <w:sz w:val="26"/>
          <w:szCs w:val="26"/>
          <w:rtl/>
        </w:rPr>
        <w:t xml:space="preserve"> </w:t>
      </w:r>
      <w:r w:rsidRPr="00815972">
        <w:rPr>
          <w:rFonts w:hint="eastAsia"/>
          <w:sz w:val="26"/>
          <w:szCs w:val="26"/>
          <w:rtl/>
        </w:rPr>
        <w:t>ה</w:t>
      </w:r>
      <w:r w:rsidR="00FA099A">
        <w:rPr>
          <w:rFonts w:hint="eastAsia"/>
          <w:sz w:val="26"/>
          <w:szCs w:val="26"/>
          <w:rtl/>
        </w:rPr>
        <w:t>מערער</w:t>
      </w:r>
      <w:r w:rsidRPr="00815972">
        <w:rPr>
          <w:sz w:val="26"/>
          <w:szCs w:val="26"/>
          <w:rtl/>
        </w:rPr>
        <w:t xml:space="preserve"> </w:t>
      </w:r>
      <w:r w:rsidRPr="00815972">
        <w:rPr>
          <w:rFonts w:hint="eastAsia"/>
          <w:sz w:val="26"/>
          <w:szCs w:val="26"/>
          <w:rtl/>
        </w:rPr>
        <w:t>ובשכר</w:t>
      </w:r>
      <w:r w:rsidRPr="00815972">
        <w:rPr>
          <w:sz w:val="26"/>
          <w:szCs w:val="26"/>
          <w:rtl/>
        </w:rPr>
        <w:t xml:space="preserve"> </w:t>
      </w:r>
      <w:r w:rsidRPr="00815972">
        <w:rPr>
          <w:rFonts w:hint="eastAsia"/>
          <w:sz w:val="26"/>
          <w:szCs w:val="26"/>
          <w:rtl/>
        </w:rPr>
        <w:t>טרחת</w:t>
      </w:r>
      <w:r w:rsidRPr="00815972">
        <w:rPr>
          <w:sz w:val="26"/>
          <w:szCs w:val="26"/>
          <w:rtl/>
        </w:rPr>
        <w:t xml:space="preserve"> </w:t>
      </w:r>
      <w:r w:rsidRPr="00815972">
        <w:rPr>
          <w:rFonts w:hint="eastAsia"/>
          <w:sz w:val="26"/>
          <w:szCs w:val="26"/>
          <w:rtl/>
        </w:rPr>
        <w:t>עורכי</w:t>
      </w:r>
      <w:r w:rsidRPr="00815972">
        <w:rPr>
          <w:sz w:val="26"/>
          <w:szCs w:val="26"/>
          <w:rtl/>
        </w:rPr>
        <w:t xml:space="preserve"> </w:t>
      </w:r>
      <w:r w:rsidRPr="00815972">
        <w:rPr>
          <w:rFonts w:hint="eastAsia"/>
          <w:sz w:val="26"/>
          <w:szCs w:val="26"/>
          <w:rtl/>
        </w:rPr>
        <w:t>דינו</w:t>
      </w:r>
      <w:r w:rsidRPr="00815972">
        <w:rPr>
          <w:sz w:val="26"/>
          <w:szCs w:val="26"/>
          <w:rtl/>
        </w:rPr>
        <w:t>.</w:t>
      </w:r>
    </w:p>
    <w:p w:rsidR="00F01D59" w:rsidRDefault="00F01D59" w:rsidP="00211F05">
      <w:pPr>
        <w:pStyle w:val="22"/>
        <w:tabs>
          <w:tab w:val="center" w:pos="-2268"/>
          <w:tab w:val="left" w:pos="631"/>
        </w:tabs>
        <w:spacing w:before="120"/>
        <w:ind w:left="0" w:right="0" w:firstLine="0"/>
        <w:rPr>
          <w:b/>
          <w:bCs/>
          <w:noProof w:val="0"/>
          <w:rtl/>
        </w:rPr>
      </w:pPr>
    </w:p>
    <w:p w:rsidR="00F11C5A" w:rsidRDefault="00B42DBB" w:rsidP="003B18C5">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3B18C5">
        <w:rPr>
          <w:rFonts w:hint="cs"/>
          <w:b/>
          <w:bCs/>
          <w:noProof w:val="0"/>
          <w:rtl/>
        </w:rPr>
        <w:t>__</w:t>
      </w:r>
      <w:r w:rsidR="008F5336">
        <w:rPr>
          <w:rFonts w:hint="cs"/>
          <w:b/>
          <w:bCs/>
          <w:noProof w:val="0"/>
          <w:rtl/>
        </w:rPr>
        <w:t xml:space="preserve"> ב</w:t>
      </w:r>
      <w:r w:rsidR="003B18C5">
        <w:rPr>
          <w:rFonts w:hint="cs"/>
          <w:b/>
          <w:bCs/>
          <w:noProof w:val="0"/>
          <w:rtl/>
        </w:rPr>
        <w:t>נובמבר</w:t>
      </w:r>
      <w:r w:rsidR="00903EDA" w:rsidRPr="00901A33">
        <w:rPr>
          <w:rFonts w:hint="cs"/>
          <w:b/>
          <w:bCs/>
          <w:noProof w:val="0"/>
          <w:rtl/>
        </w:rPr>
        <w:t xml:space="preserve"> </w:t>
      </w:r>
      <w:r w:rsidRPr="00901A33">
        <w:rPr>
          <w:rFonts w:hint="cs"/>
          <w:b/>
          <w:bCs/>
          <w:noProof w:val="0"/>
          <w:rtl/>
        </w:rPr>
        <w:t>20</w:t>
      </w:r>
      <w:r w:rsidR="008F5336">
        <w:rPr>
          <w:rFonts w:hint="cs"/>
          <w:b/>
          <w:bCs/>
          <w:noProof w:val="0"/>
          <w:rtl/>
        </w:rPr>
        <w:t>20</w:t>
      </w:r>
      <w:r w:rsidRPr="00901A33">
        <w:rPr>
          <w:rFonts w:hint="cs"/>
          <w:b/>
          <w:bCs/>
          <w:noProof w:val="0"/>
          <w:rtl/>
        </w:rPr>
        <w:t>.</w:t>
      </w:r>
    </w:p>
    <w:p w:rsidR="00B42DBB" w:rsidRPr="00901A33" w:rsidRDefault="00B42DBB" w:rsidP="00211F05">
      <w:pPr>
        <w:pStyle w:val="22"/>
        <w:tabs>
          <w:tab w:val="center" w:pos="-2268"/>
          <w:tab w:val="left" w:pos="631"/>
        </w:tabs>
        <w:spacing w:before="0"/>
        <w:ind w:left="509" w:right="0"/>
        <w:rPr>
          <w:b/>
          <w:bCs/>
          <w:noProof w:val="0"/>
          <w:rtl/>
        </w:rPr>
      </w:pPr>
    </w:p>
    <w:p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002D080E">
        <w:rPr>
          <w:rFonts w:hint="cs"/>
          <w:noProof w:val="0"/>
          <w:rtl/>
        </w:rPr>
        <w:t xml:space="preserve">  </w:t>
      </w:r>
      <w:r w:rsidR="008F5336">
        <w:rPr>
          <w:noProof w:val="0"/>
          <w:rtl/>
        </w:rPr>
        <w:t>ב"כ ה</w:t>
      </w:r>
      <w:r w:rsidR="00FA099A">
        <w:rPr>
          <w:rFonts w:hint="cs"/>
          <w:noProof w:val="0"/>
          <w:rtl/>
        </w:rPr>
        <w:t>מערער</w:t>
      </w:r>
      <w:r w:rsidR="008F5336">
        <w:rPr>
          <w:rFonts w:hint="cs"/>
          <w:noProof w:val="0"/>
          <w:rtl/>
        </w:rPr>
        <w:t xml:space="preserve"> </w:t>
      </w:r>
    </w:p>
    <w:sectPr w:rsidR="0092613E" w:rsidRPr="00D74F54" w:rsidSect="00577511">
      <w:headerReference w:type="even" r:id="rId10"/>
      <w:headerReference w:type="default" r:id="rId11"/>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DA" w:rsidRDefault="00B31ADA">
      <w:r>
        <w:separator/>
      </w:r>
    </w:p>
  </w:endnote>
  <w:endnote w:type="continuationSeparator" w:id="0">
    <w:p w:rsidR="00B31ADA" w:rsidRDefault="00B3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Arial Narrow"/>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DA" w:rsidRDefault="00B31ADA">
      <w:r>
        <w:separator/>
      </w:r>
    </w:p>
  </w:footnote>
  <w:footnote w:type="continuationSeparator" w:id="0">
    <w:p w:rsidR="00B31ADA" w:rsidRDefault="00B3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A2" w:rsidRDefault="00C273A2"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BB0E2E">
      <w:rPr>
        <w:rStyle w:val="ac"/>
        <w:noProof/>
        <w:rtl/>
      </w:rPr>
      <w:t>2</w:t>
    </w:r>
    <w:r>
      <w:rPr>
        <w:rStyle w:val="ac"/>
        <w:rtl/>
      </w:rPr>
      <w:fldChar w:fldCharType="end"/>
    </w:r>
  </w:p>
  <w:p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6"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7"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9"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7"/>
  </w:num>
  <w:num w:numId="2">
    <w:abstractNumId w:val="1"/>
  </w:num>
  <w:num w:numId="3">
    <w:abstractNumId w:val="9"/>
  </w:num>
  <w:num w:numId="4">
    <w:abstractNumId w:val="5"/>
  </w:num>
  <w:num w:numId="5">
    <w:abstractNumId w:val="2"/>
  </w:num>
  <w:num w:numId="6">
    <w:abstractNumId w:val="8"/>
  </w:num>
  <w:num w:numId="7">
    <w:abstractNumId w:val="0"/>
  </w:num>
  <w:num w:numId="8">
    <w:abstractNumId w:val="6"/>
  </w:num>
  <w:num w:numId="9">
    <w:abstractNumId w:val="4"/>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37BB1"/>
    <w:rsid w:val="000405D0"/>
    <w:rsid w:val="000424B8"/>
    <w:rsid w:val="000451CA"/>
    <w:rsid w:val="00045433"/>
    <w:rsid w:val="00046B9D"/>
    <w:rsid w:val="000524FA"/>
    <w:rsid w:val="00053FA6"/>
    <w:rsid w:val="00056C02"/>
    <w:rsid w:val="00057EF8"/>
    <w:rsid w:val="0006117A"/>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40167"/>
    <w:rsid w:val="0024236F"/>
    <w:rsid w:val="0024719A"/>
    <w:rsid w:val="00252246"/>
    <w:rsid w:val="0025458D"/>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3211"/>
    <w:rsid w:val="00305613"/>
    <w:rsid w:val="0030799E"/>
    <w:rsid w:val="00311534"/>
    <w:rsid w:val="003172EF"/>
    <w:rsid w:val="0032017F"/>
    <w:rsid w:val="003216EE"/>
    <w:rsid w:val="00321D6F"/>
    <w:rsid w:val="0032328C"/>
    <w:rsid w:val="00324E00"/>
    <w:rsid w:val="00332BBE"/>
    <w:rsid w:val="00332FD9"/>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1997"/>
    <w:rsid w:val="003D24EB"/>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2BF6"/>
    <w:rsid w:val="0049482F"/>
    <w:rsid w:val="00497575"/>
    <w:rsid w:val="004A02BB"/>
    <w:rsid w:val="004A07A1"/>
    <w:rsid w:val="004A1D52"/>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6DC1"/>
    <w:rsid w:val="0053298C"/>
    <w:rsid w:val="00542C7B"/>
    <w:rsid w:val="00542FB6"/>
    <w:rsid w:val="005430D4"/>
    <w:rsid w:val="00546D81"/>
    <w:rsid w:val="00550DBF"/>
    <w:rsid w:val="00551383"/>
    <w:rsid w:val="00551AC9"/>
    <w:rsid w:val="0055302F"/>
    <w:rsid w:val="005532DB"/>
    <w:rsid w:val="005642FE"/>
    <w:rsid w:val="0056704D"/>
    <w:rsid w:val="00570A4A"/>
    <w:rsid w:val="00571692"/>
    <w:rsid w:val="00577511"/>
    <w:rsid w:val="00580461"/>
    <w:rsid w:val="00582D11"/>
    <w:rsid w:val="005840DE"/>
    <w:rsid w:val="005850C9"/>
    <w:rsid w:val="00592A2A"/>
    <w:rsid w:val="00594EB3"/>
    <w:rsid w:val="005A1484"/>
    <w:rsid w:val="005A3166"/>
    <w:rsid w:val="005A35B3"/>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2518C"/>
    <w:rsid w:val="00627E7F"/>
    <w:rsid w:val="00633FAE"/>
    <w:rsid w:val="00634B9D"/>
    <w:rsid w:val="00636C6A"/>
    <w:rsid w:val="00636CA7"/>
    <w:rsid w:val="00642B10"/>
    <w:rsid w:val="00642F36"/>
    <w:rsid w:val="00643E6B"/>
    <w:rsid w:val="00644176"/>
    <w:rsid w:val="006455D3"/>
    <w:rsid w:val="00646E5E"/>
    <w:rsid w:val="00653911"/>
    <w:rsid w:val="0065419A"/>
    <w:rsid w:val="0066168D"/>
    <w:rsid w:val="00663677"/>
    <w:rsid w:val="00663FC4"/>
    <w:rsid w:val="00664359"/>
    <w:rsid w:val="00664F8E"/>
    <w:rsid w:val="00665014"/>
    <w:rsid w:val="00666881"/>
    <w:rsid w:val="00666C0A"/>
    <w:rsid w:val="00667B55"/>
    <w:rsid w:val="00672B49"/>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2ECA"/>
    <w:rsid w:val="0069391A"/>
    <w:rsid w:val="0069414B"/>
    <w:rsid w:val="00694A56"/>
    <w:rsid w:val="00694BA0"/>
    <w:rsid w:val="00694BF1"/>
    <w:rsid w:val="0069538D"/>
    <w:rsid w:val="00695ABC"/>
    <w:rsid w:val="00695C16"/>
    <w:rsid w:val="006A08F6"/>
    <w:rsid w:val="006A1DB1"/>
    <w:rsid w:val="006A503E"/>
    <w:rsid w:val="006B25CF"/>
    <w:rsid w:val="006B2DAB"/>
    <w:rsid w:val="006B34AC"/>
    <w:rsid w:val="006B42A9"/>
    <w:rsid w:val="006B6226"/>
    <w:rsid w:val="006B6C9B"/>
    <w:rsid w:val="006B716B"/>
    <w:rsid w:val="006B7FE7"/>
    <w:rsid w:val="006C0C45"/>
    <w:rsid w:val="006C1AAF"/>
    <w:rsid w:val="006C2E00"/>
    <w:rsid w:val="006C5D0E"/>
    <w:rsid w:val="006D22BC"/>
    <w:rsid w:val="006D2867"/>
    <w:rsid w:val="006D2E74"/>
    <w:rsid w:val="006D31FC"/>
    <w:rsid w:val="006D49D9"/>
    <w:rsid w:val="006D4C56"/>
    <w:rsid w:val="006E5D4F"/>
    <w:rsid w:val="006E7D6C"/>
    <w:rsid w:val="006F0929"/>
    <w:rsid w:val="006F2B97"/>
    <w:rsid w:val="006F4E5C"/>
    <w:rsid w:val="007025C5"/>
    <w:rsid w:val="00703BDA"/>
    <w:rsid w:val="0070493C"/>
    <w:rsid w:val="0070635F"/>
    <w:rsid w:val="007119FB"/>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E01CC"/>
    <w:rsid w:val="007E1304"/>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5325"/>
    <w:rsid w:val="008C587F"/>
    <w:rsid w:val="008C7FC6"/>
    <w:rsid w:val="008D00E4"/>
    <w:rsid w:val="008D238B"/>
    <w:rsid w:val="008D3153"/>
    <w:rsid w:val="008D3640"/>
    <w:rsid w:val="008D5FDB"/>
    <w:rsid w:val="008D7743"/>
    <w:rsid w:val="008D785F"/>
    <w:rsid w:val="008E5BF9"/>
    <w:rsid w:val="008E6FA5"/>
    <w:rsid w:val="008F5336"/>
    <w:rsid w:val="008F56E4"/>
    <w:rsid w:val="008F6405"/>
    <w:rsid w:val="008F6EB9"/>
    <w:rsid w:val="009008EE"/>
    <w:rsid w:val="00901A33"/>
    <w:rsid w:val="00901E76"/>
    <w:rsid w:val="00903EDA"/>
    <w:rsid w:val="00904ECA"/>
    <w:rsid w:val="00907F97"/>
    <w:rsid w:val="00916238"/>
    <w:rsid w:val="009162EC"/>
    <w:rsid w:val="00917C45"/>
    <w:rsid w:val="00925FA2"/>
    <w:rsid w:val="0092613E"/>
    <w:rsid w:val="00926F04"/>
    <w:rsid w:val="00927F44"/>
    <w:rsid w:val="00932D99"/>
    <w:rsid w:val="00934643"/>
    <w:rsid w:val="00946A22"/>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981"/>
    <w:rsid w:val="009D1873"/>
    <w:rsid w:val="009D1D8D"/>
    <w:rsid w:val="009D357B"/>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BFC"/>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14F0"/>
    <w:rsid w:val="00B31A3F"/>
    <w:rsid w:val="00B31ADA"/>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1DBC"/>
    <w:rsid w:val="00B74BF6"/>
    <w:rsid w:val="00B777DE"/>
    <w:rsid w:val="00B80E15"/>
    <w:rsid w:val="00B82823"/>
    <w:rsid w:val="00B86963"/>
    <w:rsid w:val="00B875B3"/>
    <w:rsid w:val="00B913C5"/>
    <w:rsid w:val="00B926CB"/>
    <w:rsid w:val="00B928DC"/>
    <w:rsid w:val="00B9328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F60"/>
    <w:rsid w:val="00BD6378"/>
    <w:rsid w:val="00BE0DEA"/>
    <w:rsid w:val="00BE14DA"/>
    <w:rsid w:val="00BE28C8"/>
    <w:rsid w:val="00BE42FD"/>
    <w:rsid w:val="00BE6DA4"/>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155"/>
    <w:rsid w:val="00C747EA"/>
    <w:rsid w:val="00C807C6"/>
    <w:rsid w:val="00C817BC"/>
    <w:rsid w:val="00C901B5"/>
    <w:rsid w:val="00C926D8"/>
    <w:rsid w:val="00C92CBC"/>
    <w:rsid w:val="00C92FE1"/>
    <w:rsid w:val="00C97253"/>
    <w:rsid w:val="00CA01DF"/>
    <w:rsid w:val="00CA58FD"/>
    <w:rsid w:val="00CA6D3F"/>
    <w:rsid w:val="00CB1486"/>
    <w:rsid w:val="00CB409D"/>
    <w:rsid w:val="00CB659D"/>
    <w:rsid w:val="00CC0DDB"/>
    <w:rsid w:val="00CC350F"/>
    <w:rsid w:val="00CC48AF"/>
    <w:rsid w:val="00CC75CA"/>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E7D06"/>
    <w:rsid w:val="00DF090D"/>
    <w:rsid w:val="00DF0C41"/>
    <w:rsid w:val="00DF1723"/>
    <w:rsid w:val="00DF4080"/>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7D6"/>
    <w:rsid w:val="00E36058"/>
    <w:rsid w:val="00E42B98"/>
    <w:rsid w:val="00E50A2C"/>
    <w:rsid w:val="00E5176E"/>
    <w:rsid w:val="00E519EC"/>
    <w:rsid w:val="00E51A43"/>
    <w:rsid w:val="00E555AB"/>
    <w:rsid w:val="00E644A2"/>
    <w:rsid w:val="00E64CCC"/>
    <w:rsid w:val="00E677EB"/>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F3B"/>
    <w:rsid w:val="00F01615"/>
    <w:rsid w:val="00F01D59"/>
    <w:rsid w:val="00F04246"/>
    <w:rsid w:val="00F07675"/>
    <w:rsid w:val="00F11C5A"/>
    <w:rsid w:val="00F159A8"/>
    <w:rsid w:val="00F177F0"/>
    <w:rsid w:val="00F22363"/>
    <w:rsid w:val="00F235F2"/>
    <w:rsid w:val="00F25E32"/>
    <w:rsid w:val="00F26CF6"/>
    <w:rsid w:val="00F27BE7"/>
    <w:rsid w:val="00F33E56"/>
    <w:rsid w:val="00F36AC5"/>
    <w:rsid w:val="00F42C96"/>
    <w:rsid w:val="00F4477B"/>
    <w:rsid w:val="00F47968"/>
    <w:rsid w:val="00F47CB5"/>
    <w:rsid w:val="00F47E91"/>
    <w:rsid w:val="00F51471"/>
    <w:rsid w:val="00F539C1"/>
    <w:rsid w:val="00F5604B"/>
    <w:rsid w:val="00F6064D"/>
    <w:rsid w:val="00F613A3"/>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72DB"/>
    <w:rsid w:val="00FA099A"/>
    <w:rsid w:val="00FA1CEA"/>
    <w:rsid w:val="00FA2BB7"/>
    <w:rsid w:val="00FA365A"/>
    <w:rsid w:val="00FA4BFD"/>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5A13"/>
    <w:rsid w:val="00FE31BC"/>
    <w:rsid w:val="00FE4388"/>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1029&amp;Tik_Ref=04&amp;Tik_Type=8&amp;zad=&#1506;&#1502;&#1504;&#1493;&#1488;&#1500;%20&#1491;&#1493;&#1512;&#1504;&#1513;&#1496;&#1497;&#1497;&#1503;&amp;T=8&amp;FromWor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0F0B2-5191-4737-989D-2CD4BF83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3854</Words>
  <Characters>19271</Characters>
  <Application>Microsoft Office Word</Application>
  <DocSecurity>0</DocSecurity>
  <Lines>160</Lines>
  <Paragraphs>46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2020-01-28T08:06:00Z</cp:lastPrinted>
  <dcterms:created xsi:type="dcterms:W3CDTF">2020-11-15T09:18:00Z</dcterms:created>
  <dcterms:modified xsi:type="dcterms:W3CDTF">2020-11-15T09:18:00Z</dcterms:modified>
</cp:coreProperties>
</file>