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FC" w:rsidRPr="00591BA0" w:rsidRDefault="00AA4BFC" w:rsidP="00AA4BFC">
      <w:pPr>
        <w:pStyle w:val="a4"/>
        <w:tabs>
          <w:tab w:val="clear" w:pos="4153"/>
          <w:tab w:val="clear" w:pos="8306"/>
        </w:tabs>
        <w:spacing w:after="60"/>
        <w:rPr>
          <w:rFonts w:cs="David"/>
          <w:b/>
          <w:bCs/>
          <w:rtl/>
        </w:rPr>
      </w:pPr>
      <w:bookmarkStart w:id="0" w:name="_GoBack"/>
      <w:bookmarkEnd w:id="0"/>
      <w:r w:rsidRPr="00591BA0">
        <w:rPr>
          <w:rFonts w:cs="David"/>
          <w:b/>
          <w:bCs/>
          <w:rtl/>
        </w:rPr>
        <w:t xml:space="preserve">בבית הדין הארצי לעבודה </w:t>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t xml:space="preserve">       ע"ע 2514-07-20</w:t>
      </w:r>
    </w:p>
    <w:p w:rsidR="00AA4BFC" w:rsidRPr="00591BA0" w:rsidRDefault="00AA4BFC" w:rsidP="00AA4BFC">
      <w:pPr>
        <w:pStyle w:val="1"/>
        <w:spacing w:after="60"/>
        <w:rPr>
          <w:b/>
          <w:bCs/>
          <w:rtl/>
        </w:rPr>
      </w:pPr>
      <w:r w:rsidRPr="00591BA0">
        <w:rPr>
          <w:b/>
          <w:bCs/>
          <w:rtl/>
        </w:rPr>
        <w:t>בירושלים</w:t>
      </w:r>
    </w:p>
    <w:p w:rsidR="00AA4BFC" w:rsidRPr="00591BA0" w:rsidRDefault="00AA4BFC" w:rsidP="00AA4BFC">
      <w:pPr>
        <w:spacing w:after="60"/>
        <w:rPr>
          <w:rFonts w:cs="David"/>
          <w:u w:val="single"/>
          <w:rtl/>
        </w:rPr>
      </w:pPr>
    </w:p>
    <w:p w:rsidR="00AA4BFC" w:rsidRPr="00591BA0" w:rsidRDefault="00AA4BFC" w:rsidP="00AA4BFC">
      <w:pPr>
        <w:pStyle w:val="40"/>
        <w:spacing w:before="0"/>
        <w:ind w:hanging="1335"/>
        <w:rPr>
          <w:rtl/>
        </w:rPr>
      </w:pPr>
      <w:r w:rsidRPr="00591BA0">
        <w:rPr>
          <w:b/>
          <w:bCs/>
          <w:rtl/>
        </w:rPr>
        <w:t>בעניין:</w:t>
      </w:r>
      <w:r w:rsidRPr="00591BA0">
        <w:rPr>
          <w:b/>
          <w:bCs/>
          <w:rtl/>
        </w:rPr>
        <w:tab/>
      </w:r>
      <w:r w:rsidRPr="00591BA0">
        <w:rPr>
          <w:b/>
          <w:bCs/>
          <w:rtl/>
        </w:rPr>
        <w:tab/>
      </w:r>
      <w:r w:rsidRPr="00591BA0">
        <w:rPr>
          <w:b/>
          <w:bCs/>
          <w:rtl/>
        </w:rPr>
        <w:tab/>
      </w:r>
      <w:r w:rsidRPr="00591BA0">
        <w:rPr>
          <w:b/>
          <w:bCs/>
          <w:rtl/>
        </w:rPr>
        <w:tab/>
        <w:t>שמעון הכסטר</w:t>
      </w:r>
      <w:r w:rsidRPr="00591BA0">
        <w:rPr>
          <w:rtl/>
        </w:rPr>
        <w:t>, ת.ז. 000388587</w:t>
      </w:r>
    </w:p>
    <w:p w:rsidR="00AA4BFC" w:rsidRPr="00591BA0" w:rsidRDefault="00AA4BFC" w:rsidP="00AA4BFC">
      <w:pPr>
        <w:pStyle w:val="40"/>
        <w:spacing w:before="0"/>
        <w:ind w:left="0" w:firstLine="0"/>
        <w:rPr>
          <w:rtl/>
          <w:lang w:eastAsia="en-US"/>
        </w:rPr>
      </w:pPr>
    </w:p>
    <w:p w:rsidR="00AA4BFC" w:rsidRPr="00591BA0" w:rsidRDefault="00AA4BFC" w:rsidP="00AA4BFC">
      <w:pPr>
        <w:pStyle w:val="40"/>
        <w:tabs>
          <w:tab w:val="clear" w:pos="942"/>
        </w:tabs>
        <w:spacing w:before="0"/>
        <w:ind w:left="2160" w:firstLine="0"/>
        <w:rPr>
          <w:rtl/>
          <w:lang w:eastAsia="en-US"/>
        </w:rPr>
      </w:pPr>
      <w:r w:rsidRPr="00591BA0">
        <w:rPr>
          <w:rtl/>
          <w:lang w:eastAsia="en-US"/>
        </w:rPr>
        <w:t xml:space="preserve">ע"י ב"כ עוה"ד </w:t>
      </w:r>
      <w:smartTag w:uri="urn:schemas-microsoft-com:office:smarttags" w:element="PersonName">
        <w:smartTagPr>
          <w:attr w:name="ProductID" w:val="אופיר טל"/>
        </w:smartTagPr>
        <w:r w:rsidRPr="00591BA0">
          <w:rPr>
            <w:rtl/>
            <w:lang w:eastAsia="en-US"/>
          </w:rPr>
          <w:t>אופיר טל</w:t>
        </w:r>
      </w:smartTag>
      <w:r w:rsidRPr="00591BA0">
        <w:rPr>
          <w:rtl/>
          <w:lang w:eastAsia="en-US"/>
        </w:rPr>
        <w:t xml:space="preserve"> ו/או לואיז ספורטס ואח' </w:t>
      </w:r>
    </w:p>
    <w:p w:rsidR="00AA4BFC" w:rsidRPr="00591BA0" w:rsidRDefault="00AA4BFC" w:rsidP="00AA4BFC">
      <w:pPr>
        <w:pStyle w:val="40"/>
        <w:tabs>
          <w:tab w:val="clear" w:pos="942"/>
        </w:tabs>
        <w:spacing w:before="0"/>
        <w:ind w:left="2160" w:firstLine="0"/>
        <w:rPr>
          <w:b/>
          <w:bCs/>
          <w:rtl/>
          <w:lang w:eastAsia="en-US"/>
        </w:rPr>
      </w:pPr>
      <w:r w:rsidRPr="00591BA0">
        <w:rPr>
          <w:b/>
          <w:bCs/>
          <w:rtl/>
          <w:lang w:eastAsia="en-US"/>
        </w:rPr>
        <w:t xml:space="preserve">טל, קדרי, שמיר ושות'- עורכי דין </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t>מרח' וושינגטון 4, ירושלים</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r>
      <w:r w:rsidRPr="00591BA0">
        <w:rPr>
          <w:sz w:val="19"/>
          <w:rtl/>
          <w:lang w:eastAsia="en-US"/>
        </w:rPr>
        <w:t>טל. 02-5674000; פקס. 074-713700</w:t>
      </w:r>
      <w:r w:rsidRPr="00591BA0">
        <w:rPr>
          <w:rtl/>
          <w:lang w:eastAsia="en-US"/>
        </w:rPr>
        <w:t>1</w:t>
      </w:r>
      <w:r w:rsidRPr="00591BA0">
        <w:rPr>
          <w:rtl/>
          <w:lang w:eastAsia="en-US"/>
        </w:rPr>
        <w:tab/>
      </w:r>
      <w:r w:rsidRPr="00591BA0">
        <w:rPr>
          <w:rtl/>
          <w:lang w:eastAsia="en-US"/>
        </w:rPr>
        <w:tab/>
      </w:r>
      <w:r w:rsidRPr="00591BA0">
        <w:rPr>
          <w:rtl/>
          <w:lang w:eastAsia="en-US"/>
        </w:rPr>
        <w:tab/>
      </w:r>
    </w:p>
    <w:p w:rsidR="00AA4BFC" w:rsidRPr="00591BA0" w:rsidRDefault="00AA4BFC" w:rsidP="00AA4BFC">
      <w:pPr>
        <w:pStyle w:val="40"/>
        <w:spacing w:before="0"/>
        <w:ind w:left="0" w:firstLine="0"/>
        <w:jc w:val="right"/>
        <w:rPr>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rtl/>
          <w:lang w:eastAsia="en-US"/>
        </w:rPr>
        <w:tab/>
      </w:r>
      <w:r w:rsidRPr="00591BA0">
        <w:rPr>
          <w:rtl/>
          <w:lang w:eastAsia="en-US"/>
        </w:rPr>
        <w:tab/>
        <w:t xml:space="preserve">                  </w:t>
      </w:r>
      <w:r w:rsidRPr="00591BA0">
        <w:rPr>
          <w:b/>
          <w:bCs/>
          <w:u w:val="single"/>
          <w:rtl/>
          <w:lang w:eastAsia="en-US"/>
        </w:rPr>
        <w:t>המערער</w:t>
      </w:r>
    </w:p>
    <w:p w:rsidR="00AA4BFC" w:rsidRPr="00591BA0" w:rsidRDefault="00AA4BFC" w:rsidP="00AA4BFC">
      <w:pPr>
        <w:pStyle w:val="40"/>
        <w:spacing w:before="0"/>
        <w:ind w:left="0" w:firstLine="0"/>
        <w:rPr>
          <w:rtl/>
          <w:lang w:eastAsia="en-US"/>
        </w:rPr>
      </w:pPr>
    </w:p>
    <w:p w:rsidR="00AA4BFC" w:rsidRPr="00591BA0" w:rsidRDefault="00AA4BFC" w:rsidP="00AA4BFC">
      <w:pPr>
        <w:pStyle w:val="40"/>
        <w:spacing w:before="0"/>
        <w:ind w:left="0" w:firstLine="0"/>
        <w:rPr>
          <w:b/>
          <w:bCs/>
          <w:rtl/>
          <w:lang w:eastAsia="en-US"/>
        </w:rPr>
      </w:pPr>
      <w:r w:rsidRPr="00591BA0">
        <w:rPr>
          <w:b/>
          <w:bCs/>
          <w:rtl/>
          <w:lang w:eastAsia="en-US"/>
        </w:rPr>
        <w:tab/>
      </w:r>
      <w:r w:rsidRPr="00591BA0">
        <w:rPr>
          <w:b/>
          <w:bCs/>
          <w:rtl/>
          <w:lang w:eastAsia="en-US"/>
        </w:rPr>
        <w:tab/>
      </w:r>
      <w:r w:rsidRPr="00591BA0">
        <w:rPr>
          <w:b/>
          <w:bCs/>
          <w:rtl/>
          <w:lang w:eastAsia="en-US"/>
        </w:rPr>
        <w:tab/>
        <w:t>- נ  ג  ד –</w:t>
      </w:r>
    </w:p>
    <w:p w:rsidR="00AA4BFC" w:rsidRPr="00591BA0" w:rsidRDefault="00AA4BFC" w:rsidP="00AA4BFC">
      <w:pPr>
        <w:pStyle w:val="40"/>
        <w:spacing w:before="0"/>
        <w:ind w:left="0" w:firstLine="0"/>
        <w:rPr>
          <w:b/>
          <w:bCs/>
          <w:rtl/>
          <w:lang w:eastAsia="en-US"/>
        </w:rPr>
      </w:pPr>
    </w:p>
    <w:p w:rsidR="00AA4BFC" w:rsidRPr="00591BA0" w:rsidRDefault="00AA4BFC" w:rsidP="00AA4BFC">
      <w:pPr>
        <w:pStyle w:val="40"/>
        <w:spacing w:before="0"/>
        <w:ind w:left="0" w:firstLine="0"/>
        <w:rPr>
          <w:rtl/>
          <w:lang w:eastAsia="en-US"/>
        </w:rPr>
      </w:pP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נציבות שירות המדינה </w:t>
      </w: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מדינת ישראל – משרד האוצר </w:t>
      </w:r>
    </w:p>
    <w:p w:rsidR="00AA4BFC" w:rsidRPr="00591BA0" w:rsidRDefault="00AA4BFC" w:rsidP="00AA4BFC">
      <w:pPr>
        <w:pStyle w:val="40"/>
        <w:numPr>
          <w:ilvl w:val="0"/>
          <w:numId w:val="3"/>
        </w:numPr>
        <w:tabs>
          <w:tab w:val="clear" w:pos="942"/>
        </w:tabs>
        <w:spacing w:before="0"/>
      </w:pPr>
      <w:r w:rsidRPr="00591BA0">
        <w:rPr>
          <w:b/>
          <w:bCs/>
          <w:rtl/>
        </w:rPr>
        <w:t>הממונה על הגימלאות</w:t>
      </w:r>
      <w:r w:rsidRPr="00591BA0" w:rsidDel="00173E98">
        <w:rPr>
          <w:rtl/>
        </w:rPr>
        <w:t xml:space="preserve"> </w:t>
      </w:r>
    </w:p>
    <w:p w:rsidR="00AA4BFC" w:rsidRPr="00591BA0" w:rsidRDefault="00AA4BFC" w:rsidP="00AA4BFC">
      <w:pPr>
        <w:pStyle w:val="40"/>
        <w:tabs>
          <w:tab w:val="clear" w:pos="942"/>
        </w:tabs>
        <w:spacing w:before="0"/>
        <w:ind w:left="2250" w:firstLine="0"/>
        <w:rPr>
          <w:b/>
          <w:bCs/>
          <w:rtl/>
        </w:rPr>
      </w:pPr>
    </w:p>
    <w:p w:rsidR="00AA4BFC" w:rsidRPr="00591BA0" w:rsidRDefault="00AA4BFC" w:rsidP="00AA4BFC">
      <w:pPr>
        <w:pStyle w:val="40"/>
        <w:tabs>
          <w:tab w:val="clear" w:pos="942"/>
        </w:tabs>
        <w:spacing w:before="0"/>
        <w:ind w:left="2250" w:firstLine="0"/>
        <w:rPr>
          <w:rtl/>
        </w:rPr>
      </w:pPr>
      <w:r w:rsidRPr="00591BA0">
        <w:rPr>
          <w:rtl/>
        </w:rPr>
        <w:t xml:space="preserve">שלושתם על ידי </w:t>
      </w:r>
      <w:r w:rsidR="001F542A">
        <w:rPr>
          <w:rFonts w:hint="cs"/>
          <w:rtl/>
        </w:rPr>
        <w:t xml:space="preserve">ב"כ </w:t>
      </w:r>
      <w:r w:rsidRPr="00591BA0">
        <w:rPr>
          <w:rFonts w:hint="cs"/>
          <w:rtl/>
        </w:rPr>
        <w:t>עו</w:t>
      </w:r>
      <w:r w:rsidR="001F542A">
        <w:rPr>
          <w:rFonts w:hint="cs"/>
          <w:rtl/>
        </w:rPr>
        <w:t>ה</w:t>
      </w:r>
      <w:r w:rsidRPr="00591BA0">
        <w:rPr>
          <w:rFonts w:hint="cs"/>
          <w:rtl/>
        </w:rPr>
        <w:t>"ד חן אדרי ואח'</w:t>
      </w:r>
    </w:p>
    <w:p w:rsidR="00AA4BFC" w:rsidRPr="00591BA0" w:rsidRDefault="00AA4BFC" w:rsidP="00AA4BFC">
      <w:pPr>
        <w:pStyle w:val="40"/>
        <w:tabs>
          <w:tab w:val="clear" w:pos="942"/>
        </w:tabs>
        <w:spacing w:before="0"/>
        <w:ind w:left="2250" w:firstLine="0"/>
        <w:rPr>
          <w:rtl/>
        </w:rPr>
      </w:pPr>
      <w:r w:rsidRPr="00591BA0">
        <w:rPr>
          <w:rtl/>
        </w:rPr>
        <w:t xml:space="preserve">פרקליטות </w:t>
      </w:r>
      <w:r w:rsidRPr="00591BA0">
        <w:rPr>
          <w:rFonts w:hint="cs"/>
          <w:rtl/>
        </w:rPr>
        <w:t>המדינה</w:t>
      </w:r>
    </w:p>
    <w:p w:rsidR="00AA4BFC" w:rsidRPr="00591BA0" w:rsidRDefault="00AA4BFC" w:rsidP="00AA4BFC">
      <w:pPr>
        <w:pStyle w:val="40"/>
        <w:tabs>
          <w:tab w:val="clear" w:pos="942"/>
        </w:tabs>
        <w:spacing w:before="0"/>
        <w:ind w:left="2250" w:firstLine="0"/>
        <w:rPr>
          <w:rtl/>
        </w:rPr>
      </w:pPr>
      <w:r w:rsidRPr="00591BA0">
        <w:rPr>
          <w:rFonts w:hint="cs"/>
          <w:rtl/>
        </w:rPr>
        <w:t>רחוב צאלח א-דין</w:t>
      </w:r>
      <w:r w:rsidRPr="00591BA0">
        <w:rPr>
          <w:rtl/>
        </w:rPr>
        <w:t>, ירושלים</w:t>
      </w:r>
    </w:p>
    <w:p w:rsidR="00AA4BFC" w:rsidRPr="00591BA0" w:rsidRDefault="00AA4BFC" w:rsidP="009A6DFF">
      <w:pPr>
        <w:pStyle w:val="11"/>
        <w:spacing w:line="320" w:lineRule="exact"/>
        <w:ind w:left="476" w:hanging="425"/>
        <w:jc w:val="right"/>
        <w:rPr>
          <w:b/>
          <w:bCs/>
          <w:u w:val="single"/>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009A6DFF">
        <w:rPr>
          <w:rFonts w:hint="cs"/>
          <w:b/>
          <w:bCs/>
          <w:u w:val="single"/>
          <w:rtl/>
          <w:lang w:eastAsia="en-US"/>
        </w:rPr>
        <w:t>המשיבות</w:t>
      </w:r>
    </w:p>
    <w:p w:rsidR="00AA4BFC" w:rsidRPr="00591BA0" w:rsidRDefault="00AA4BFC" w:rsidP="00AA4BFC">
      <w:pPr>
        <w:pStyle w:val="11"/>
        <w:spacing w:line="320" w:lineRule="exact"/>
        <w:ind w:left="476" w:hanging="425"/>
        <w:jc w:val="right"/>
        <w:rPr>
          <w:b/>
          <w:bCs/>
          <w:u w:val="single"/>
          <w:rtl/>
          <w:lang w:eastAsia="en-US"/>
        </w:rPr>
      </w:pPr>
    </w:p>
    <w:p w:rsidR="001A415A" w:rsidRPr="00591BA0" w:rsidRDefault="001A415A" w:rsidP="00AA4BFC">
      <w:pPr>
        <w:pStyle w:val="11"/>
        <w:spacing w:line="320" w:lineRule="exact"/>
        <w:ind w:left="476" w:hanging="425"/>
        <w:rPr>
          <w:b/>
          <w:bCs/>
          <w:rtl/>
        </w:rPr>
      </w:pPr>
      <w:r w:rsidRPr="00591BA0">
        <w:rPr>
          <w:b/>
          <w:bCs/>
          <w:rtl/>
        </w:rPr>
        <w:tab/>
      </w:r>
      <w:r w:rsidRPr="00591BA0">
        <w:rPr>
          <w:b/>
          <w:bCs/>
          <w:rtl/>
        </w:rPr>
        <w:tab/>
      </w:r>
      <w:r w:rsidRPr="00591BA0">
        <w:rPr>
          <w:b/>
          <w:bCs/>
          <w:rtl/>
        </w:rPr>
        <w:tab/>
      </w:r>
    </w:p>
    <w:p w:rsidR="009B48BB" w:rsidRPr="00591BA0" w:rsidRDefault="00C40458" w:rsidP="000904E5">
      <w:pPr>
        <w:pStyle w:val="11"/>
        <w:spacing w:after="120" w:line="360" w:lineRule="auto"/>
        <w:ind w:left="720" w:hanging="669"/>
        <w:jc w:val="center"/>
        <w:rPr>
          <w:b/>
          <w:bCs/>
          <w:sz w:val="36"/>
          <w:szCs w:val="36"/>
          <w:u w:val="single"/>
          <w:rtl/>
        </w:rPr>
      </w:pPr>
      <w:r>
        <w:rPr>
          <w:rFonts w:hint="cs"/>
          <w:b/>
          <w:bCs/>
          <w:sz w:val="36"/>
          <w:szCs w:val="36"/>
          <w:u w:val="single"/>
          <w:rtl/>
        </w:rPr>
        <w:t>בקשה לצירוף</w:t>
      </w:r>
      <w:r w:rsidR="001F542A">
        <w:rPr>
          <w:rFonts w:hint="cs"/>
          <w:b/>
          <w:bCs/>
          <w:sz w:val="36"/>
          <w:szCs w:val="36"/>
          <w:u w:val="single"/>
          <w:rtl/>
        </w:rPr>
        <w:t xml:space="preserve"> מוצגים</w:t>
      </w:r>
    </w:p>
    <w:p w:rsidR="001F542A" w:rsidRDefault="00C40458" w:rsidP="00C40458">
      <w:pPr>
        <w:pStyle w:val="a4"/>
        <w:spacing w:after="200" w:line="360" w:lineRule="auto"/>
        <w:ind w:left="44"/>
        <w:jc w:val="both"/>
        <w:rPr>
          <w:rFonts w:cs="David"/>
          <w:rtl/>
        </w:rPr>
      </w:pPr>
      <w:r>
        <w:rPr>
          <w:rFonts w:cs="David" w:hint="cs"/>
          <w:rtl/>
        </w:rPr>
        <w:t>בית הדין הנכבד מתבקש לאפשר למבקש לצרף לתיק הערעור את הפניות שפנה למשיבות בטרם הגשת התביעה בבית הדין קמא, והתשובות שקיבל, וזאת מהטעמים שלהלן:</w:t>
      </w:r>
    </w:p>
    <w:p w:rsidR="000016EB" w:rsidRDefault="000016EB" w:rsidP="000016EB">
      <w:pPr>
        <w:pStyle w:val="a4"/>
        <w:spacing w:after="200" w:line="360" w:lineRule="auto"/>
        <w:ind w:left="44"/>
        <w:jc w:val="both"/>
        <w:rPr>
          <w:rFonts w:cs="David"/>
          <w:b/>
          <w:bCs/>
          <w:u w:val="single"/>
          <w:rtl/>
        </w:rPr>
      </w:pPr>
      <w:r>
        <w:rPr>
          <w:rFonts w:cs="David" w:hint="cs"/>
          <w:b/>
          <w:bCs/>
          <w:u w:val="single"/>
          <w:rtl/>
        </w:rPr>
        <w:t>תצמית הבקשה</w:t>
      </w:r>
    </w:p>
    <w:p w:rsidR="00C40458" w:rsidRDefault="00C40458" w:rsidP="000016EB">
      <w:pPr>
        <w:pStyle w:val="a4"/>
        <w:numPr>
          <w:ilvl w:val="0"/>
          <w:numId w:val="12"/>
        </w:numPr>
        <w:tabs>
          <w:tab w:val="clear" w:pos="8306"/>
          <w:tab w:val="left" w:pos="674"/>
        </w:tabs>
        <w:spacing w:after="200" w:line="360" w:lineRule="auto"/>
        <w:ind w:left="674" w:hanging="630"/>
        <w:jc w:val="both"/>
        <w:rPr>
          <w:rFonts w:cs="David"/>
        </w:rPr>
      </w:pPr>
      <w:r>
        <w:rPr>
          <w:rFonts w:cs="David" w:hint="cs"/>
          <w:rtl/>
        </w:rPr>
        <w:t>המבקש הגיש לבית הדין קמא תביעה בנוגע לגימלה שהוא מקבל ולזכויות אחרות המגיעות לו. בית הדין קמא דחה את התביעה על הסף, ובין היתר קבע כי המבקש לא פירט את מועדי הפניות למשיבות ולא צירף אסמכתאות.</w:t>
      </w:r>
      <w:r w:rsidR="000016EB">
        <w:rPr>
          <w:rFonts w:cs="David" w:hint="cs"/>
          <w:rtl/>
        </w:rPr>
        <w:t xml:space="preserve"> המבקש הגיש ערעור על פסק הדין (הוא הערעור שבכותרת).</w:t>
      </w:r>
    </w:p>
    <w:p w:rsidR="00E96DD0" w:rsidRDefault="000016EB" w:rsidP="00E96DD0">
      <w:pPr>
        <w:pStyle w:val="a4"/>
        <w:tabs>
          <w:tab w:val="clear" w:pos="8306"/>
          <w:tab w:val="left" w:pos="674"/>
        </w:tabs>
        <w:spacing w:after="200" w:line="360" w:lineRule="auto"/>
        <w:ind w:left="674"/>
        <w:jc w:val="both"/>
        <w:rPr>
          <w:rFonts w:cs="David"/>
        </w:rPr>
      </w:pPr>
      <w:r>
        <w:rPr>
          <w:rFonts w:cs="David" w:hint="cs"/>
          <w:rtl/>
        </w:rPr>
        <w:t xml:space="preserve">המבקש סבור, בכל הכבוד, כי שגה בית הדין קמא בעניין זה, מאחר שבכתב התביעה לא היה עליו לפרט את כל מועדי הפניות ובוודאי שלא היה עליו לצרף את האסמכתאות לפניות אלה או את הפניות עצמן. </w:t>
      </w:r>
      <w:r w:rsidRPr="000D2504">
        <w:rPr>
          <w:rFonts w:cs="David" w:hint="cs"/>
          <w:b/>
          <w:bCs/>
          <w:rtl/>
        </w:rPr>
        <w:t>ה</w:t>
      </w:r>
      <w:r w:rsidR="00E96DD0" w:rsidRPr="000D2504">
        <w:rPr>
          <w:rFonts w:cs="David" w:hint="cs"/>
          <w:b/>
          <w:bCs/>
          <w:rtl/>
        </w:rPr>
        <w:t>מבקש</w:t>
      </w:r>
      <w:r w:rsidRPr="000D2504">
        <w:rPr>
          <w:rFonts w:cs="David" w:hint="cs"/>
          <w:b/>
          <w:bCs/>
          <w:rtl/>
        </w:rPr>
        <w:t xml:space="preserve"> הבהיר בכתב תביעתו כי פנה פעמים רבות למשיבו</w:t>
      </w:r>
      <w:r w:rsidR="00E96DD0" w:rsidRPr="000D2504">
        <w:rPr>
          <w:rFonts w:cs="David" w:hint="cs"/>
          <w:b/>
          <w:bCs/>
          <w:rtl/>
        </w:rPr>
        <w:t>ת, כאשר התשובות ניתנו באיחור רב</w:t>
      </w:r>
      <w:r w:rsidR="00E96DD0">
        <w:rPr>
          <w:rFonts w:cs="David" w:hint="cs"/>
          <w:rtl/>
        </w:rPr>
        <w:t xml:space="preserve">. בכך מילא המבקש את חובתו לפירוט במסגרת של כתב תביעה. </w:t>
      </w:r>
    </w:p>
    <w:p w:rsidR="00E96DD0" w:rsidRDefault="00E96DD0" w:rsidP="00E96DD0">
      <w:pPr>
        <w:pStyle w:val="a4"/>
        <w:numPr>
          <w:ilvl w:val="0"/>
          <w:numId w:val="12"/>
        </w:numPr>
        <w:tabs>
          <w:tab w:val="clear" w:pos="8306"/>
          <w:tab w:val="left" w:pos="674"/>
        </w:tabs>
        <w:spacing w:after="200" w:line="360" w:lineRule="auto"/>
        <w:ind w:left="674" w:hanging="630"/>
        <w:jc w:val="both"/>
        <w:rPr>
          <w:rFonts w:cs="David"/>
        </w:rPr>
      </w:pPr>
      <w:r>
        <w:rPr>
          <w:rFonts w:cs="David" w:hint="cs"/>
          <w:rtl/>
        </w:rPr>
        <w:t xml:space="preserve">בוודאי שלא היה מקום לסלק את תביעתו של המבקש על הסף מבלי שניתנה לו ההזדמנות להציג את הראיות שבידיו. ודוק </w:t>
      </w:r>
      <w:r>
        <w:rPr>
          <w:rFonts w:cs="David"/>
          <w:rtl/>
        </w:rPr>
        <w:t>–</w:t>
      </w:r>
      <w:r>
        <w:rPr>
          <w:rFonts w:cs="David" w:hint="cs"/>
          <w:rtl/>
        </w:rPr>
        <w:t xml:space="preserve"> סילוק התביעה על הסף נעשה בטרם החל שלב ההוכחות, ולמעשה אף החל לפני שלב גילוי המסמכים, כך שלמבקש לא ניתנה הזדמנות להציג את ראיותיו בפני בית הדין קמא.</w:t>
      </w:r>
    </w:p>
    <w:p w:rsidR="000016EB" w:rsidRDefault="00E96DD0" w:rsidP="00E96DD0">
      <w:pPr>
        <w:pStyle w:val="a4"/>
        <w:numPr>
          <w:ilvl w:val="0"/>
          <w:numId w:val="12"/>
        </w:numPr>
        <w:tabs>
          <w:tab w:val="clear" w:pos="8306"/>
          <w:tab w:val="left" w:pos="674"/>
        </w:tabs>
        <w:spacing w:after="200" w:line="360" w:lineRule="auto"/>
        <w:ind w:left="674" w:hanging="630"/>
        <w:jc w:val="both"/>
        <w:rPr>
          <w:rFonts w:cs="David"/>
        </w:rPr>
      </w:pPr>
      <w:r>
        <w:rPr>
          <w:rFonts w:cs="David" w:hint="cs"/>
          <w:rtl/>
        </w:rPr>
        <w:t>למען הזהירות, מבקש המערער להציג בפני בית הדין קמא את עשרות הפניות והתשובות, במכתבים ובהודעות דואר אלקטרוני, על מנת שלא יהיה צל צלו של ספק כי אכן כך היה דבר. מכאן הבקשה.</w:t>
      </w:r>
    </w:p>
    <w:p w:rsidR="000016EB" w:rsidRDefault="000016EB" w:rsidP="000016EB">
      <w:pPr>
        <w:pStyle w:val="a4"/>
        <w:tabs>
          <w:tab w:val="clear" w:pos="8306"/>
          <w:tab w:val="left" w:pos="674"/>
        </w:tabs>
        <w:spacing w:after="200" w:line="360" w:lineRule="auto"/>
        <w:ind w:left="674"/>
        <w:jc w:val="both"/>
        <w:rPr>
          <w:rFonts w:cs="David"/>
        </w:rPr>
      </w:pPr>
    </w:p>
    <w:p w:rsidR="001F542A" w:rsidRDefault="00C40458" w:rsidP="00C40458">
      <w:pPr>
        <w:pStyle w:val="a4"/>
        <w:spacing w:after="200" w:line="360" w:lineRule="auto"/>
        <w:ind w:left="44"/>
        <w:jc w:val="both"/>
        <w:rPr>
          <w:rFonts w:cs="David"/>
          <w:b/>
          <w:bCs/>
          <w:u w:val="single"/>
          <w:rtl/>
        </w:rPr>
      </w:pPr>
      <w:r>
        <w:rPr>
          <w:rFonts w:cs="David" w:hint="cs"/>
          <w:b/>
          <w:bCs/>
          <w:u w:val="single"/>
          <w:rtl/>
        </w:rPr>
        <w:t>רקע עובדתי</w:t>
      </w:r>
    </w:p>
    <w:p w:rsidR="00A210B2" w:rsidRDefault="00E96DD0" w:rsidP="00C40458">
      <w:pPr>
        <w:pStyle w:val="a4"/>
        <w:numPr>
          <w:ilvl w:val="0"/>
          <w:numId w:val="12"/>
        </w:numPr>
        <w:tabs>
          <w:tab w:val="clear" w:pos="8306"/>
          <w:tab w:val="left" w:pos="674"/>
        </w:tabs>
        <w:spacing w:after="200" w:line="360" w:lineRule="auto"/>
        <w:ind w:left="674" w:hanging="630"/>
        <w:jc w:val="both"/>
        <w:rPr>
          <w:rFonts w:cs="David"/>
        </w:rPr>
      </w:pPr>
      <w:r>
        <w:rPr>
          <w:rFonts w:cs="David" w:hint="cs"/>
          <w:rtl/>
        </w:rPr>
        <w:t xml:space="preserve">במסגרת כתב התביעה שהגיש המבקש הוא התייחס, בין היתר, לפניותיו הרבות למשיבות ולעיכוב הבלתי נסבל ובלתי מוצדק במתן התשובות לפניותיו. </w:t>
      </w:r>
    </w:p>
    <w:p w:rsidR="00A210B2" w:rsidRDefault="00A210B2" w:rsidP="007F7FC3">
      <w:pPr>
        <w:pStyle w:val="a4"/>
        <w:numPr>
          <w:ilvl w:val="0"/>
          <w:numId w:val="12"/>
        </w:numPr>
        <w:tabs>
          <w:tab w:val="clear" w:pos="8306"/>
          <w:tab w:val="left" w:pos="674"/>
        </w:tabs>
        <w:spacing w:after="200" w:line="360" w:lineRule="auto"/>
        <w:ind w:left="674" w:hanging="630"/>
        <w:jc w:val="both"/>
        <w:rPr>
          <w:rFonts w:cs="David"/>
        </w:rPr>
      </w:pPr>
      <w:r>
        <w:rPr>
          <w:rFonts w:cs="David" w:hint="cs"/>
          <w:rtl/>
        </w:rPr>
        <w:t xml:space="preserve">לדוגמא, בסעיף 7 לכתב התביעה כתב </w:t>
      </w:r>
      <w:r w:rsidR="007F7FC3">
        <w:rPr>
          <w:rFonts w:cs="David" w:hint="cs"/>
          <w:rtl/>
        </w:rPr>
        <w:t xml:space="preserve">המבקש </w:t>
      </w:r>
      <w:r>
        <w:rPr>
          <w:rFonts w:cs="David" w:hint="cs"/>
          <w:rtl/>
        </w:rPr>
        <w:t xml:space="preserve">כי </w:t>
      </w:r>
      <w:r>
        <w:rPr>
          <w:rFonts w:cs="David"/>
          <w:rtl/>
        </w:rPr>
        <w:t>–</w:t>
      </w:r>
      <w:r>
        <w:rPr>
          <w:rFonts w:cs="David" w:hint="cs"/>
          <w:rtl/>
        </w:rPr>
        <w:t xml:space="preserve"> </w:t>
      </w:r>
    </w:p>
    <w:p w:rsidR="00A210B2" w:rsidRDefault="00A210B2" w:rsidP="00A210B2">
      <w:pPr>
        <w:pStyle w:val="a4"/>
        <w:tabs>
          <w:tab w:val="clear" w:pos="8306"/>
          <w:tab w:val="left" w:pos="674"/>
        </w:tabs>
        <w:spacing w:after="200" w:line="360" w:lineRule="auto"/>
        <w:ind w:left="674"/>
        <w:jc w:val="both"/>
        <w:rPr>
          <w:rFonts w:cs="David"/>
        </w:rPr>
      </w:pPr>
      <w:r>
        <w:rPr>
          <w:rFonts w:cs="David" w:hint="cs"/>
          <w:rtl/>
        </w:rPr>
        <w:t>"</w:t>
      </w:r>
      <w:r w:rsidRPr="00A210B2">
        <w:rPr>
          <w:rFonts w:cs="David" w:hint="cs"/>
          <w:i/>
          <w:iCs/>
          <w:rtl/>
        </w:rPr>
        <w:t xml:space="preserve">בתמימותו סבר התובע כי מדובר בטעות שנעשתה בעניינו והיא תתוקן, בלא צורך להטריח את מערכת המשפט. התובע  פעל במשך זמן רב מול הגורמים הרלוונטיים בתקווה לשנות את רוע הגזירה. אלא </w:t>
      </w:r>
      <w:r w:rsidRPr="00A210B2">
        <w:rPr>
          <w:rFonts w:cs="David" w:hint="cs"/>
          <w:b/>
          <w:bCs/>
          <w:i/>
          <w:iCs/>
          <w:rtl/>
        </w:rPr>
        <w:t>שהנתבעות הוסיפו חטא על פשע בעיכוב בלתי מתקבל על הדעת במענה לפניותיו של התובע, ולבסוף דחו אותו ללא כל הצדקה חוקית</w:t>
      </w:r>
      <w:r>
        <w:rPr>
          <w:rFonts w:cs="David" w:hint="cs"/>
          <w:rtl/>
        </w:rPr>
        <w:t xml:space="preserve">" (ההדגשה במקור </w:t>
      </w:r>
      <w:r>
        <w:rPr>
          <w:rFonts w:cs="David"/>
          <w:rtl/>
        </w:rPr>
        <w:t>–</w:t>
      </w:r>
      <w:r>
        <w:rPr>
          <w:rFonts w:cs="David" w:hint="cs"/>
          <w:rtl/>
        </w:rPr>
        <w:t xml:space="preserve"> א.ט.).</w:t>
      </w:r>
    </w:p>
    <w:p w:rsidR="00A210B2" w:rsidRDefault="00A210B2" w:rsidP="00EB6CE1">
      <w:pPr>
        <w:pStyle w:val="a4"/>
        <w:numPr>
          <w:ilvl w:val="0"/>
          <w:numId w:val="12"/>
        </w:numPr>
        <w:tabs>
          <w:tab w:val="clear" w:pos="8306"/>
          <w:tab w:val="left" w:pos="674"/>
        </w:tabs>
        <w:spacing w:after="200" w:line="360" w:lineRule="auto"/>
        <w:ind w:left="674" w:hanging="630"/>
        <w:jc w:val="both"/>
        <w:rPr>
          <w:rFonts w:cs="David"/>
        </w:rPr>
      </w:pPr>
      <w:r w:rsidRPr="00A210B2">
        <w:rPr>
          <w:rFonts w:cs="David" w:hint="cs"/>
          <w:rtl/>
        </w:rPr>
        <w:t>בפרק ב.8. לכתב התביעה, הנושא את הכותרת "</w:t>
      </w:r>
      <w:r w:rsidRPr="00A210B2">
        <w:rPr>
          <w:rFonts w:cs="David" w:hint="cs"/>
          <w:b/>
          <w:bCs/>
          <w:i/>
          <w:iCs/>
          <w:rtl/>
        </w:rPr>
        <w:t>הסחבת הבלתי נסבלת בטיפול בפניותיו של התובע</w:t>
      </w:r>
      <w:r>
        <w:rPr>
          <w:rFonts w:cs="David" w:hint="cs"/>
          <w:b/>
          <w:bCs/>
          <w:i/>
          <w:iCs/>
          <w:rtl/>
        </w:rPr>
        <w:t xml:space="preserve">", </w:t>
      </w:r>
      <w:r w:rsidRPr="00A210B2">
        <w:rPr>
          <w:rFonts w:cs="David" w:hint="cs"/>
          <w:rtl/>
        </w:rPr>
        <w:t xml:space="preserve">התייחס התובע </w:t>
      </w:r>
      <w:r>
        <w:rPr>
          <w:rFonts w:cs="David" w:hint="cs"/>
          <w:rtl/>
        </w:rPr>
        <w:t xml:space="preserve">בייתר פירוט לסוגיה זאת. </w:t>
      </w:r>
    </w:p>
    <w:p w:rsidR="00A210B2" w:rsidRDefault="00A210B2" w:rsidP="007F7FC3">
      <w:pPr>
        <w:pStyle w:val="a4"/>
        <w:tabs>
          <w:tab w:val="clear" w:pos="8306"/>
          <w:tab w:val="left" w:pos="674"/>
        </w:tabs>
        <w:spacing w:after="200" w:line="360" w:lineRule="auto"/>
        <w:ind w:left="674"/>
        <w:jc w:val="both"/>
        <w:rPr>
          <w:rFonts w:cs="David"/>
          <w:rtl/>
        </w:rPr>
      </w:pPr>
      <w:r>
        <w:rPr>
          <w:rFonts w:cs="David" w:hint="cs"/>
          <w:rtl/>
        </w:rPr>
        <w:t xml:space="preserve">כך, בסעיפים 44 ו </w:t>
      </w:r>
      <w:r>
        <w:rPr>
          <w:rFonts w:cs="David"/>
          <w:rtl/>
        </w:rPr>
        <w:t>–</w:t>
      </w:r>
      <w:r>
        <w:rPr>
          <w:rFonts w:cs="David" w:hint="cs"/>
          <w:rtl/>
        </w:rPr>
        <w:t xml:space="preserve"> 45 רישא לכתב התביעה, כתב ה</w:t>
      </w:r>
      <w:r w:rsidR="007F7FC3">
        <w:rPr>
          <w:rFonts w:cs="David" w:hint="cs"/>
          <w:rtl/>
        </w:rPr>
        <w:t>מבקש</w:t>
      </w:r>
      <w:r>
        <w:rPr>
          <w:rFonts w:cs="David" w:hint="cs"/>
          <w:rtl/>
        </w:rPr>
        <w:t xml:space="preserve"> </w:t>
      </w:r>
      <w:r>
        <w:rPr>
          <w:rFonts w:cs="David"/>
          <w:rtl/>
        </w:rPr>
        <w:t>–</w:t>
      </w:r>
      <w:r>
        <w:rPr>
          <w:rFonts w:cs="David" w:hint="cs"/>
          <w:rtl/>
        </w:rPr>
        <w:t xml:space="preserve"> </w:t>
      </w:r>
    </w:p>
    <w:p w:rsidR="00A210B2" w:rsidRPr="00A210B2" w:rsidRDefault="007F7FC3" w:rsidP="00A210B2">
      <w:pPr>
        <w:pStyle w:val="a4"/>
        <w:tabs>
          <w:tab w:val="clear" w:pos="8306"/>
          <w:tab w:val="left" w:pos="674"/>
        </w:tabs>
        <w:spacing w:after="200" w:line="360" w:lineRule="auto"/>
        <w:ind w:left="674"/>
        <w:jc w:val="both"/>
        <w:rPr>
          <w:rFonts w:cs="David"/>
          <w:i/>
          <w:iCs/>
        </w:rPr>
      </w:pPr>
      <w:r>
        <w:rPr>
          <w:rFonts w:cs="David" w:hint="cs"/>
          <w:i/>
          <w:iCs/>
          <w:rtl/>
        </w:rPr>
        <w:t>"</w:t>
      </w:r>
      <w:r w:rsidR="00A210B2">
        <w:rPr>
          <w:rFonts w:cs="David" w:hint="cs"/>
          <w:i/>
          <w:iCs/>
          <w:rtl/>
        </w:rPr>
        <w:t xml:space="preserve">44. </w:t>
      </w:r>
      <w:r w:rsidR="00A210B2" w:rsidRPr="00A210B2">
        <w:rPr>
          <w:rFonts w:cs="David" w:hint="eastAsia"/>
          <w:i/>
          <w:iCs/>
          <w:rtl/>
        </w:rPr>
        <w:t>התובע</w:t>
      </w:r>
      <w:r w:rsidR="00A210B2" w:rsidRPr="00A210B2">
        <w:rPr>
          <w:rFonts w:cs="David"/>
          <w:i/>
          <w:iCs/>
          <w:rtl/>
        </w:rPr>
        <w:t xml:space="preserve">, בתמימותו, האמין כי </w:t>
      </w:r>
      <w:r w:rsidR="00A210B2" w:rsidRPr="00A210B2">
        <w:rPr>
          <w:rFonts w:cs="David" w:hint="eastAsia"/>
          <w:i/>
          <w:iCs/>
          <w:rtl/>
        </w:rPr>
        <w:t>לאחר</w:t>
      </w:r>
      <w:r w:rsidR="00A210B2" w:rsidRPr="00A210B2">
        <w:rPr>
          <w:rFonts w:cs="David"/>
          <w:i/>
          <w:iCs/>
          <w:rtl/>
        </w:rPr>
        <w:t xml:space="preserve"> </w:t>
      </w:r>
      <w:r w:rsidR="00A210B2" w:rsidRPr="00A210B2">
        <w:rPr>
          <w:rFonts w:cs="David" w:hint="eastAsia"/>
          <w:i/>
          <w:iCs/>
          <w:rtl/>
        </w:rPr>
        <w:t>הצגת</w:t>
      </w:r>
      <w:r w:rsidR="00A210B2" w:rsidRPr="00A210B2">
        <w:rPr>
          <w:rFonts w:cs="David"/>
          <w:i/>
          <w:iCs/>
          <w:rtl/>
        </w:rPr>
        <w:t xml:space="preserve"> </w:t>
      </w:r>
      <w:r w:rsidR="00A210B2" w:rsidRPr="00A210B2">
        <w:rPr>
          <w:rFonts w:cs="David" w:hint="eastAsia"/>
          <w:i/>
          <w:iCs/>
          <w:rtl/>
        </w:rPr>
        <w:t>טענותיו</w:t>
      </w:r>
      <w:r w:rsidR="00A210B2" w:rsidRPr="00A210B2">
        <w:rPr>
          <w:rFonts w:cs="David"/>
          <w:i/>
          <w:iCs/>
          <w:rtl/>
        </w:rPr>
        <w:t xml:space="preserve"> </w:t>
      </w:r>
      <w:r w:rsidR="00A210B2" w:rsidRPr="00A210B2">
        <w:rPr>
          <w:rFonts w:cs="David" w:hint="eastAsia"/>
          <w:i/>
          <w:iCs/>
          <w:rtl/>
        </w:rPr>
        <w:t>תתקן</w:t>
      </w:r>
      <w:r w:rsidR="00A210B2" w:rsidRPr="00A210B2">
        <w:rPr>
          <w:rFonts w:cs="David"/>
          <w:i/>
          <w:iCs/>
          <w:rtl/>
        </w:rPr>
        <w:t xml:space="preserve"> </w:t>
      </w:r>
      <w:r w:rsidR="00A210B2" w:rsidRPr="00A210B2">
        <w:rPr>
          <w:rFonts w:cs="David" w:hint="eastAsia"/>
          <w:i/>
          <w:iCs/>
          <w:rtl/>
        </w:rPr>
        <w:t>המדינה</w:t>
      </w:r>
      <w:r w:rsidR="00A210B2" w:rsidRPr="00A210B2">
        <w:rPr>
          <w:rFonts w:cs="David"/>
          <w:i/>
          <w:iCs/>
          <w:rtl/>
        </w:rPr>
        <w:t xml:space="preserve"> </w:t>
      </w:r>
      <w:r w:rsidR="00A210B2" w:rsidRPr="00A210B2">
        <w:rPr>
          <w:rFonts w:cs="David" w:hint="eastAsia"/>
          <w:i/>
          <w:iCs/>
          <w:rtl/>
        </w:rPr>
        <w:t>את</w:t>
      </w:r>
      <w:r w:rsidR="00A210B2" w:rsidRPr="00A210B2">
        <w:rPr>
          <w:rFonts w:cs="David"/>
          <w:i/>
          <w:iCs/>
          <w:rtl/>
        </w:rPr>
        <w:t xml:space="preserve"> </w:t>
      </w:r>
      <w:r w:rsidR="00A210B2" w:rsidRPr="00A210B2">
        <w:rPr>
          <w:rFonts w:cs="David" w:hint="eastAsia"/>
          <w:i/>
          <w:iCs/>
          <w:rtl/>
        </w:rPr>
        <w:t>הטעויות</w:t>
      </w:r>
      <w:r w:rsidR="00A210B2" w:rsidRPr="00A210B2">
        <w:rPr>
          <w:rFonts w:cs="David"/>
          <w:i/>
          <w:iCs/>
          <w:rtl/>
        </w:rPr>
        <w:t xml:space="preserve"> </w:t>
      </w:r>
      <w:r w:rsidR="00A210B2" w:rsidRPr="00A210B2">
        <w:rPr>
          <w:rFonts w:cs="David" w:hint="eastAsia"/>
          <w:i/>
          <w:iCs/>
          <w:rtl/>
        </w:rPr>
        <w:t>שנפלו</w:t>
      </w:r>
      <w:r w:rsidR="00A210B2" w:rsidRPr="00A210B2">
        <w:rPr>
          <w:rFonts w:cs="David"/>
          <w:i/>
          <w:iCs/>
          <w:rtl/>
        </w:rPr>
        <w:t xml:space="preserve"> </w:t>
      </w:r>
      <w:r w:rsidR="00A210B2" w:rsidRPr="00A210B2">
        <w:rPr>
          <w:rFonts w:cs="David" w:hint="eastAsia"/>
          <w:i/>
          <w:iCs/>
          <w:rtl/>
        </w:rPr>
        <w:t>בעניינו</w:t>
      </w:r>
      <w:r w:rsidR="00A210B2" w:rsidRPr="00A210B2">
        <w:rPr>
          <w:rFonts w:cs="David"/>
          <w:i/>
          <w:iCs/>
          <w:rtl/>
        </w:rPr>
        <w:t xml:space="preserve">, </w:t>
      </w:r>
      <w:r w:rsidR="00A210B2" w:rsidRPr="00A210B2">
        <w:rPr>
          <w:rFonts w:cs="David" w:hint="eastAsia"/>
          <w:i/>
          <w:iCs/>
          <w:rtl/>
        </w:rPr>
        <w:t>ללא</w:t>
      </w:r>
      <w:r w:rsidR="00A210B2" w:rsidRPr="00A210B2">
        <w:rPr>
          <w:rFonts w:cs="David"/>
          <w:i/>
          <w:iCs/>
          <w:rtl/>
        </w:rPr>
        <w:t xml:space="preserve"> </w:t>
      </w:r>
      <w:r w:rsidR="00A210B2" w:rsidRPr="00A210B2">
        <w:rPr>
          <w:rFonts w:cs="David" w:hint="eastAsia"/>
          <w:i/>
          <w:iCs/>
          <w:rtl/>
        </w:rPr>
        <w:t>צורך</w:t>
      </w:r>
      <w:r w:rsidR="00A210B2" w:rsidRPr="00A210B2">
        <w:rPr>
          <w:rFonts w:cs="David"/>
          <w:i/>
          <w:iCs/>
          <w:rtl/>
        </w:rPr>
        <w:t xml:space="preserve"> </w:t>
      </w:r>
      <w:r w:rsidR="00A210B2" w:rsidRPr="00A210B2">
        <w:rPr>
          <w:rFonts w:cs="David" w:hint="eastAsia"/>
          <w:i/>
          <w:iCs/>
          <w:rtl/>
        </w:rPr>
        <w:t>בהתערבות</w:t>
      </w:r>
      <w:r w:rsidR="00A210B2" w:rsidRPr="00A210B2">
        <w:rPr>
          <w:rFonts w:cs="David"/>
          <w:i/>
          <w:iCs/>
          <w:rtl/>
        </w:rPr>
        <w:t xml:space="preserve"> </w:t>
      </w:r>
      <w:r w:rsidR="00A210B2" w:rsidRPr="00A210B2">
        <w:rPr>
          <w:rFonts w:cs="David" w:hint="eastAsia"/>
          <w:i/>
          <w:iCs/>
          <w:rtl/>
        </w:rPr>
        <w:t>של</w:t>
      </w:r>
      <w:r w:rsidR="00A210B2" w:rsidRPr="00A210B2">
        <w:rPr>
          <w:rFonts w:cs="David"/>
          <w:i/>
          <w:iCs/>
          <w:rtl/>
        </w:rPr>
        <w:t xml:space="preserve"> </w:t>
      </w:r>
      <w:r w:rsidR="00A210B2" w:rsidRPr="00A210B2">
        <w:rPr>
          <w:rFonts w:cs="David" w:hint="eastAsia"/>
          <w:i/>
          <w:iCs/>
          <w:rtl/>
        </w:rPr>
        <w:t>בתי</w:t>
      </w:r>
      <w:r w:rsidR="00A210B2" w:rsidRPr="00A210B2">
        <w:rPr>
          <w:rFonts w:cs="David"/>
          <w:i/>
          <w:iCs/>
          <w:rtl/>
        </w:rPr>
        <w:t xml:space="preserve"> </w:t>
      </w:r>
      <w:r w:rsidR="00A210B2" w:rsidRPr="00A210B2">
        <w:rPr>
          <w:rFonts w:cs="David" w:hint="eastAsia"/>
          <w:i/>
          <w:iCs/>
          <w:rtl/>
        </w:rPr>
        <w:t>המשפט</w:t>
      </w:r>
      <w:r w:rsidR="00A210B2" w:rsidRPr="00A210B2">
        <w:rPr>
          <w:rFonts w:cs="David"/>
          <w:i/>
          <w:iCs/>
          <w:rtl/>
        </w:rPr>
        <w:t xml:space="preserve">, </w:t>
      </w:r>
      <w:r w:rsidR="00A210B2" w:rsidRPr="00A210B2">
        <w:rPr>
          <w:rFonts w:cs="David" w:hint="eastAsia"/>
          <w:i/>
          <w:iCs/>
          <w:rtl/>
        </w:rPr>
        <w:t>ובהתאם</w:t>
      </w:r>
      <w:r w:rsidR="00A210B2" w:rsidRPr="00A210B2">
        <w:rPr>
          <w:rFonts w:cs="David"/>
          <w:i/>
          <w:iCs/>
          <w:rtl/>
        </w:rPr>
        <w:t xml:space="preserve"> לכך </w:t>
      </w:r>
      <w:r w:rsidR="00A210B2" w:rsidRPr="007F7FC3">
        <w:rPr>
          <w:rFonts w:cs="David" w:hint="eastAsia"/>
          <w:i/>
          <w:iCs/>
          <w:rtl/>
        </w:rPr>
        <w:t>הוא</w:t>
      </w:r>
      <w:r w:rsidR="00A210B2" w:rsidRPr="007F7FC3">
        <w:rPr>
          <w:rFonts w:cs="David"/>
          <w:i/>
          <w:iCs/>
          <w:rtl/>
        </w:rPr>
        <w:t xml:space="preserve"> </w:t>
      </w:r>
      <w:r w:rsidR="00A210B2" w:rsidRPr="007F7FC3">
        <w:rPr>
          <w:rFonts w:cs="David"/>
          <w:i/>
          <w:iCs/>
          <w:u w:val="single"/>
          <w:rtl/>
        </w:rPr>
        <w:t>פנה לכל הגורמים הרלוונטיים</w:t>
      </w:r>
      <w:r w:rsidR="00A210B2" w:rsidRPr="00A210B2">
        <w:rPr>
          <w:rFonts w:cs="David"/>
          <w:i/>
          <w:iCs/>
          <w:rtl/>
        </w:rPr>
        <w:t xml:space="preserve"> על מנת </w:t>
      </w:r>
      <w:r w:rsidR="00A210B2" w:rsidRPr="00A210B2">
        <w:rPr>
          <w:rFonts w:cs="David" w:hint="eastAsia"/>
          <w:i/>
          <w:iCs/>
          <w:rtl/>
        </w:rPr>
        <w:t>למצוא</w:t>
      </w:r>
      <w:r w:rsidR="00A210B2" w:rsidRPr="00A210B2">
        <w:rPr>
          <w:rFonts w:cs="David"/>
          <w:i/>
          <w:iCs/>
          <w:rtl/>
        </w:rPr>
        <w:t xml:space="preserve"> פתרון. </w:t>
      </w:r>
    </w:p>
    <w:p w:rsidR="00A210B2" w:rsidRPr="00A210B2" w:rsidRDefault="007F7FC3" w:rsidP="00A210B2">
      <w:pPr>
        <w:pStyle w:val="a4"/>
        <w:tabs>
          <w:tab w:val="clear" w:pos="8306"/>
          <w:tab w:val="left" w:pos="674"/>
        </w:tabs>
        <w:spacing w:after="200" w:line="360" w:lineRule="auto"/>
        <w:ind w:left="674"/>
        <w:jc w:val="both"/>
        <w:rPr>
          <w:rFonts w:cs="David"/>
        </w:rPr>
      </w:pPr>
      <w:r>
        <w:rPr>
          <w:rFonts w:cs="David" w:hint="cs"/>
          <w:i/>
          <w:iCs/>
          <w:rtl/>
        </w:rPr>
        <w:t xml:space="preserve">45. </w:t>
      </w:r>
      <w:r w:rsidR="00A210B2" w:rsidRPr="007F7FC3">
        <w:rPr>
          <w:rFonts w:cs="David" w:hint="eastAsia"/>
          <w:i/>
          <w:iCs/>
          <w:u w:val="single"/>
          <w:rtl/>
        </w:rPr>
        <w:t>כדי</w:t>
      </w:r>
      <w:r w:rsidR="00A210B2" w:rsidRPr="007F7FC3">
        <w:rPr>
          <w:rFonts w:cs="David"/>
          <w:i/>
          <w:iCs/>
          <w:u w:val="single"/>
          <w:rtl/>
        </w:rPr>
        <w:t xml:space="preserve"> לא להלאות את בית הדין הנכבד, לא נפרט  </w:t>
      </w:r>
      <w:r w:rsidR="00A210B2" w:rsidRPr="007F7FC3">
        <w:rPr>
          <w:rFonts w:cs="David" w:hint="eastAsia"/>
          <w:i/>
          <w:iCs/>
          <w:u w:val="single"/>
          <w:rtl/>
        </w:rPr>
        <w:t>בשלב</w:t>
      </w:r>
      <w:r w:rsidR="00A210B2" w:rsidRPr="007F7FC3">
        <w:rPr>
          <w:rFonts w:cs="David"/>
          <w:i/>
          <w:iCs/>
          <w:u w:val="single"/>
          <w:rtl/>
        </w:rPr>
        <w:t xml:space="preserve"> </w:t>
      </w:r>
      <w:r w:rsidR="00A210B2" w:rsidRPr="007F7FC3">
        <w:rPr>
          <w:rFonts w:cs="David" w:hint="eastAsia"/>
          <w:i/>
          <w:iCs/>
          <w:u w:val="single"/>
          <w:rtl/>
        </w:rPr>
        <w:t>זה</w:t>
      </w:r>
      <w:r w:rsidR="00A210B2" w:rsidRPr="007F7FC3">
        <w:rPr>
          <w:rFonts w:cs="David"/>
          <w:i/>
          <w:iCs/>
          <w:u w:val="single"/>
          <w:rtl/>
        </w:rPr>
        <w:t xml:space="preserve">, </w:t>
      </w:r>
      <w:r w:rsidR="00A210B2" w:rsidRPr="007F7FC3">
        <w:rPr>
          <w:rFonts w:cs="David" w:hint="eastAsia"/>
          <w:i/>
          <w:iCs/>
          <w:u w:val="single"/>
          <w:rtl/>
        </w:rPr>
        <w:t>במסגרת</w:t>
      </w:r>
      <w:r w:rsidR="00A210B2" w:rsidRPr="007F7FC3">
        <w:rPr>
          <w:rFonts w:cs="David"/>
          <w:i/>
          <w:iCs/>
          <w:u w:val="single"/>
          <w:rtl/>
        </w:rPr>
        <w:t xml:space="preserve"> </w:t>
      </w:r>
      <w:r w:rsidR="00A210B2" w:rsidRPr="007F7FC3">
        <w:rPr>
          <w:rFonts w:cs="David" w:hint="eastAsia"/>
          <w:i/>
          <w:iCs/>
          <w:u w:val="single"/>
          <w:rtl/>
        </w:rPr>
        <w:t>כתב</w:t>
      </w:r>
      <w:r w:rsidR="00A210B2" w:rsidRPr="007F7FC3">
        <w:rPr>
          <w:rFonts w:cs="David"/>
          <w:i/>
          <w:iCs/>
          <w:u w:val="single"/>
          <w:rtl/>
        </w:rPr>
        <w:t xml:space="preserve"> </w:t>
      </w:r>
      <w:r w:rsidR="00A210B2" w:rsidRPr="007F7FC3">
        <w:rPr>
          <w:rFonts w:cs="David" w:hint="eastAsia"/>
          <w:i/>
          <w:iCs/>
          <w:u w:val="single"/>
          <w:rtl/>
        </w:rPr>
        <w:t>התביעה</w:t>
      </w:r>
      <w:r w:rsidR="00A210B2" w:rsidRPr="007F7FC3">
        <w:rPr>
          <w:rFonts w:cs="David"/>
          <w:i/>
          <w:iCs/>
          <w:u w:val="single"/>
          <w:rtl/>
        </w:rPr>
        <w:t xml:space="preserve">, </w:t>
      </w:r>
      <w:r w:rsidR="00A210B2" w:rsidRPr="007F7FC3">
        <w:rPr>
          <w:rFonts w:cs="David" w:hint="eastAsia"/>
          <w:i/>
          <w:iCs/>
          <w:u w:val="single"/>
          <w:rtl/>
        </w:rPr>
        <w:t>את</w:t>
      </w:r>
      <w:r w:rsidR="00A210B2" w:rsidRPr="007F7FC3">
        <w:rPr>
          <w:rFonts w:cs="David"/>
          <w:i/>
          <w:iCs/>
          <w:u w:val="single"/>
          <w:rtl/>
        </w:rPr>
        <w:t xml:space="preserve"> כל הפניות הרבות של התובע לנתבע</w:t>
      </w:r>
      <w:r w:rsidR="00A210B2" w:rsidRPr="007F7FC3">
        <w:rPr>
          <w:rFonts w:cs="David" w:hint="eastAsia"/>
          <w:i/>
          <w:iCs/>
          <w:u w:val="single"/>
          <w:rtl/>
        </w:rPr>
        <w:t>ו</w:t>
      </w:r>
      <w:r w:rsidR="00A210B2" w:rsidRPr="007F7FC3">
        <w:rPr>
          <w:rFonts w:cs="David"/>
          <w:i/>
          <w:iCs/>
          <w:u w:val="single"/>
          <w:rtl/>
        </w:rPr>
        <w:t>ת או מי מהן, את ההת</w:t>
      </w:r>
      <w:r w:rsidR="00A210B2" w:rsidRPr="007F7FC3">
        <w:rPr>
          <w:rFonts w:cs="David" w:hint="eastAsia"/>
          <w:i/>
          <w:iCs/>
          <w:u w:val="single"/>
          <w:rtl/>
        </w:rPr>
        <w:t>חמקות</w:t>
      </w:r>
      <w:r w:rsidR="00A210B2" w:rsidRPr="007F7FC3">
        <w:rPr>
          <w:rFonts w:cs="David"/>
          <w:i/>
          <w:iCs/>
          <w:u w:val="single"/>
          <w:rtl/>
        </w:rPr>
        <w:t xml:space="preserve"> השיטתית </w:t>
      </w:r>
      <w:r w:rsidR="00A210B2" w:rsidRPr="007F7FC3">
        <w:rPr>
          <w:rFonts w:cs="David" w:hint="eastAsia"/>
          <w:i/>
          <w:iCs/>
          <w:u w:val="single"/>
          <w:rtl/>
        </w:rPr>
        <w:t>מפניותיו</w:t>
      </w:r>
      <w:r w:rsidR="00A210B2" w:rsidRPr="007F7FC3">
        <w:rPr>
          <w:rFonts w:cs="David"/>
          <w:i/>
          <w:iCs/>
          <w:u w:val="single"/>
          <w:rtl/>
        </w:rPr>
        <w:t xml:space="preserve"> </w:t>
      </w:r>
      <w:r w:rsidR="00A210B2" w:rsidRPr="007F7FC3">
        <w:rPr>
          <w:rFonts w:cs="David" w:hint="eastAsia"/>
          <w:i/>
          <w:iCs/>
          <w:u w:val="single"/>
          <w:rtl/>
        </w:rPr>
        <w:t>וטענותיו</w:t>
      </w:r>
      <w:r w:rsidR="00A210B2" w:rsidRPr="00A210B2">
        <w:rPr>
          <w:rFonts w:cs="David"/>
          <w:i/>
          <w:iCs/>
          <w:rtl/>
        </w:rPr>
        <w:t xml:space="preserve">, </w:t>
      </w:r>
      <w:r w:rsidR="00A210B2" w:rsidRPr="00A210B2">
        <w:rPr>
          <w:rFonts w:cs="David" w:hint="eastAsia"/>
          <w:i/>
          <w:iCs/>
          <w:rtl/>
        </w:rPr>
        <w:t>כמו</w:t>
      </w:r>
      <w:r w:rsidR="00A210B2" w:rsidRPr="00A210B2">
        <w:rPr>
          <w:rFonts w:cs="David"/>
          <w:i/>
          <w:iCs/>
          <w:rtl/>
        </w:rPr>
        <w:t xml:space="preserve"> גם את עגמת הנפש הקשה והמתמשכת שנגרמה לו מתחושת "החיזור אחר הפתחים" ומ</w:t>
      </w:r>
      <w:r w:rsidR="00A210B2" w:rsidRPr="00A210B2">
        <w:rPr>
          <w:rFonts w:cs="David" w:hint="eastAsia"/>
          <w:i/>
          <w:iCs/>
          <w:rtl/>
        </w:rPr>
        <w:t>התגובות</w:t>
      </w:r>
      <w:r w:rsidR="00A210B2" w:rsidRPr="00A210B2">
        <w:rPr>
          <w:rFonts w:cs="David"/>
          <w:i/>
          <w:iCs/>
          <w:rtl/>
        </w:rPr>
        <w:t xml:space="preserve"> </w:t>
      </w:r>
      <w:r w:rsidR="00A210B2" w:rsidRPr="00A210B2">
        <w:rPr>
          <w:rFonts w:cs="David" w:hint="eastAsia"/>
          <w:i/>
          <w:iCs/>
          <w:rtl/>
        </w:rPr>
        <w:t>שקיבל</w:t>
      </w:r>
      <w:r w:rsidR="00A210B2" w:rsidRPr="00A210B2">
        <w:rPr>
          <w:rFonts w:cs="David"/>
          <w:i/>
          <w:iCs/>
          <w:rtl/>
        </w:rPr>
        <w:t xml:space="preserve">, </w:t>
      </w:r>
      <w:r w:rsidR="00A210B2" w:rsidRPr="00A210B2">
        <w:rPr>
          <w:rFonts w:cs="David" w:hint="eastAsia"/>
          <w:i/>
          <w:iCs/>
          <w:rtl/>
        </w:rPr>
        <w:t>שעיקרן</w:t>
      </w:r>
      <w:r w:rsidR="00A210B2" w:rsidRPr="00A210B2">
        <w:rPr>
          <w:rFonts w:cs="David"/>
          <w:i/>
          <w:iCs/>
          <w:rtl/>
        </w:rPr>
        <w:t xml:space="preserve"> "תמתין" </w:t>
      </w:r>
      <w:r w:rsidR="00A210B2" w:rsidRPr="00A210B2">
        <w:rPr>
          <w:rFonts w:cs="David" w:hint="eastAsia"/>
          <w:i/>
          <w:iCs/>
          <w:rtl/>
        </w:rPr>
        <w:t>ו</w:t>
      </w:r>
      <w:r w:rsidR="00A210B2" w:rsidRPr="00A210B2">
        <w:rPr>
          <w:rFonts w:cs="David"/>
          <w:i/>
          <w:iCs/>
          <w:rtl/>
        </w:rPr>
        <w:t xml:space="preserve">"בודקים" </w:t>
      </w:r>
      <w:r w:rsidR="00A210B2" w:rsidRPr="00A210B2">
        <w:rPr>
          <w:rFonts w:cs="David" w:hint="eastAsia"/>
          <w:i/>
          <w:iCs/>
          <w:rtl/>
        </w:rPr>
        <w:t>את</w:t>
      </w:r>
      <w:r w:rsidR="00A210B2" w:rsidRPr="00A210B2">
        <w:rPr>
          <w:rFonts w:cs="David"/>
          <w:i/>
          <w:iCs/>
          <w:rtl/>
        </w:rPr>
        <w:t xml:space="preserve"> </w:t>
      </w:r>
      <w:r w:rsidR="00A210B2" w:rsidRPr="00A210B2">
        <w:rPr>
          <w:rFonts w:cs="David" w:hint="eastAsia"/>
          <w:i/>
          <w:iCs/>
          <w:rtl/>
        </w:rPr>
        <w:t>הנושא</w:t>
      </w:r>
      <w:r w:rsidR="00A210B2" w:rsidRPr="00A210B2">
        <w:rPr>
          <w:rFonts w:cs="David"/>
          <w:i/>
          <w:iCs/>
          <w:rtl/>
        </w:rPr>
        <w:t xml:space="preserve">, </w:t>
      </w:r>
      <w:r w:rsidR="00A210B2" w:rsidRPr="00A210B2">
        <w:rPr>
          <w:rFonts w:cs="David" w:hint="eastAsia"/>
          <w:i/>
          <w:iCs/>
          <w:rtl/>
        </w:rPr>
        <w:t>וזאת</w:t>
      </w:r>
      <w:r w:rsidR="00A210B2" w:rsidRPr="00A210B2">
        <w:rPr>
          <w:rFonts w:cs="David"/>
          <w:i/>
          <w:iCs/>
          <w:rtl/>
        </w:rPr>
        <w:t xml:space="preserve"> </w:t>
      </w:r>
      <w:r w:rsidR="00A210B2" w:rsidRPr="00A210B2">
        <w:rPr>
          <w:rFonts w:cs="David" w:hint="eastAsia"/>
          <w:i/>
          <w:iCs/>
          <w:rtl/>
        </w:rPr>
        <w:t>לאורך</w:t>
      </w:r>
      <w:r w:rsidR="00A210B2" w:rsidRPr="00A210B2">
        <w:rPr>
          <w:rFonts w:cs="David"/>
          <w:i/>
          <w:iCs/>
          <w:rtl/>
        </w:rPr>
        <w:t xml:space="preserve"> </w:t>
      </w:r>
      <w:r w:rsidR="00A210B2" w:rsidRPr="00A210B2">
        <w:rPr>
          <w:rFonts w:cs="David" w:hint="eastAsia"/>
          <w:i/>
          <w:iCs/>
          <w:rtl/>
        </w:rPr>
        <w:t>תקופה</w:t>
      </w:r>
      <w:r w:rsidR="00A210B2" w:rsidRPr="00A210B2">
        <w:rPr>
          <w:rFonts w:cs="David"/>
          <w:i/>
          <w:iCs/>
          <w:rtl/>
        </w:rPr>
        <w:t xml:space="preserve"> </w:t>
      </w:r>
      <w:r w:rsidR="00A210B2" w:rsidRPr="00A210B2">
        <w:rPr>
          <w:rFonts w:cs="David" w:hint="eastAsia"/>
          <w:i/>
          <w:iCs/>
          <w:rtl/>
        </w:rPr>
        <w:t>של</w:t>
      </w:r>
      <w:r w:rsidR="00A210B2" w:rsidRPr="00A210B2">
        <w:rPr>
          <w:rFonts w:cs="David"/>
          <w:i/>
          <w:iCs/>
          <w:rtl/>
        </w:rPr>
        <w:t xml:space="preserve"> </w:t>
      </w:r>
      <w:r w:rsidR="00A210B2" w:rsidRPr="00A210B2">
        <w:rPr>
          <w:rFonts w:cs="David" w:hint="eastAsia"/>
          <w:i/>
          <w:iCs/>
          <w:rtl/>
        </w:rPr>
        <w:t>כ</w:t>
      </w:r>
      <w:r w:rsidR="00A210B2" w:rsidRPr="00A210B2">
        <w:rPr>
          <w:rFonts w:cs="David"/>
          <w:i/>
          <w:iCs/>
          <w:rtl/>
        </w:rPr>
        <w:t xml:space="preserve">-6 </w:t>
      </w:r>
      <w:r w:rsidR="00A210B2" w:rsidRPr="00A210B2">
        <w:rPr>
          <w:rFonts w:cs="David" w:hint="eastAsia"/>
          <w:i/>
          <w:iCs/>
          <w:rtl/>
        </w:rPr>
        <w:t>שנים</w:t>
      </w:r>
      <w:r w:rsidR="00A210B2" w:rsidRPr="00A210B2">
        <w:rPr>
          <w:rFonts w:cs="David"/>
          <w:i/>
          <w:iCs/>
          <w:rtl/>
        </w:rPr>
        <w:t>(!)</w:t>
      </w:r>
      <w:r w:rsidR="00A210B2" w:rsidRPr="00A210B2">
        <w:rPr>
          <w:rFonts w:cs="David"/>
          <w:rtl/>
        </w:rPr>
        <w:t xml:space="preserve">. </w:t>
      </w:r>
      <w:r>
        <w:rPr>
          <w:rFonts w:cs="David" w:hint="cs"/>
          <w:rtl/>
        </w:rPr>
        <w:t xml:space="preserve">...". </w:t>
      </w:r>
      <w:r w:rsidRPr="007F7FC3">
        <w:rPr>
          <w:rFonts w:cs="David" w:hint="cs"/>
          <w:rtl/>
        </w:rPr>
        <w:t xml:space="preserve">(ההדגשות אינן במקור </w:t>
      </w:r>
      <w:r w:rsidRPr="007F7FC3">
        <w:rPr>
          <w:rFonts w:cs="David"/>
          <w:rtl/>
        </w:rPr>
        <w:t>–</w:t>
      </w:r>
      <w:r w:rsidRPr="007F7FC3">
        <w:rPr>
          <w:rFonts w:cs="David" w:hint="cs"/>
          <w:rtl/>
        </w:rPr>
        <w:t xml:space="preserve"> א.ט.).</w:t>
      </w:r>
    </w:p>
    <w:p w:rsidR="007F7FC3" w:rsidRDefault="007F7FC3" w:rsidP="00A210B2">
      <w:pPr>
        <w:pStyle w:val="a4"/>
        <w:numPr>
          <w:ilvl w:val="0"/>
          <w:numId w:val="12"/>
        </w:numPr>
        <w:tabs>
          <w:tab w:val="clear" w:pos="8306"/>
          <w:tab w:val="left" w:pos="674"/>
        </w:tabs>
        <w:spacing w:after="200" w:line="360" w:lineRule="auto"/>
        <w:ind w:left="674" w:hanging="630"/>
        <w:jc w:val="both"/>
        <w:rPr>
          <w:rFonts w:cs="David"/>
        </w:rPr>
      </w:pPr>
      <w:r>
        <w:rPr>
          <w:rFonts w:cs="David" w:hint="cs"/>
          <w:rtl/>
        </w:rPr>
        <w:t xml:space="preserve">בסעיפים 80.2 ו </w:t>
      </w:r>
      <w:r>
        <w:rPr>
          <w:rFonts w:cs="David"/>
          <w:rtl/>
        </w:rPr>
        <w:t>–</w:t>
      </w:r>
      <w:r>
        <w:rPr>
          <w:rFonts w:cs="David" w:hint="cs"/>
          <w:rtl/>
        </w:rPr>
        <w:t xml:space="preserve"> 80.3 הוסיף המבקש </w:t>
      </w:r>
      <w:r>
        <w:rPr>
          <w:rFonts w:cs="David"/>
          <w:rtl/>
        </w:rPr>
        <w:t>–</w:t>
      </w:r>
      <w:r>
        <w:rPr>
          <w:rFonts w:cs="David" w:hint="cs"/>
          <w:rtl/>
        </w:rPr>
        <w:t xml:space="preserve"> </w:t>
      </w:r>
    </w:p>
    <w:p w:rsidR="007F7FC3" w:rsidRPr="007F7FC3" w:rsidRDefault="007F7FC3" w:rsidP="007F7FC3">
      <w:pPr>
        <w:pStyle w:val="a4"/>
        <w:tabs>
          <w:tab w:val="clear" w:pos="8306"/>
          <w:tab w:val="left" w:pos="674"/>
        </w:tabs>
        <w:spacing w:after="200" w:line="360" w:lineRule="auto"/>
        <w:ind w:left="674"/>
        <w:jc w:val="both"/>
        <w:rPr>
          <w:rFonts w:cs="David"/>
          <w:i/>
          <w:iCs/>
        </w:rPr>
      </w:pPr>
      <w:r>
        <w:rPr>
          <w:rFonts w:cs="David" w:hint="cs"/>
          <w:i/>
          <w:iCs/>
          <w:rtl/>
        </w:rPr>
        <w:t xml:space="preserve">"80.2 </w:t>
      </w:r>
      <w:r w:rsidRPr="007F7FC3">
        <w:rPr>
          <w:rFonts w:cs="David" w:hint="cs"/>
          <w:i/>
          <w:iCs/>
          <w:u w:val="single"/>
          <w:rtl/>
        </w:rPr>
        <w:t>התובע פנה עשרות פעמים, ואולי אף למעלה מכך, בפניות חוזרות ונשנות, שלרוב זכו להתעלמות.</w:t>
      </w:r>
      <w:r w:rsidRPr="007F7FC3">
        <w:rPr>
          <w:rFonts w:cs="David" w:hint="cs"/>
          <w:i/>
          <w:iCs/>
          <w:rtl/>
        </w:rPr>
        <w:t xml:space="preserve"> לא כך חשב התובע ליהנות משנות הפנסיה, ולא זאת הדרך בה נדרשת המדינה לפעול בעניינו של כל עובד וגמלאי, ועל אחת כמה וכמה במי ששירת את המדינה תקופה כה ארוכה בתפקידים בכירים.</w:t>
      </w:r>
    </w:p>
    <w:p w:rsidR="007F7FC3" w:rsidRPr="007F7FC3" w:rsidRDefault="007F7FC3" w:rsidP="007F7FC3">
      <w:pPr>
        <w:pStyle w:val="a4"/>
        <w:tabs>
          <w:tab w:val="clear" w:pos="8306"/>
          <w:tab w:val="left" w:pos="674"/>
        </w:tabs>
        <w:spacing w:after="200" w:line="360" w:lineRule="auto"/>
        <w:ind w:left="674"/>
        <w:jc w:val="both"/>
        <w:rPr>
          <w:rFonts w:cs="David"/>
        </w:rPr>
      </w:pPr>
      <w:r>
        <w:rPr>
          <w:rFonts w:cs="David" w:hint="cs"/>
          <w:i/>
          <w:iCs/>
          <w:rtl/>
        </w:rPr>
        <w:t xml:space="preserve">80.3 </w:t>
      </w:r>
      <w:r w:rsidRPr="007F7FC3">
        <w:rPr>
          <w:rFonts w:cs="David" w:hint="eastAsia"/>
          <w:i/>
          <w:iCs/>
          <w:rtl/>
        </w:rPr>
        <w:t>בהקשר</w:t>
      </w:r>
      <w:r w:rsidRPr="007F7FC3">
        <w:rPr>
          <w:rFonts w:cs="David"/>
          <w:i/>
          <w:iCs/>
          <w:rtl/>
        </w:rPr>
        <w:t xml:space="preserve"> לשעות העבודה שהתובע השקיע לא יהיה מיותר להזכיר כי ע"פ נתוני העזר בתלושי השכר  ערך שעת עבודה של התובע (שכר בסיס, לפני תשלומים </w:t>
      </w:r>
      <w:r w:rsidRPr="007F7FC3">
        <w:rPr>
          <w:rFonts w:cs="David" w:hint="eastAsia"/>
          <w:i/>
          <w:iCs/>
          <w:rtl/>
        </w:rPr>
        <w:t>נלו</w:t>
      </w:r>
      <w:r w:rsidRPr="007F7FC3">
        <w:rPr>
          <w:rFonts w:cs="David" w:hint="cs"/>
          <w:i/>
          <w:iCs/>
          <w:rtl/>
        </w:rPr>
        <w:t>ו</w:t>
      </w:r>
      <w:r w:rsidRPr="007F7FC3">
        <w:rPr>
          <w:rFonts w:cs="David" w:hint="eastAsia"/>
          <w:i/>
          <w:iCs/>
          <w:rtl/>
        </w:rPr>
        <w:t>ים</w:t>
      </w:r>
      <w:r w:rsidRPr="007F7FC3">
        <w:rPr>
          <w:rFonts w:cs="David"/>
          <w:i/>
          <w:iCs/>
          <w:rtl/>
        </w:rPr>
        <w:t xml:space="preserve">) </w:t>
      </w:r>
      <w:r w:rsidRPr="007F7FC3">
        <w:rPr>
          <w:rFonts w:cs="David" w:hint="eastAsia"/>
          <w:i/>
          <w:iCs/>
          <w:rtl/>
        </w:rPr>
        <w:t>עולה</w:t>
      </w:r>
      <w:r w:rsidRPr="007F7FC3">
        <w:rPr>
          <w:rFonts w:cs="David"/>
          <w:i/>
          <w:iCs/>
          <w:rtl/>
        </w:rPr>
        <w:t xml:space="preserve"> </w:t>
      </w:r>
      <w:r w:rsidRPr="007F7FC3">
        <w:rPr>
          <w:rFonts w:cs="David" w:hint="eastAsia"/>
          <w:i/>
          <w:iCs/>
          <w:rtl/>
        </w:rPr>
        <w:t>על</w:t>
      </w:r>
      <w:r w:rsidRPr="007F7FC3">
        <w:rPr>
          <w:rFonts w:cs="David"/>
          <w:i/>
          <w:iCs/>
          <w:rtl/>
        </w:rPr>
        <w:t xml:space="preserve"> 200 ₪ לשעה</w:t>
      </w:r>
      <w:r w:rsidRPr="007F7FC3">
        <w:rPr>
          <w:rFonts w:cs="David"/>
          <w:i/>
          <w:iCs/>
          <w:u w:val="single"/>
          <w:rtl/>
        </w:rPr>
        <w:t xml:space="preserve">, </w:t>
      </w:r>
      <w:r w:rsidRPr="007F7FC3">
        <w:rPr>
          <w:rFonts w:cs="David" w:hint="eastAsia"/>
          <w:i/>
          <w:iCs/>
          <w:u w:val="single"/>
          <w:rtl/>
        </w:rPr>
        <w:t>כאשר</w:t>
      </w:r>
      <w:r w:rsidRPr="007F7FC3">
        <w:rPr>
          <w:rFonts w:cs="David"/>
          <w:i/>
          <w:iCs/>
          <w:u w:val="single"/>
          <w:rtl/>
        </w:rPr>
        <w:t xml:space="preserve"> </w:t>
      </w:r>
      <w:r w:rsidRPr="007F7FC3">
        <w:rPr>
          <w:rFonts w:cs="David" w:hint="eastAsia"/>
          <w:i/>
          <w:iCs/>
          <w:u w:val="single"/>
          <w:rtl/>
        </w:rPr>
        <w:t>התובע</w:t>
      </w:r>
      <w:r w:rsidRPr="007F7FC3">
        <w:rPr>
          <w:rFonts w:cs="David"/>
          <w:i/>
          <w:iCs/>
          <w:u w:val="single"/>
          <w:rtl/>
        </w:rPr>
        <w:t xml:space="preserve">  </w:t>
      </w:r>
      <w:r w:rsidRPr="007F7FC3">
        <w:rPr>
          <w:rFonts w:cs="David" w:hint="eastAsia"/>
          <w:i/>
          <w:iCs/>
          <w:u w:val="single"/>
          <w:rtl/>
        </w:rPr>
        <w:t>השקיע</w:t>
      </w:r>
      <w:r w:rsidRPr="007F7FC3">
        <w:rPr>
          <w:rFonts w:cs="David"/>
          <w:i/>
          <w:iCs/>
          <w:u w:val="single"/>
          <w:rtl/>
        </w:rPr>
        <w:t xml:space="preserve"> במהלך שנים </w:t>
      </w:r>
      <w:r w:rsidRPr="007F7FC3">
        <w:rPr>
          <w:rFonts w:cs="David" w:hint="eastAsia"/>
          <w:i/>
          <w:iCs/>
          <w:u w:val="single"/>
          <w:rtl/>
        </w:rPr>
        <w:t>מאות</w:t>
      </w:r>
      <w:r w:rsidRPr="007F7FC3">
        <w:rPr>
          <w:rFonts w:cs="David"/>
          <w:i/>
          <w:iCs/>
          <w:u w:val="single"/>
          <w:rtl/>
        </w:rPr>
        <w:t xml:space="preserve"> </w:t>
      </w:r>
      <w:r w:rsidRPr="007F7FC3">
        <w:rPr>
          <w:rFonts w:cs="David" w:hint="eastAsia"/>
          <w:i/>
          <w:iCs/>
          <w:u w:val="single"/>
          <w:rtl/>
        </w:rPr>
        <w:t>שעות</w:t>
      </w:r>
      <w:r w:rsidRPr="007F7FC3">
        <w:rPr>
          <w:rFonts w:cs="David"/>
          <w:i/>
          <w:iCs/>
          <w:u w:val="single"/>
          <w:rtl/>
        </w:rPr>
        <w:t xml:space="preserve">, </w:t>
      </w:r>
      <w:r w:rsidRPr="007F7FC3">
        <w:rPr>
          <w:rFonts w:cs="David" w:hint="eastAsia"/>
          <w:i/>
          <w:iCs/>
          <w:u w:val="single"/>
          <w:rtl/>
        </w:rPr>
        <w:t>אם</w:t>
      </w:r>
      <w:r w:rsidRPr="007F7FC3">
        <w:rPr>
          <w:rFonts w:cs="David"/>
          <w:i/>
          <w:iCs/>
          <w:u w:val="single"/>
          <w:rtl/>
        </w:rPr>
        <w:t xml:space="preserve"> </w:t>
      </w:r>
      <w:r w:rsidRPr="007F7FC3">
        <w:rPr>
          <w:rFonts w:cs="David" w:hint="eastAsia"/>
          <w:i/>
          <w:iCs/>
          <w:u w:val="single"/>
          <w:rtl/>
        </w:rPr>
        <w:t>לא</w:t>
      </w:r>
      <w:r w:rsidRPr="007F7FC3">
        <w:rPr>
          <w:rFonts w:cs="David"/>
          <w:i/>
          <w:iCs/>
          <w:u w:val="single"/>
          <w:rtl/>
        </w:rPr>
        <w:t xml:space="preserve"> </w:t>
      </w:r>
      <w:r w:rsidRPr="007F7FC3">
        <w:rPr>
          <w:rFonts w:cs="David" w:hint="eastAsia"/>
          <w:i/>
          <w:iCs/>
          <w:u w:val="single"/>
          <w:rtl/>
        </w:rPr>
        <w:t>למעלה</w:t>
      </w:r>
      <w:r w:rsidRPr="007F7FC3">
        <w:rPr>
          <w:rFonts w:cs="David"/>
          <w:i/>
          <w:iCs/>
          <w:u w:val="single"/>
          <w:rtl/>
        </w:rPr>
        <w:t xml:space="preserve"> </w:t>
      </w:r>
      <w:r w:rsidRPr="007F7FC3">
        <w:rPr>
          <w:rFonts w:cs="David" w:hint="eastAsia"/>
          <w:i/>
          <w:iCs/>
          <w:u w:val="single"/>
          <w:rtl/>
        </w:rPr>
        <w:t>מכך</w:t>
      </w:r>
      <w:r w:rsidRPr="007F7FC3">
        <w:rPr>
          <w:rFonts w:cs="David"/>
          <w:i/>
          <w:iCs/>
          <w:u w:val="single"/>
          <w:rtl/>
        </w:rPr>
        <w:t xml:space="preserve">, </w:t>
      </w:r>
      <w:r w:rsidRPr="007F7FC3">
        <w:rPr>
          <w:rFonts w:cs="David" w:hint="eastAsia"/>
          <w:i/>
          <w:iCs/>
          <w:u w:val="single"/>
          <w:rtl/>
        </w:rPr>
        <w:t>בניסיונות</w:t>
      </w:r>
      <w:r w:rsidRPr="007F7FC3">
        <w:rPr>
          <w:rFonts w:cs="David"/>
          <w:i/>
          <w:iCs/>
          <w:u w:val="single"/>
          <w:rtl/>
        </w:rPr>
        <w:t xml:space="preserve"> </w:t>
      </w:r>
      <w:r w:rsidRPr="007F7FC3">
        <w:rPr>
          <w:rFonts w:cs="David" w:hint="eastAsia"/>
          <w:i/>
          <w:iCs/>
          <w:u w:val="single"/>
          <w:rtl/>
        </w:rPr>
        <w:t>לשכנע</w:t>
      </w:r>
      <w:r w:rsidRPr="007F7FC3">
        <w:rPr>
          <w:rFonts w:cs="David"/>
          <w:i/>
          <w:iCs/>
          <w:u w:val="single"/>
          <w:rtl/>
        </w:rPr>
        <w:t xml:space="preserve"> </w:t>
      </w:r>
      <w:r w:rsidRPr="007F7FC3">
        <w:rPr>
          <w:rFonts w:cs="David" w:hint="eastAsia"/>
          <w:i/>
          <w:iCs/>
          <w:u w:val="single"/>
          <w:rtl/>
        </w:rPr>
        <w:t>את</w:t>
      </w:r>
      <w:r w:rsidRPr="007F7FC3">
        <w:rPr>
          <w:rFonts w:cs="David"/>
          <w:i/>
          <w:iCs/>
          <w:u w:val="single"/>
          <w:rtl/>
        </w:rPr>
        <w:t xml:space="preserve"> </w:t>
      </w:r>
      <w:r w:rsidRPr="007F7FC3">
        <w:rPr>
          <w:rFonts w:cs="David" w:hint="eastAsia"/>
          <w:i/>
          <w:iCs/>
          <w:u w:val="single"/>
          <w:rtl/>
        </w:rPr>
        <w:t>המערכת</w:t>
      </w:r>
      <w:r w:rsidRPr="007F7FC3">
        <w:rPr>
          <w:rFonts w:cs="David"/>
          <w:i/>
          <w:iCs/>
          <w:u w:val="single"/>
          <w:rtl/>
        </w:rPr>
        <w:t xml:space="preserve"> </w:t>
      </w:r>
      <w:r w:rsidRPr="007F7FC3">
        <w:rPr>
          <w:rFonts w:cs="David" w:hint="eastAsia"/>
          <w:i/>
          <w:iCs/>
          <w:u w:val="single"/>
          <w:rtl/>
        </w:rPr>
        <w:t>בצדקתו</w:t>
      </w:r>
      <w:r>
        <w:rPr>
          <w:rFonts w:cs="David" w:hint="cs"/>
          <w:i/>
          <w:iCs/>
          <w:rtl/>
        </w:rPr>
        <w:t>".</w:t>
      </w:r>
      <w:r w:rsidRPr="007F7FC3">
        <w:rPr>
          <w:rFonts w:cs="David"/>
          <w:i/>
          <w:iCs/>
          <w:rtl/>
        </w:rPr>
        <w:t xml:space="preserve"> </w:t>
      </w:r>
      <w:r w:rsidRPr="007F7FC3">
        <w:rPr>
          <w:rFonts w:cs="David" w:hint="cs"/>
          <w:rtl/>
        </w:rPr>
        <w:t xml:space="preserve">(ההדגשות אינן במקור </w:t>
      </w:r>
      <w:r w:rsidRPr="007F7FC3">
        <w:rPr>
          <w:rFonts w:cs="David"/>
          <w:rtl/>
        </w:rPr>
        <w:t>–</w:t>
      </w:r>
      <w:r w:rsidRPr="007F7FC3">
        <w:rPr>
          <w:rFonts w:cs="David" w:hint="cs"/>
          <w:rtl/>
        </w:rPr>
        <w:t xml:space="preserve"> א.ט.).</w:t>
      </w:r>
    </w:p>
    <w:p w:rsidR="007F7FC3" w:rsidRPr="007F7FC3" w:rsidRDefault="007F7FC3" w:rsidP="0091080C">
      <w:pPr>
        <w:pStyle w:val="a4"/>
        <w:numPr>
          <w:ilvl w:val="0"/>
          <w:numId w:val="12"/>
        </w:numPr>
        <w:tabs>
          <w:tab w:val="clear" w:pos="8306"/>
          <w:tab w:val="left" w:pos="674"/>
        </w:tabs>
        <w:spacing w:after="200" w:line="360" w:lineRule="auto"/>
        <w:ind w:left="674" w:hanging="630"/>
        <w:jc w:val="both"/>
        <w:rPr>
          <w:rFonts w:asciiTheme="majorBidi" w:hAnsiTheme="majorBidi" w:cstheme="majorBidi"/>
        </w:rPr>
      </w:pPr>
      <w:r w:rsidRPr="007F7FC3">
        <w:rPr>
          <w:rFonts w:cs="David" w:hint="cs"/>
          <w:rtl/>
        </w:rPr>
        <w:t xml:space="preserve">המשיבות הגישו לבית הדין קמא בקשה לסילוק התביעה על הסף, בין היתר בטענות של התיישנות. בית הדין קמא קיבל את הבקשה. בסעיף 44 סיפא לפסק הדין קבע בית הדין קמא, בכל הכבוד </w:t>
      </w:r>
      <w:r w:rsidRPr="007F7FC3">
        <w:rPr>
          <w:rFonts w:cs="David"/>
          <w:rtl/>
        </w:rPr>
        <w:t>–</w:t>
      </w:r>
      <w:r w:rsidRPr="007F7FC3">
        <w:rPr>
          <w:rFonts w:cs="David" w:hint="cs"/>
          <w:rtl/>
        </w:rPr>
        <w:t xml:space="preserve"> בשוגג, את </w:t>
      </w:r>
      <w:r w:rsidRPr="007F7FC3">
        <w:rPr>
          <w:rFonts w:cs="David" w:hint="cs"/>
          <w:rtl/>
        </w:rPr>
        <w:lastRenderedPageBreak/>
        <w:t>הדברים הבאים: "</w:t>
      </w:r>
      <w:r w:rsidRPr="007F7FC3">
        <w:rPr>
          <w:rFonts w:asciiTheme="majorBidi" w:hAnsiTheme="majorBidi" w:cstheme="majorBidi" w:hint="cs"/>
          <w:rtl/>
        </w:rPr>
        <w:t>... התובע לא הציג לפנינו אסמכתאות למכלול הפניות האמורות, לא הבהיר את מועדן, ובפרט לא ציין מתי פנה לנציבות שירות המדינה לראשונה בעניין זה".</w:t>
      </w:r>
    </w:p>
    <w:p w:rsidR="00C40458" w:rsidRPr="00C40458" w:rsidRDefault="00C40458" w:rsidP="00C40458">
      <w:pPr>
        <w:pStyle w:val="a4"/>
        <w:spacing w:after="200" w:line="360" w:lineRule="auto"/>
        <w:ind w:left="44"/>
        <w:jc w:val="both"/>
        <w:rPr>
          <w:rFonts w:cs="David"/>
          <w:b/>
          <w:bCs/>
          <w:u w:val="single"/>
          <w:rtl/>
        </w:rPr>
      </w:pPr>
      <w:r>
        <w:rPr>
          <w:rFonts w:cs="David" w:hint="cs"/>
          <w:b/>
          <w:bCs/>
          <w:u w:val="single"/>
          <w:rtl/>
        </w:rPr>
        <w:t>נימוקי הבקשה</w:t>
      </w:r>
    </w:p>
    <w:p w:rsidR="00023F7F" w:rsidRDefault="0091080C" w:rsidP="0091080C">
      <w:pPr>
        <w:pStyle w:val="a4"/>
        <w:numPr>
          <w:ilvl w:val="0"/>
          <w:numId w:val="12"/>
        </w:numPr>
        <w:tabs>
          <w:tab w:val="clear" w:pos="8306"/>
          <w:tab w:val="left" w:pos="674"/>
        </w:tabs>
        <w:spacing w:after="200" w:line="360" w:lineRule="auto"/>
        <w:ind w:left="674" w:hanging="630"/>
        <w:jc w:val="both"/>
        <w:rPr>
          <w:rFonts w:cs="David"/>
        </w:rPr>
      </w:pPr>
      <w:r>
        <w:rPr>
          <w:rFonts w:cs="David" w:hint="cs"/>
          <w:rtl/>
        </w:rPr>
        <w:t xml:space="preserve">המבקש סבור, בכל הכבוד, שלא היה עליו לצרף את המסמכים האמורים בשלב של הגשת התביעה, וזאת בהתחשב בהוראות תקנות בית הדין לעבודה (סדרי דין), תשנ"ב </w:t>
      </w:r>
      <w:r>
        <w:rPr>
          <w:rFonts w:cs="David"/>
          <w:rtl/>
        </w:rPr>
        <w:t>–</w:t>
      </w:r>
      <w:r w:rsidR="00023F7F">
        <w:rPr>
          <w:rFonts w:cs="David" w:hint="cs"/>
          <w:rtl/>
        </w:rPr>
        <w:t xml:space="preserve"> 1991 (להלן: "</w:t>
      </w:r>
      <w:r w:rsidR="00023F7F">
        <w:rPr>
          <w:rFonts w:cs="David" w:hint="cs"/>
          <w:b/>
          <w:bCs/>
          <w:rtl/>
        </w:rPr>
        <w:t>תקנות סדר הדין</w:t>
      </w:r>
      <w:r w:rsidR="00023F7F">
        <w:rPr>
          <w:rFonts w:cs="David" w:hint="cs"/>
          <w:rtl/>
        </w:rPr>
        <w:t xml:space="preserve">"). </w:t>
      </w:r>
    </w:p>
    <w:p w:rsidR="0091080C" w:rsidRDefault="00023F7F" w:rsidP="00023F7F">
      <w:pPr>
        <w:pStyle w:val="a4"/>
        <w:tabs>
          <w:tab w:val="clear" w:pos="8306"/>
          <w:tab w:val="left" w:pos="674"/>
        </w:tabs>
        <w:spacing w:after="200" w:line="360" w:lineRule="auto"/>
        <w:ind w:left="674"/>
        <w:jc w:val="both"/>
        <w:rPr>
          <w:rFonts w:cs="David"/>
        </w:rPr>
      </w:pPr>
      <w:r>
        <w:rPr>
          <w:rFonts w:cs="David" w:hint="cs"/>
          <w:rtl/>
        </w:rPr>
        <w:t xml:space="preserve">המבקש יוסיף ויטען כי בהתאם לתקנות סדר הדין היה עליו לפרט את </w:t>
      </w:r>
      <w:r>
        <w:rPr>
          <w:rFonts w:cs="David"/>
          <w:rtl/>
        </w:rPr>
        <w:t>–</w:t>
      </w:r>
      <w:r>
        <w:rPr>
          <w:rFonts w:cs="David" w:hint="cs"/>
          <w:rtl/>
        </w:rPr>
        <w:t xml:space="preserve"> "</w:t>
      </w:r>
      <w:r>
        <w:rPr>
          <w:rFonts w:ascii="FrankRuehl" w:hAnsi="FrankRuehl" w:cs="FrankRuehl"/>
          <w:color w:val="000000"/>
          <w:sz w:val="26"/>
          <w:szCs w:val="26"/>
          <w:rtl/>
        </w:rPr>
        <w:t>העובדות המהוות עילת התובענה, ואימתי נולדה</w:t>
      </w:r>
      <w:r>
        <w:rPr>
          <w:rFonts w:ascii="FrankRuehl" w:hAnsi="FrankRuehl" w:cs="FrankRuehl" w:hint="cs"/>
          <w:color w:val="000000"/>
          <w:sz w:val="26"/>
          <w:szCs w:val="26"/>
          <w:rtl/>
        </w:rPr>
        <w:t xml:space="preserve">" </w:t>
      </w:r>
      <w:r w:rsidRPr="00023F7F">
        <w:rPr>
          <w:rFonts w:cs="David" w:hint="cs"/>
          <w:rtl/>
        </w:rPr>
        <w:t>והוא עשה כן</w:t>
      </w:r>
      <w:r>
        <w:rPr>
          <w:rFonts w:cs="David" w:hint="cs"/>
          <w:rtl/>
        </w:rPr>
        <w:t>. מאחר שהבקשה דנן אינה עוסקת בשאלה זאת, לא נכביר מלים מעבר לכך</w:t>
      </w:r>
      <w:r w:rsidRPr="00023F7F">
        <w:rPr>
          <w:rFonts w:cs="David" w:hint="cs"/>
          <w:rtl/>
        </w:rPr>
        <w:t>.</w:t>
      </w:r>
      <w:r>
        <w:rPr>
          <w:rFonts w:ascii="FrankRuehl" w:hAnsi="FrankRuehl" w:cs="FrankRuehl" w:hint="cs"/>
          <w:color w:val="000000"/>
          <w:sz w:val="26"/>
          <w:szCs w:val="26"/>
          <w:rtl/>
        </w:rPr>
        <w:t xml:space="preserve"> </w:t>
      </w:r>
    </w:p>
    <w:p w:rsidR="00023F7F" w:rsidRDefault="00023F7F" w:rsidP="0091080C">
      <w:pPr>
        <w:pStyle w:val="a4"/>
        <w:numPr>
          <w:ilvl w:val="0"/>
          <w:numId w:val="12"/>
        </w:numPr>
        <w:tabs>
          <w:tab w:val="clear" w:pos="8306"/>
          <w:tab w:val="left" w:pos="674"/>
        </w:tabs>
        <w:spacing w:after="200" w:line="360" w:lineRule="auto"/>
        <w:ind w:left="674" w:hanging="630"/>
        <w:jc w:val="both"/>
        <w:rPr>
          <w:rFonts w:cs="David"/>
        </w:rPr>
      </w:pPr>
      <w:r>
        <w:rPr>
          <w:rFonts w:cs="David" w:hint="cs"/>
          <w:rtl/>
        </w:rPr>
        <w:t>על כן, ועל מנת שההכרעה בתיק, שלפי בית הדין קמא התבססה בין היתר על אי הצגת ראיותיו, לא תתקבל מבלי שאלה הוצגו בפני בית הדין הנכבד, יבקש המערער כי בית הדין הנכבד יאפשר לו להציג את עשרות הפניות, שכוללת פניות במכתבים, בסיכומי ישיבות ובאמצעות דואר אלקטרוני, וזאת על מנת שהתמונה המלאה תהיה בפני בית הדין הנכבד.</w:t>
      </w:r>
    </w:p>
    <w:p w:rsidR="00023F7F" w:rsidRDefault="00023F7F" w:rsidP="0091080C">
      <w:pPr>
        <w:pStyle w:val="a4"/>
        <w:numPr>
          <w:ilvl w:val="0"/>
          <w:numId w:val="12"/>
        </w:numPr>
        <w:tabs>
          <w:tab w:val="clear" w:pos="8306"/>
          <w:tab w:val="left" w:pos="674"/>
        </w:tabs>
        <w:spacing w:after="200" w:line="360" w:lineRule="auto"/>
        <w:ind w:left="674" w:hanging="630"/>
        <w:jc w:val="both"/>
        <w:rPr>
          <w:rFonts w:cs="David"/>
        </w:rPr>
      </w:pPr>
      <w:r>
        <w:rPr>
          <w:rFonts w:cs="David" w:hint="cs"/>
          <w:rtl/>
        </w:rPr>
        <w:t xml:space="preserve">מבלי לגרוע מטענותיו כי שגה בית הדין קמא כאשר עסק בסוגית הראיות במסגרת בקשה של סילוק על הסף, </w:t>
      </w:r>
      <w:r w:rsidR="00A36EAA">
        <w:rPr>
          <w:rFonts w:cs="David" w:hint="cs"/>
          <w:rtl/>
        </w:rPr>
        <w:t xml:space="preserve">המערער יוסיף ויטען בעניין זה </w:t>
      </w:r>
      <w:r>
        <w:rPr>
          <w:rFonts w:cs="David" w:hint="cs"/>
          <w:rtl/>
        </w:rPr>
        <w:t>כדלקמן:</w:t>
      </w:r>
    </w:p>
    <w:p w:rsidR="00A36EAA" w:rsidRDefault="00A36EAA" w:rsidP="00A36EAA">
      <w:pPr>
        <w:pStyle w:val="a4"/>
        <w:numPr>
          <w:ilvl w:val="1"/>
          <w:numId w:val="12"/>
        </w:numPr>
        <w:tabs>
          <w:tab w:val="clear" w:pos="4153"/>
          <w:tab w:val="clear" w:pos="8306"/>
          <w:tab w:val="left" w:pos="1304"/>
        </w:tabs>
        <w:spacing w:after="200" w:line="360" w:lineRule="auto"/>
        <w:ind w:left="1304" w:hanging="630"/>
        <w:jc w:val="both"/>
        <w:rPr>
          <w:rFonts w:cs="David"/>
        </w:rPr>
      </w:pPr>
      <w:r>
        <w:rPr>
          <w:rFonts w:cs="David" w:hint="cs"/>
          <w:rtl/>
        </w:rPr>
        <w:t xml:space="preserve">סילוק התביעה </w:t>
      </w:r>
      <w:r w:rsidRPr="00625C48">
        <w:rPr>
          <w:rFonts w:cs="David" w:hint="cs"/>
          <w:b/>
          <w:bCs/>
          <w:u w:val="single"/>
          <w:rtl/>
        </w:rPr>
        <w:t>על הסף</w:t>
      </w:r>
      <w:r>
        <w:rPr>
          <w:rFonts w:cs="David" w:hint="cs"/>
          <w:rtl/>
        </w:rPr>
        <w:t xml:space="preserve"> נעשה בטרם הגיע שלב הגשת הראיות, ולכן, הלכה למעשה, </w:t>
      </w:r>
      <w:r w:rsidRPr="00A36EAA">
        <w:rPr>
          <w:rFonts w:cs="David" w:hint="cs"/>
          <w:b/>
          <w:bCs/>
          <w:rtl/>
        </w:rPr>
        <w:t>למבקש לא ניתנה הזדמנות להציגן בטרם ניתן פסק דינו של בית הדין קמא.</w:t>
      </w:r>
      <w:r>
        <w:rPr>
          <w:rFonts w:cs="David" w:hint="cs"/>
          <w:rtl/>
        </w:rPr>
        <w:t xml:space="preserve"> </w:t>
      </w:r>
    </w:p>
    <w:p w:rsidR="00A36EAA" w:rsidRDefault="00A36EAA" w:rsidP="00A36EAA">
      <w:pPr>
        <w:pStyle w:val="a4"/>
        <w:numPr>
          <w:ilvl w:val="1"/>
          <w:numId w:val="12"/>
        </w:numPr>
        <w:tabs>
          <w:tab w:val="clear" w:pos="4153"/>
          <w:tab w:val="clear" w:pos="8306"/>
          <w:tab w:val="left" w:pos="1304"/>
        </w:tabs>
        <w:spacing w:after="200" w:line="360" w:lineRule="auto"/>
        <w:ind w:left="1304" w:hanging="630"/>
        <w:jc w:val="both"/>
        <w:rPr>
          <w:rFonts w:cs="David"/>
        </w:rPr>
      </w:pPr>
      <w:r>
        <w:rPr>
          <w:rFonts w:cs="David" w:hint="cs"/>
          <w:rtl/>
        </w:rPr>
        <w:t xml:space="preserve">סילוק התביעה </w:t>
      </w:r>
      <w:r w:rsidRPr="00625C48">
        <w:rPr>
          <w:rFonts w:cs="David" w:hint="cs"/>
          <w:b/>
          <w:bCs/>
          <w:u w:val="single"/>
          <w:rtl/>
        </w:rPr>
        <w:t>על הסף</w:t>
      </w:r>
      <w:r>
        <w:rPr>
          <w:rFonts w:cs="David" w:hint="cs"/>
          <w:rtl/>
        </w:rPr>
        <w:t xml:space="preserve"> </w:t>
      </w:r>
      <w:r w:rsidRPr="00A36EAA">
        <w:rPr>
          <w:rFonts w:cs="David" w:hint="cs"/>
          <w:b/>
          <w:bCs/>
          <w:rtl/>
        </w:rPr>
        <w:t>מבלי שניתנה ל</w:t>
      </w:r>
      <w:r>
        <w:rPr>
          <w:rFonts w:cs="David" w:hint="cs"/>
          <w:b/>
          <w:bCs/>
          <w:rtl/>
        </w:rPr>
        <w:t>מבקש</w:t>
      </w:r>
      <w:r w:rsidRPr="00A36EAA">
        <w:rPr>
          <w:rFonts w:cs="David" w:hint="cs"/>
          <w:b/>
          <w:bCs/>
          <w:rtl/>
        </w:rPr>
        <w:t xml:space="preserve"> הזדמנות להציג את ראיותיו</w:t>
      </w:r>
      <w:r>
        <w:rPr>
          <w:rFonts w:cs="David" w:hint="cs"/>
          <w:rtl/>
        </w:rPr>
        <w:t xml:space="preserve">, ואף בטרם שלב גילוי המסמכים, יוצר </w:t>
      </w:r>
      <w:r w:rsidRPr="00A36EAA">
        <w:rPr>
          <w:rFonts w:cs="David" w:hint="cs"/>
          <w:b/>
          <w:bCs/>
          <w:rtl/>
        </w:rPr>
        <w:t>אי צדק ממשי, ופוגע קשות בזכות הגישה של המבקש לערכאות</w:t>
      </w:r>
      <w:r>
        <w:rPr>
          <w:rFonts w:cs="David" w:hint="cs"/>
          <w:rtl/>
        </w:rPr>
        <w:t xml:space="preserve">, זכות שהוכרה כזכות יסוד במשפטנו. </w:t>
      </w:r>
    </w:p>
    <w:p w:rsidR="00A36EAA" w:rsidRDefault="00A36EAA" w:rsidP="00625C48">
      <w:pPr>
        <w:pStyle w:val="a4"/>
        <w:tabs>
          <w:tab w:val="clear" w:pos="4153"/>
          <w:tab w:val="clear" w:pos="8306"/>
          <w:tab w:val="left" w:pos="1304"/>
        </w:tabs>
        <w:spacing w:after="200" w:line="360" w:lineRule="auto"/>
        <w:ind w:left="1304"/>
        <w:jc w:val="both"/>
        <w:rPr>
          <w:rFonts w:cs="David"/>
        </w:rPr>
      </w:pPr>
      <w:r w:rsidRPr="00625C48">
        <w:rPr>
          <w:rFonts w:cs="David" w:hint="cs"/>
          <w:rtl/>
        </w:rPr>
        <w:t>מאחר שסוגיית "האסמכתאות" היתה חלק מההכרעה של בית הדין קמא, יש מקום לאפשר למערער להציג אסמכתאות אלה, שלא ניתנה לו הזדמנות להציגן עד כה.</w:t>
      </w:r>
    </w:p>
    <w:p w:rsidR="00625C48" w:rsidRDefault="00625C48" w:rsidP="00625C48">
      <w:pPr>
        <w:pStyle w:val="a4"/>
        <w:numPr>
          <w:ilvl w:val="1"/>
          <w:numId w:val="12"/>
        </w:numPr>
        <w:tabs>
          <w:tab w:val="clear" w:pos="4153"/>
          <w:tab w:val="clear" w:pos="8306"/>
          <w:tab w:val="left" w:pos="1304"/>
        </w:tabs>
        <w:spacing w:after="200" w:line="360" w:lineRule="auto"/>
        <w:ind w:left="1304" w:hanging="630"/>
        <w:jc w:val="both"/>
        <w:rPr>
          <w:rFonts w:cs="David"/>
        </w:rPr>
      </w:pPr>
      <w:r>
        <w:rPr>
          <w:rFonts w:cs="David" w:hint="cs"/>
          <w:rtl/>
        </w:rPr>
        <w:t>כידוע, הגשת ראיות חדשות יכולה להיעשות בכל שלב, לרבות בשלב הערעור, כאשר בית הדין קמא בוחן את הסיבה לאי הגשת הראיות והרלבנטיות שלהן:</w:t>
      </w:r>
    </w:p>
    <w:p w:rsidR="00625C48" w:rsidRDefault="00625C48" w:rsidP="00DC5EA6">
      <w:pPr>
        <w:pStyle w:val="a4"/>
        <w:numPr>
          <w:ilvl w:val="0"/>
          <w:numId w:val="14"/>
        </w:numPr>
        <w:tabs>
          <w:tab w:val="clear" w:pos="4153"/>
          <w:tab w:val="clear" w:pos="8306"/>
          <w:tab w:val="left" w:pos="1304"/>
        </w:tabs>
        <w:spacing w:after="200" w:line="360" w:lineRule="auto"/>
        <w:jc w:val="both"/>
        <w:rPr>
          <w:rFonts w:cs="David"/>
        </w:rPr>
      </w:pPr>
      <w:r w:rsidRPr="00625C48">
        <w:rPr>
          <w:rFonts w:cs="David" w:hint="cs"/>
          <w:rtl/>
        </w:rPr>
        <w:t xml:space="preserve">אי הגשת הראיות בבית הדין קמא לא נבעה ממחדל או טעות של המבקש. נהפוך הוא </w:t>
      </w:r>
      <w:r w:rsidRPr="00625C48">
        <w:rPr>
          <w:rFonts w:cs="David"/>
          <w:rtl/>
        </w:rPr>
        <w:t>–</w:t>
      </w:r>
      <w:r w:rsidRPr="00625C48">
        <w:rPr>
          <w:rFonts w:cs="David" w:hint="cs"/>
          <w:rtl/>
        </w:rPr>
        <w:t xml:space="preserve"> המבקש הבהיר שבכוונתו להציג את הראיות במועד המתאים (שלב הגשת הראיות) והוא אינו מצרפן או מאזכר את כולן, על מנת שלא להלאות את בית הדין קמא. </w:t>
      </w:r>
    </w:p>
    <w:p w:rsidR="00625C48" w:rsidRDefault="00625C48" w:rsidP="00625C48">
      <w:pPr>
        <w:pStyle w:val="a4"/>
        <w:tabs>
          <w:tab w:val="clear" w:pos="4153"/>
          <w:tab w:val="clear" w:pos="8306"/>
          <w:tab w:val="left" w:pos="1304"/>
        </w:tabs>
        <w:spacing w:after="200" w:line="360" w:lineRule="auto"/>
        <w:ind w:left="1664"/>
        <w:jc w:val="both"/>
        <w:rPr>
          <w:rFonts w:cs="David"/>
        </w:rPr>
      </w:pPr>
      <w:r>
        <w:rPr>
          <w:rFonts w:cs="David" w:hint="cs"/>
          <w:rtl/>
        </w:rPr>
        <w:t xml:space="preserve">למעשה, </w:t>
      </w:r>
      <w:r w:rsidRPr="00625C48">
        <w:rPr>
          <w:rFonts w:cs="David" w:hint="cs"/>
          <w:rtl/>
        </w:rPr>
        <w:t>ראיות אלה הפכו לרלבנטיות רק לאחר הכרעת בית</w:t>
      </w:r>
      <w:r>
        <w:rPr>
          <w:rFonts w:cs="David" w:hint="cs"/>
          <w:rtl/>
        </w:rPr>
        <w:t xml:space="preserve"> הדין קמא; </w:t>
      </w:r>
    </w:p>
    <w:p w:rsidR="00625C48" w:rsidRDefault="00625C48" w:rsidP="00DC5EA6">
      <w:pPr>
        <w:pStyle w:val="a4"/>
        <w:numPr>
          <w:ilvl w:val="0"/>
          <w:numId w:val="14"/>
        </w:numPr>
        <w:tabs>
          <w:tab w:val="clear" w:pos="4153"/>
          <w:tab w:val="clear" w:pos="8306"/>
          <w:tab w:val="left" w:pos="1304"/>
        </w:tabs>
        <w:spacing w:after="200" w:line="360" w:lineRule="auto"/>
        <w:jc w:val="both"/>
        <w:rPr>
          <w:rFonts w:cs="David"/>
        </w:rPr>
      </w:pPr>
      <w:r>
        <w:rPr>
          <w:rFonts w:cs="David" w:hint="cs"/>
          <w:rtl/>
        </w:rPr>
        <w:t xml:space="preserve">הרלבנטיות של הראיות נובעת מהחלטתו של בית הדין קמא, שבפסיקתו קבע כי אי הצגתן פועלת נגד המבקש (אף שכאמור </w:t>
      </w:r>
      <w:r>
        <w:rPr>
          <w:rFonts w:cs="David"/>
          <w:rtl/>
        </w:rPr>
        <w:t>–</w:t>
      </w:r>
      <w:r>
        <w:rPr>
          <w:rFonts w:cs="David" w:hint="cs"/>
          <w:rtl/>
        </w:rPr>
        <w:t xml:space="preserve"> כלל לא הגיע המועד להציגן).</w:t>
      </w:r>
    </w:p>
    <w:p w:rsidR="000D2504" w:rsidRDefault="000D2504" w:rsidP="000D2504">
      <w:pPr>
        <w:pStyle w:val="a4"/>
        <w:numPr>
          <w:ilvl w:val="0"/>
          <w:numId w:val="12"/>
        </w:numPr>
        <w:tabs>
          <w:tab w:val="clear" w:pos="8306"/>
          <w:tab w:val="left" w:pos="674"/>
        </w:tabs>
        <w:spacing w:after="200" w:line="360" w:lineRule="auto"/>
        <w:ind w:left="674" w:hanging="630"/>
        <w:jc w:val="both"/>
        <w:rPr>
          <w:rFonts w:cs="David"/>
        </w:rPr>
      </w:pPr>
      <w:r>
        <w:rPr>
          <w:rFonts w:cs="David" w:hint="cs"/>
          <w:rtl/>
        </w:rPr>
        <w:lastRenderedPageBreak/>
        <w:t xml:space="preserve">בשולי הדברים נוסיף ונעיר כי המשיבות אינן מתכחשות לכך שהמערער אכן פנה פעמים רבות לגורמים שונים במדינה (ראו סעיפים 14 ו </w:t>
      </w:r>
      <w:r>
        <w:rPr>
          <w:rFonts w:cs="David"/>
          <w:rtl/>
        </w:rPr>
        <w:t>–</w:t>
      </w:r>
      <w:r>
        <w:rPr>
          <w:rFonts w:cs="David" w:hint="cs"/>
          <w:rtl/>
        </w:rPr>
        <w:t xml:space="preserve"> 49 לסיכומי טענותיהן של המשיבות), כך שמדובר במסמכים המוכרים להן, ונמצאים ברשותן.</w:t>
      </w:r>
    </w:p>
    <w:p w:rsidR="000D2504" w:rsidRDefault="000D2504" w:rsidP="000D2504">
      <w:pPr>
        <w:pStyle w:val="a4"/>
        <w:tabs>
          <w:tab w:val="clear" w:pos="8306"/>
          <w:tab w:val="left" w:pos="674"/>
        </w:tabs>
        <w:spacing w:after="200" w:line="360" w:lineRule="auto"/>
        <w:ind w:left="674"/>
        <w:jc w:val="both"/>
        <w:rPr>
          <w:rFonts w:cs="David"/>
          <w:rtl/>
        </w:rPr>
      </w:pPr>
    </w:p>
    <w:p w:rsidR="000D2504" w:rsidRDefault="000D2504" w:rsidP="000D2504">
      <w:pPr>
        <w:pStyle w:val="a4"/>
        <w:tabs>
          <w:tab w:val="clear" w:pos="8306"/>
          <w:tab w:val="left" w:pos="674"/>
        </w:tabs>
        <w:spacing w:after="200" w:line="360" w:lineRule="auto"/>
        <w:ind w:left="674"/>
        <w:jc w:val="both"/>
        <w:rPr>
          <w:rFonts w:cs="David"/>
        </w:rPr>
      </w:pPr>
    </w:p>
    <w:p w:rsidR="000D2504" w:rsidRDefault="00625C48" w:rsidP="00625C48">
      <w:pPr>
        <w:pStyle w:val="a4"/>
        <w:numPr>
          <w:ilvl w:val="0"/>
          <w:numId w:val="12"/>
        </w:numPr>
        <w:tabs>
          <w:tab w:val="clear" w:pos="8306"/>
          <w:tab w:val="left" w:pos="674"/>
        </w:tabs>
        <w:spacing w:after="200" w:line="360" w:lineRule="auto"/>
        <w:ind w:left="674" w:hanging="630"/>
        <w:jc w:val="both"/>
        <w:rPr>
          <w:rFonts w:cs="David"/>
        </w:rPr>
      </w:pPr>
      <w:r>
        <w:rPr>
          <w:rFonts w:cs="David" w:hint="cs"/>
          <w:rtl/>
        </w:rPr>
        <w:t>מהאמור לעיל עולה כי המבקש פעל בהתאם לכללים ולתקנות סדר הדין, וכי פסיקת בית הדין קמא פגעה בזכויותיו</w:t>
      </w:r>
      <w:r w:rsidR="000D2504">
        <w:rPr>
          <w:rFonts w:cs="David" w:hint="cs"/>
          <w:rtl/>
        </w:rPr>
        <w:t>, והדברים נכתבים בכל הזהירות הנדרשות ובכל הכבוד לבית הדין קמא</w:t>
      </w:r>
      <w:r>
        <w:rPr>
          <w:rFonts w:cs="David" w:hint="cs"/>
          <w:rtl/>
        </w:rPr>
        <w:t xml:space="preserve">. </w:t>
      </w:r>
    </w:p>
    <w:p w:rsidR="00625C48" w:rsidRDefault="00625C48" w:rsidP="000D2504">
      <w:pPr>
        <w:pStyle w:val="a4"/>
        <w:tabs>
          <w:tab w:val="clear" w:pos="8306"/>
          <w:tab w:val="left" w:pos="674"/>
        </w:tabs>
        <w:spacing w:after="200" w:line="360" w:lineRule="auto"/>
        <w:ind w:left="674"/>
        <w:jc w:val="both"/>
        <w:rPr>
          <w:rFonts w:cs="David"/>
          <w:rtl/>
        </w:rPr>
      </w:pPr>
      <w:r>
        <w:rPr>
          <w:rFonts w:cs="David" w:hint="cs"/>
          <w:rtl/>
        </w:rPr>
        <w:t>לפיכך, וככל שבית הדין הנכבד סבור שיש רלבנטיות לפניותיו של המערער ולתשובות שקיבל, בשלב של דיון בסילוק על הסף, יש מקום לאפשר למערער להגיש אותן, על מנת שתהיה בפני בית הדין הנכבד התמונה המלאה בעניין זה.</w:t>
      </w:r>
    </w:p>
    <w:p w:rsidR="000D2504" w:rsidRDefault="000D2504" w:rsidP="000D2504">
      <w:pPr>
        <w:pStyle w:val="a4"/>
        <w:tabs>
          <w:tab w:val="clear" w:pos="8306"/>
          <w:tab w:val="left" w:pos="674"/>
        </w:tabs>
        <w:spacing w:after="200" w:line="360" w:lineRule="auto"/>
        <w:ind w:left="674"/>
        <w:jc w:val="both"/>
        <w:rPr>
          <w:rFonts w:cs="David"/>
        </w:rPr>
      </w:pPr>
      <w:r>
        <w:rPr>
          <w:rFonts w:cs="David" w:hint="cs"/>
          <w:rtl/>
        </w:rPr>
        <w:t>למען הסדר הטוב יודגש כי המסמכים מצורפים במעטפה סגורה, ולא ייסרקו למערכת נט המשפט.</w:t>
      </w:r>
    </w:p>
    <w:p w:rsidR="00023F7F" w:rsidRDefault="00023F7F" w:rsidP="005B0AA3">
      <w:pPr>
        <w:pStyle w:val="a4"/>
        <w:spacing w:after="240" w:line="360" w:lineRule="auto"/>
        <w:jc w:val="both"/>
        <w:rPr>
          <w:rFonts w:cs="David"/>
          <w:rtl/>
        </w:rPr>
      </w:pPr>
    </w:p>
    <w:p w:rsidR="00023F7F" w:rsidRPr="00A36EAA" w:rsidRDefault="00A36EAA" w:rsidP="00A36EAA">
      <w:pPr>
        <w:pStyle w:val="a4"/>
        <w:tabs>
          <w:tab w:val="clear" w:pos="4153"/>
          <w:tab w:val="left" w:pos="674"/>
        </w:tabs>
        <w:spacing w:after="240" w:line="360" w:lineRule="auto"/>
        <w:jc w:val="both"/>
        <w:rPr>
          <w:rFonts w:cs="David"/>
          <w:b/>
          <w:bCs/>
          <w:rtl/>
        </w:rPr>
      </w:pPr>
      <w:r>
        <w:rPr>
          <w:rFonts w:cs="David"/>
          <w:b/>
          <w:bCs/>
          <w:rtl/>
        </w:rPr>
        <w:tab/>
      </w:r>
      <w:r>
        <w:rPr>
          <w:rFonts w:cs="David"/>
          <w:b/>
          <w:bCs/>
          <w:rtl/>
        </w:rPr>
        <w:tab/>
      </w:r>
      <w:r w:rsidR="00023F7F" w:rsidRPr="00A36EAA">
        <w:rPr>
          <w:rFonts w:cs="David" w:hint="cs"/>
          <w:b/>
          <w:bCs/>
          <w:rtl/>
        </w:rPr>
        <w:t>אשר על כן, מתבקש בית הדין קמא לקבל את הבקשה, ולחייב את המשיבות בהוצאותיו</w:t>
      </w:r>
      <w:r>
        <w:rPr>
          <w:rFonts w:cs="David" w:hint="cs"/>
          <w:b/>
          <w:bCs/>
          <w:rtl/>
        </w:rPr>
        <w:t>, לרבות שכר טרחת עורכי דינו</w:t>
      </w:r>
      <w:r w:rsidR="00023F7F" w:rsidRPr="00A36EAA">
        <w:rPr>
          <w:rFonts w:cs="David" w:hint="cs"/>
          <w:b/>
          <w:bCs/>
          <w:rtl/>
        </w:rPr>
        <w:t>.</w:t>
      </w:r>
    </w:p>
    <w:p w:rsidR="00023F7F" w:rsidRPr="00591BA0" w:rsidRDefault="00023F7F" w:rsidP="005B0AA3">
      <w:pPr>
        <w:pStyle w:val="a4"/>
        <w:spacing w:after="240" w:line="360" w:lineRule="auto"/>
        <w:jc w:val="both"/>
        <w:rPr>
          <w:rFonts w:cs="David"/>
          <w:rtl/>
        </w:rPr>
      </w:pPr>
    </w:p>
    <w:p w:rsidR="00237069" w:rsidRPr="00591BA0" w:rsidRDefault="00237069" w:rsidP="000D2504">
      <w:pPr>
        <w:pStyle w:val="22"/>
        <w:tabs>
          <w:tab w:val="center" w:pos="-2268"/>
          <w:tab w:val="left" w:pos="631"/>
        </w:tabs>
        <w:spacing w:before="120"/>
        <w:ind w:left="0" w:right="0" w:firstLine="0"/>
        <w:rPr>
          <w:b/>
          <w:bCs/>
          <w:noProof w:val="0"/>
          <w:rtl/>
        </w:rPr>
      </w:pPr>
      <w:r w:rsidRPr="00591BA0">
        <w:rPr>
          <w:b/>
          <w:bCs/>
          <w:noProof w:val="0"/>
          <w:rtl/>
        </w:rPr>
        <w:t xml:space="preserve">ירושלים, היום, </w:t>
      </w:r>
      <w:r w:rsidR="000D2504">
        <w:rPr>
          <w:rFonts w:hint="cs"/>
          <w:b/>
          <w:bCs/>
          <w:noProof w:val="0"/>
          <w:rtl/>
        </w:rPr>
        <w:t>30</w:t>
      </w:r>
      <w:r w:rsidRPr="00591BA0">
        <w:rPr>
          <w:b/>
          <w:bCs/>
          <w:noProof w:val="0"/>
          <w:rtl/>
        </w:rPr>
        <w:t xml:space="preserve"> </w:t>
      </w:r>
      <w:r w:rsidRPr="00591BA0">
        <w:rPr>
          <w:rFonts w:hint="eastAsia"/>
          <w:b/>
          <w:bCs/>
          <w:noProof w:val="0"/>
          <w:rtl/>
        </w:rPr>
        <w:t>ב</w:t>
      </w:r>
      <w:r w:rsidR="001F542A">
        <w:rPr>
          <w:rFonts w:hint="cs"/>
          <w:b/>
          <w:bCs/>
          <w:noProof w:val="0"/>
          <w:rtl/>
        </w:rPr>
        <w:t>דצמבר</w:t>
      </w:r>
      <w:r w:rsidRPr="00591BA0">
        <w:rPr>
          <w:b/>
          <w:bCs/>
          <w:noProof w:val="0"/>
          <w:rtl/>
        </w:rPr>
        <w:t xml:space="preserve"> 2020.</w:t>
      </w:r>
    </w:p>
    <w:p w:rsidR="00237069" w:rsidRPr="00591BA0" w:rsidRDefault="00237069" w:rsidP="00237069">
      <w:pPr>
        <w:pStyle w:val="22"/>
        <w:tabs>
          <w:tab w:val="center" w:pos="-2268"/>
          <w:tab w:val="left" w:pos="631"/>
        </w:tabs>
        <w:spacing w:before="0"/>
        <w:ind w:left="509" w:right="0"/>
        <w:rPr>
          <w:b/>
          <w:bCs/>
          <w:noProof w:val="0"/>
          <w:rtl/>
        </w:rPr>
      </w:pPr>
    </w:p>
    <w:p w:rsidR="00237069" w:rsidRPr="00591BA0" w:rsidRDefault="00237069" w:rsidP="00237069">
      <w:pPr>
        <w:pStyle w:val="22"/>
        <w:tabs>
          <w:tab w:val="center" w:pos="-2268"/>
          <w:tab w:val="left" w:pos="631"/>
        </w:tabs>
        <w:spacing w:before="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237069" w:rsidRPr="00591BA0" w:rsidRDefault="00237069" w:rsidP="00237069">
      <w:pPr>
        <w:pStyle w:val="22"/>
        <w:tabs>
          <w:tab w:val="center" w:pos="-2268"/>
          <w:tab w:val="left" w:pos="631"/>
        </w:tabs>
        <w:spacing w:before="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r w:rsidRPr="00591BA0">
        <w:rPr>
          <w:rFonts w:hint="eastAsia"/>
          <w:noProof w:val="0"/>
          <w:rtl/>
        </w:rPr>
        <w:t>קדרי</w:t>
      </w:r>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237069" w:rsidRPr="00591BA0" w:rsidRDefault="00237069" w:rsidP="00237069">
      <w:pPr>
        <w:pStyle w:val="22"/>
        <w:tabs>
          <w:tab w:val="center" w:pos="-2268"/>
          <w:tab w:val="left" w:pos="631"/>
        </w:tabs>
        <w:spacing w:before="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sectPr w:rsidR="00237069" w:rsidRPr="00591BA0" w:rsidSect="00834CC8">
      <w:headerReference w:type="even" r:id="rId8"/>
      <w:headerReference w:type="default" r:id="rId9"/>
      <w:pgSz w:w="11906" w:h="16838" w:code="9"/>
      <w:pgMar w:top="1440" w:right="1152" w:bottom="1440" w:left="1440" w:header="576" w:footer="576"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66B" w:rsidRDefault="00F9166B">
      <w:r>
        <w:separator/>
      </w:r>
    </w:p>
  </w:endnote>
  <w:endnote w:type="continuationSeparator" w:id="0">
    <w:p w:rsidR="00F9166B" w:rsidRDefault="00F9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Ruehl">
    <w:altName w:val="Times New Roman"/>
    <w:panose1 w:val="020E0503060101010101"/>
    <w:charset w:val="00"/>
    <w:family w:val="swiss"/>
    <w:pitch w:val="variable"/>
    <w:sig w:usb0="00000000"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66B" w:rsidRDefault="00F9166B">
      <w:r>
        <w:separator/>
      </w:r>
    </w:p>
  </w:footnote>
  <w:footnote w:type="continuationSeparator" w:id="0">
    <w:p w:rsidR="00F9166B" w:rsidRDefault="00F9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2477FB" w:rsidRDefault="002477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CD32F4">
      <w:rPr>
        <w:rStyle w:val="ac"/>
        <w:noProof/>
        <w:rtl/>
      </w:rPr>
      <w:t>3</w:t>
    </w:r>
    <w:r>
      <w:rPr>
        <w:rStyle w:val="ac"/>
        <w:rtl/>
      </w:rPr>
      <w:fldChar w:fldCharType="end"/>
    </w:r>
  </w:p>
  <w:p w:rsidR="002477FB" w:rsidRDefault="002477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7C"/>
    <w:multiLevelType w:val="hybridMultilevel"/>
    <w:tmpl w:val="4606D068"/>
    <w:lvl w:ilvl="0" w:tplc="469EB1B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C295E69"/>
    <w:multiLevelType w:val="hybridMultilevel"/>
    <w:tmpl w:val="0BDAFE26"/>
    <w:lvl w:ilvl="0" w:tplc="CA3E4240">
      <w:start w:val="45"/>
      <w:numFmt w:val="bullet"/>
      <w:lvlText w:val="-"/>
      <w:lvlJc w:val="left"/>
      <w:pPr>
        <w:ind w:left="1664" w:hanging="360"/>
      </w:pPr>
      <w:rPr>
        <w:rFonts w:ascii="David" w:eastAsia="Times New Roman" w:hAnsi="David" w:cs="David"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5" w15:restartNumberingAfterBreak="0">
    <w:nsid w:val="39F52ECF"/>
    <w:multiLevelType w:val="multilevel"/>
    <w:tmpl w:val="090ECB46"/>
    <w:lvl w:ilvl="0">
      <w:start w:val="1"/>
      <w:numFmt w:val="decimal"/>
      <w:lvlText w:val="%1."/>
      <w:lvlJc w:val="left"/>
      <w:pPr>
        <w:tabs>
          <w:tab w:val="num" w:pos="1800"/>
        </w:tabs>
        <w:ind w:left="1800" w:right="36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right="792" w:hanging="432"/>
      </w:pPr>
      <w:rPr>
        <w:b w:val="0"/>
        <w:bCs w:val="0"/>
      </w:rPr>
    </w:lvl>
    <w:lvl w:ilvl="2">
      <w:start w:val="1"/>
      <w:numFmt w:val="decimal"/>
      <w:lvlText w:val="%1.%2.%3."/>
      <w:lvlJc w:val="left"/>
      <w:pPr>
        <w:tabs>
          <w:tab w:val="num" w:pos="1800"/>
        </w:tabs>
        <w:ind w:left="1584" w:right="1224" w:hanging="504"/>
      </w:pPr>
    </w:lvl>
    <w:lvl w:ilvl="3">
      <w:start w:val="1"/>
      <w:numFmt w:val="decimal"/>
      <w:lvlText w:val="%1.%2.%3.%4."/>
      <w:lvlJc w:val="left"/>
      <w:pPr>
        <w:tabs>
          <w:tab w:val="num" w:pos="2160"/>
        </w:tabs>
        <w:ind w:left="2088" w:right="1728" w:hanging="648"/>
      </w:pPr>
    </w:lvl>
    <w:lvl w:ilvl="4">
      <w:start w:val="1"/>
      <w:numFmt w:val="decimal"/>
      <w:lvlText w:val="%1.%2.%3.%4.%5."/>
      <w:lvlJc w:val="left"/>
      <w:pPr>
        <w:tabs>
          <w:tab w:val="num" w:pos="2880"/>
        </w:tabs>
        <w:ind w:left="2592" w:right="2232" w:hanging="792"/>
      </w:pPr>
    </w:lvl>
    <w:lvl w:ilvl="5">
      <w:start w:val="1"/>
      <w:numFmt w:val="decimal"/>
      <w:lvlText w:val="%1.%2.%3.%4.%5.%6."/>
      <w:lvlJc w:val="left"/>
      <w:pPr>
        <w:tabs>
          <w:tab w:val="num" w:pos="3240"/>
        </w:tabs>
        <w:ind w:left="3096" w:right="2736" w:hanging="936"/>
      </w:pPr>
    </w:lvl>
    <w:lvl w:ilvl="6">
      <w:start w:val="1"/>
      <w:numFmt w:val="decimal"/>
      <w:lvlText w:val="%1.%2.%3.%4.%5.%6.%7."/>
      <w:lvlJc w:val="left"/>
      <w:pPr>
        <w:tabs>
          <w:tab w:val="num" w:pos="3960"/>
        </w:tabs>
        <w:ind w:left="3600" w:right="3240" w:hanging="1080"/>
      </w:pPr>
    </w:lvl>
    <w:lvl w:ilvl="7">
      <w:start w:val="1"/>
      <w:numFmt w:val="decimal"/>
      <w:lvlText w:val="%1.%2.%3.%4.%5.%6.%7.%8."/>
      <w:lvlJc w:val="left"/>
      <w:pPr>
        <w:tabs>
          <w:tab w:val="num" w:pos="4320"/>
        </w:tabs>
        <w:ind w:left="4104" w:right="3744" w:hanging="1224"/>
      </w:pPr>
    </w:lvl>
    <w:lvl w:ilvl="8">
      <w:numFmt w:val="none"/>
      <w:lvlText w:val=""/>
      <w:lvlJc w:val="left"/>
      <w:pPr>
        <w:tabs>
          <w:tab w:val="num" w:pos="720"/>
        </w:tabs>
      </w:pPr>
    </w:lvl>
  </w:abstractNum>
  <w:abstractNum w:abstractNumId="6" w15:restartNumberingAfterBreak="0">
    <w:nsid w:val="411869D4"/>
    <w:multiLevelType w:val="hybridMultilevel"/>
    <w:tmpl w:val="B596A93C"/>
    <w:lvl w:ilvl="0" w:tplc="F106F536">
      <w:start w:val="1"/>
      <w:numFmt w:val="bullet"/>
      <w:lvlText w:val="-"/>
      <w:lvlJc w:val="left"/>
      <w:pPr>
        <w:ind w:left="990" w:hanging="360"/>
      </w:pPr>
      <w:rPr>
        <w:rFonts w:ascii="David" w:eastAsia="Times New Roman" w:hAnsi="David" w:cs="David"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3624057"/>
    <w:multiLevelType w:val="hybridMultilevel"/>
    <w:tmpl w:val="A1CC79EE"/>
    <w:lvl w:ilvl="0" w:tplc="699AB808">
      <w:start w:val="4"/>
      <w:numFmt w:val="bullet"/>
      <w:lvlText w:val="-"/>
      <w:lvlJc w:val="left"/>
      <w:pPr>
        <w:ind w:left="1350" w:hanging="360"/>
      </w:pPr>
      <w:rPr>
        <w:rFonts w:ascii="David" w:eastAsia="Times New Roman" w:hAnsi="David" w:cs="David" w:hint="default"/>
        <w:b/>
        <w:u w:val="singl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9" w15:restartNumberingAfterBreak="0">
    <w:nsid w:val="483F6323"/>
    <w:multiLevelType w:val="hybridMultilevel"/>
    <w:tmpl w:val="D9B48FDC"/>
    <w:lvl w:ilvl="0" w:tplc="7E1C6DDA">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0"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E764EE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3"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10"/>
  </w:num>
  <w:num w:numId="2">
    <w:abstractNumId w:val="1"/>
  </w:num>
  <w:num w:numId="3">
    <w:abstractNumId w:val="13"/>
  </w:num>
  <w:num w:numId="4">
    <w:abstractNumId w:val="8"/>
  </w:num>
  <w:num w:numId="5">
    <w:abstractNumId w:val="2"/>
  </w:num>
  <w:num w:numId="6">
    <w:abstractNumId w:val="12"/>
  </w:num>
  <w:num w:numId="7">
    <w:abstractNumId w:val="0"/>
  </w:num>
  <w:num w:numId="8">
    <w:abstractNumId w:val="9"/>
  </w:num>
  <w:num w:numId="9">
    <w:abstractNumId w:val="6"/>
  </w:num>
  <w:num w:numId="10">
    <w:abstractNumId w:val="3"/>
  </w:num>
  <w:num w:numId="11">
    <w:abstractNumId w:val="7"/>
  </w:num>
  <w:num w:numId="12">
    <w:abstractNumId w:val="11"/>
  </w:num>
  <w:num w:numId="13">
    <w:abstractNumId w:val="5"/>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6EB"/>
    <w:rsid w:val="0000179D"/>
    <w:rsid w:val="0000250F"/>
    <w:rsid w:val="00002ADC"/>
    <w:rsid w:val="00004E72"/>
    <w:rsid w:val="00006CB7"/>
    <w:rsid w:val="000075A9"/>
    <w:rsid w:val="000117DD"/>
    <w:rsid w:val="0001738D"/>
    <w:rsid w:val="00021172"/>
    <w:rsid w:val="00021B25"/>
    <w:rsid w:val="00023F7F"/>
    <w:rsid w:val="00026909"/>
    <w:rsid w:val="000316EA"/>
    <w:rsid w:val="00034FF4"/>
    <w:rsid w:val="000354CC"/>
    <w:rsid w:val="00037BB1"/>
    <w:rsid w:val="000405D0"/>
    <w:rsid w:val="000424B8"/>
    <w:rsid w:val="000451CA"/>
    <w:rsid w:val="00045433"/>
    <w:rsid w:val="00046B9D"/>
    <w:rsid w:val="000524FA"/>
    <w:rsid w:val="00053FA6"/>
    <w:rsid w:val="000553B0"/>
    <w:rsid w:val="00056C02"/>
    <w:rsid w:val="00057EF8"/>
    <w:rsid w:val="0006117A"/>
    <w:rsid w:val="000639F4"/>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34D5"/>
    <w:rsid w:val="000A3B87"/>
    <w:rsid w:val="000A76F3"/>
    <w:rsid w:val="000B20AC"/>
    <w:rsid w:val="000B2E51"/>
    <w:rsid w:val="000B480C"/>
    <w:rsid w:val="000B56AB"/>
    <w:rsid w:val="000B6FEB"/>
    <w:rsid w:val="000C2393"/>
    <w:rsid w:val="000D0471"/>
    <w:rsid w:val="000D04D6"/>
    <w:rsid w:val="000D2504"/>
    <w:rsid w:val="000D2DB0"/>
    <w:rsid w:val="000D6E0C"/>
    <w:rsid w:val="000E1EA5"/>
    <w:rsid w:val="000E2BCE"/>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1400"/>
    <w:rsid w:val="0012175D"/>
    <w:rsid w:val="00124814"/>
    <w:rsid w:val="00125CB5"/>
    <w:rsid w:val="001306F9"/>
    <w:rsid w:val="001313BE"/>
    <w:rsid w:val="00132012"/>
    <w:rsid w:val="001409E7"/>
    <w:rsid w:val="00145445"/>
    <w:rsid w:val="00145EC7"/>
    <w:rsid w:val="00147F2A"/>
    <w:rsid w:val="001500BD"/>
    <w:rsid w:val="00152315"/>
    <w:rsid w:val="00152A00"/>
    <w:rsid w:val="00152B42"/>
    <w:rsid w:val="00156219"/>
    <w:rsid w:val="001563CC"/>
    <w:rsid w:val="00156400"/>
    <w:rsid w:val="001615DD"/>
    <w:rsid w:val="00162D88"/>
    <w:rsid w:val="00167DF0"/>
    <w:rsid w:val="001705DA"/>
    <w:rsid w:val="00173E98"/>
    <w:rsid w:val="001763F6"/>
    <w:rsid w:val="00176D16"/>
    <w:rsid w:val="00177B37"/>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1104"/>
    <w:rsid w:val="001B21E4"/>
    <w:rsid w:val="001B3A4D"/>
    <w:rsid w:val="001B3CDE"/>
    <w:rsid w:val="001B750D"/>
    <w:rsid w:val="001B77C6"/>
    <w:rsid w:val="001C4413"/>
    <w:rsid w:val="001C57AA"/>
    <w:rsid w:val="001C7046"/>
    <w:rsid w:val="001D0395"/>
    <w:rsid w:val="001D11F2"/>
    <w:rsid w:val="001D5FE3"/>
    <w:rsid w:val="001D7262"/>
    <w:rsid w:val="001E1E01"/>
    <w:rsid w:val="001E362D"/>
    <w:rsid w:val="001E4F99"/>
    <w:rsid w:val="001E51CA"/>
    <w:rsid w:val="001E5CA8"/>
    <w:rsid w:val="001F13F6"/>
    <w:rsid w:val="001F1871"/>
    <w:rsid w:val="001F1DAC"/>
    <w:rsid w:val="001F2643"/>
    <w:rsid w:val="001F275B"/>
    <w:rsid w:val="001F37BE"/>
    <w:rsid w:val="001F49BA"/>
    <w:rsid w:val="001F542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37069"/>
    <w:rsid w:val="00240167"/>
    <w:rsid w:val="0024236F"/>
    <w:rsid w:val="0024719A"/>
    <w:rsid w:val="002477FB"/>
    <w:rsid w:val="00252246"/>
    <w:rsid w:val="0025458D"/>
    <w:rsid w:val="00255A87"/>
    <w:rsid w:val="002564D5"/>
    <w:rsid w:val="00260381"/>
    <w:rsid w:val="00260DD7"/>
    <w:rsid w:val="00262792"/>
    <w:rsid w:val="0026383D"/>
    <w:rsid w:val="002654B3"/>
    <w:rsid w:val="00274D64"/>
    <w:rsid w:val="00275E60"/>
    <w:rsid w:val="002802F5"/>
    <w:rsid w:val="0028058C"/>
    <w:rsid w:val="00280CF4"/>
    <w:rsid w:val="0028436C"/>
    <w:rsid w:val="00285537"/>
    <w:rsid w:val="00285BA6"/>
    <w:rsid w:val="002907C4"/>
    <w:rsid w:val="00291522"/>
    <w:rsid w:val="002919E0"/>
    <w:rsid w:val="002977A1"/>
    <w:rsid w:val="002A11AE"/>
    <w:rsid w:val="002A13CF"/>
    <w:rsid w:val="002A5FA6"/>
    <w:rsid w:val="002B142B"/>
    <w:rsid w:val="002B21F6"/>
    <w:rsid w:val="002B39F1"/>
    <w:rsid w:val="002B43BF"/>
    <w:rsid w:val="002B57BB"/>
    <w:rsid w:val="002B68A1"/>
    <w:rsid w:val="002B752A"/>
    <w:rsid w:val="002C3012"/>
    <w:rsid w:val="002C43CA"/>
    <w:rsid w:val="002C555D"/>
    <w:rsid w:val="002C7102"/>
    <w:rsid w:val="002D080E"/>
    <w:rsid w:val="002D1667"/>
    <w:rsid w:val="002D1CF1"/>
    <w:rsid w:val="002D37F3"/>
    <w:rsid w:val="002D4881"/>
    <w:rsid w:val="002D5A61"/>
    <w:rsid w:val="002D7E20"/>
    <w:rsid w:val="002E04F3"/>
    <w:rsid w:val="002E0CB3"/>
    <w:rsid w:val="002E0E44"/>
    <w:rsid w:val="002E2E0E"/>
    <w:rsid w:val="002E3A53"/>
    <w:rsid w:val="002E597B"/>
    <w:rsid w:val="002E753B"/>
    <w:rsid w:val="002F17A1"/>
    <w:rsid w:val="002F3C6F"/>
    <w:rsid w:val="002F6095"/>
    <w:rsid w:val="00300B44"/>
    <w:rsid w:val="00303211"/>
    <w:rsid w:val="00305613"/>
    <w:rsid w:val="0030799E"/>
    <w:rsid w:val="00311534"/>
    <w:rsid w:val="003172EF"/>
    <w:rsid w:val="0032017F"/>
    <w:rsid w:val="003216EE"/>
    <w:rsid w:val="00321D6F"/>
    <w:rsid w:val="0032328C"/>
    <w:rsid w:val="00324E00"/>
    <w:rsid w:val="0032680C"/>
    <w:rsid w:val="003304BC"/>
    <w:rsid w:val="00332BBE"/>
    <w:rsid w:val="00332FD9"/>
    <w:rsid w:val="00333707"/>
    <w:rsid w:val="00334F82"/>
    <w:rsid w:val="00337575"/>
    <w:rsid w:val="00337EAF"/>
    <w:rsid w:val="00337F2F"/>
    <w:rsid w:val="00341798"/>
    <w:rsid w:val="00345EE5"/>
    <w:rsid w:val="00353EF1"/>
    <w:rsid w:val="003554ED"/>
    <w:rsid w:val="00356E31"/>
    <w:rsid w:val="00356E51"/>
    <w:rsid w:val="00362E59"/>
    <w:rsid w:val="0036443D"/>
    <w:rsid w:val="00365660"/>
    <w:rsid w:val="0036765B"/>
    <w:rsid w:val="00367D2B"/>
    <w:rsid w:val="00370613"/>
    <w:rsid w:val="003765AA"/>
    <w:rsid w:val="003766B4"/>
    <w:rsid w:val="00383382"/>
    <w:rsid w:val="003865E9"/>
    <w:rsid w:val="003905E5"/>
    <w:rsid w:val="0039100F"/>
    <w:rsid w:val="0039162B"/>
    <w:rsid w:val="00391BC1"/>
    <w:rsid w:val="00391F23"/>
    <w:rsid w:val="003949E3"/>
    <w:rsid w:val="003961AE"/>
    <w:rsid w:val="003A24D7"/>
    <w:rsid w:val="003A2E11"/>
    <w:rsid w:val="003A5B5B"/>
    <w:rsid w:val="003A72DA"/>
    <w:rsid w:val="003A7345"/>
    <w:rsid w:val="003B1574"/>
    <w:rsid w:val="003B18C5"/>
    <w:rsid w:val="003B19BF"/>
    <w:rsid w:val="003B377B"/>
    <w:rsid w:val="003B3ED9"/>
    <w:rsid w:val="003B5FF5"/>
    <w:rsid w:val="003B6C0C"/>
    <w:rsid w:val="003C2148"/>
    <w:rsid w:val="003D096D"/>
    <w:rsid w:val="003D0FC2"/>
    <w:rsid w:val="003D1997"/>
    <w:rsid w:val="003D24EB"/>
    <w:rsid w:val="003D350E"/>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4BEF"/>
    <w:rsid w:val="00435A41"/>
    <w:rsid w:val="00435BF2"/>
    <w:rsid w:val="00435D70"/>
    <w:rsid w:val="0043748A"/>
    <w:rsid w:val="0043748B"/>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24C7"/>
    <w:rsid w:val="004839D9"/>
    <w:rsid w:val="00484161"/>
    <w:rsid w:val="00484542"/>
    <w:rsid w:val="00484901"/>
    <w:rsid w:val="00485DE7"/>
    <w:rsid w:val="00490314"/>
    <w:rsid w:val="00491E9C"/>
    <w:rsid w:val="00492BF6"/>
    <w:rsid w:val="0049482F"/>
    <w:rsid w:val="00497575"/>
    <w:rsid w:val="004A02BB"/>
    <w:rsid w:val="004A07A1"/>
    <w:rsid w:val="004A1D52"/>
    <w:rsid w:val="004A45EE"/>
    <w:rsid w:val="004A6302"/>
    <w:rsid w:val="004A74EA"/>
    <w:rsid w:val="004B0673"/>
    <w:rsid w:val="004B1925"/>
    <w:rsid w:val="004B20F2"/>
    <w:rsid w:val="004B73B2"/>
    <w:rsid w:val="004D0B07"/>
    <w:rsid w:val="004D2426"/>
    <w:rsid w:val="004D7BCB"/>
    <w:rsid w:val="004E0280"/>
    <w:rsid w:val="004E2E0C"/>
    <w:rsid w:val="004E3ABC"/>
    <w:rsid w:val="004E3AEB"/>
    <w:rsid w:val="004E55A0"/>
    <w:rsid w:val="004E689E"/>
    <w:rsid w:val="004E6BD2"/>
    <w:rsid w:val="004F28FB"/>
    <w:rsid w:val="004F4E48"/>
    <w:rsid w:val="004F5810"/>
    <w:rsid w:val="0050013A"/>
    <w:rsid w:val="00500150"/>
    <w:rsid w:val="005011CD"/>
    <w:rsid w:val="00501BE3"/>
    <w:rsid w:val="00503084"/>
    <w:rsid w:val="005038BE"/>
    <w:rsid w:val="00506C84"/>
    <w:rsid w:val="00515230"/>
    <w:rsid w:val="00520CE6"/>
    <w:rsid w:val="00521047"/>
    <w:rsid w:val="005210A2"/>
    <w:rsid w:val="0052271B"/>
    <w:rsid w:val="005233FF"/>
    <w:rsid w:val="005247C6"/>
    <w:rsid w:val="005249AE"/>
    <w:rsid w:val="0052519A"/>
    <w:rsid w:val="005252F7"/>
    <w:rsid w:val="00525885"/>
    <w:rsid w:val="00526DC1"/>
    <w:rsid w:val="0053298C"/>
    <w:rsid w:val="00537417"/>
    <w:rsid w:val="00542480"/>
    <w:rsid w:val="00542A3E"/>
    <w:rsid w:val="00542C7B"/>
    <w:rsid w:val="00542FB6"/>
    <w:rsid w:val="005430D4"/>
    <w:rsid w:val="00546D81"/>
    <w:rsid w:val="00550DBF"/>
    <w:rsid w:val="00551383"/>
    <w:rsid w:val="00551AC9"/>
    <w:rsid w:val="0055302F"/>
    <w:rsid w:val="005532DB"/>
    <w:rsid w:val="00553631"/>
    <w:rsid w:val="005642FE"/>
    <w:rsid w:val="0056704D"/>
    <w:rsid w:val="00570A4A"/>
    <w:rsid w:val="00571692"/>
    <w:rsid w:val="00577511"/>
    <w:rsid w:val="00580461"/>
    <w:rsid w:val="00582D11"/>
    <w:rsid w:val="005840DE"/>
    <w:rsid w:val="005850C9"/>
    <w:rsid w:val="00591BA0"/>
    <w:rsid w:val="00592A2A"/>
    <w:rsid w:val="00593220"/>
    <w:rsid w:val="00594EB3"/>
    <w:rsid w:val="005A1484"/>
    <w:rsid w:val="005A3166"/>
    <w:rsid w:val="005A35B3"/>
    <w:rsid w:val="005A3736"/>
    <w:rsid w:val="005A44F1"/>
    <w:rsid w:val="005A4601"/>
    <w:rsid w:val="005A63FE"/>
    <w:rsid w:val="005B0AA3"/>
    <w:rsid w:val="005B59AF"/>
    <w:rsid w:val="005B629B"/>
    <w:rsid w:val="005B7568"/>
    <w:rsid w:val="005B7AA3"/>
    <w:rsid w:val="005C06C4"/>
    <w:rsid w:val="005C32A9"/>
    <w:rsid w:val="005C5500"/>
    <w:rsid w:val="005C645F"/>
    <w:rsid w:val="005D0315"/>
    <w:rsid w:val="005D0CE5"/>
    <w:rsid w:val="005D3730"/>
    <w:rsid w:val="005D4177"/>
    <w:rsid w:val="005D4DA4"/>
    <w:rsid w:val="005D4E73"/>
    <w:rsid w:val="005E7245"/>
    <w:rsid w:val="005F034D"/>
    <w:rsid w:val="005F1EC6"/>
    <w:rsid w:val="005F206E"/>
    <w:rsid w:val="005F3041"/>
    <w:rsid w:val="005F4D25"/>
    <w:rsid w:val="005F6500"/>
    <w:rsid w:val="00601232"/>
    <w:rsid w:val="00602B7C"/>
    <w:rsid w:val="006054C8"/>
    <w:rsid w:val="00605F3E"/>
    <w:rsid w:val="00606CEF"/>
    <w:rsid w:val="00606FA7"/>
    <w:rsid w:val="0060732F"/>
    <w:rsid w:val="006079C5"/>
    <w:rsid w:val="00610578"/>
    <w:rsid w:val="0061194F"/>
    <w:rsid w:val="00613E74"/>
    <w:rsid w:val="0061446F"/>
    <w:rsid w:val="00617BF9"/>
    <w:rsid w:val="006203EC"/>
    <w:rsid w:val="0062110A"/>
    <w:rsid w:val="0062518C"/>
    <w:rsid w:val="00625C48"/>
    <w:rsid w:val="00627E7F"/>
    <w:rsid w:val="00633FAE"/>
    <w:rsid w:val="00634B9D"/>
    <w:rsid w:val="00636C6A"/>
    <w:rsid w:val="00636CA7"/>
    <w:rsid w:val="00642B10"/>
    <w:rsid w:val="00642F36"/>
    <w:rsid w:val="00643E6B"/>
    <w:rsid w:val="00644176"/>
    <w:rsid w:val="00644DC9"/>
    <w:rsid w:val="006455D3"/>
    <w:rsid w:val="00646E5E"/>
    <w:rsid w:val="00653911"/>
    <w:rsid w:val="0065419A"/>
    <w:rsid w:val="00661397"/>
    <w:rsid w:val="0066168D"/>
    <w:rsid w:val="00663677"/>
    <w:rsid w:val="00663FC4"/>
    <w:rsid w:val="00664359"/>
    <w:rsid w:val="00664F8E"/>
    <w:rsid w:val="00665014"/>
    <w:rsid w:val="00666881"/>
    <w:rsid w:val="00666C0A"/>
    <w:rsid w:val="00667B55"/>
    <w:rsid w:val="00672733"/>
    <w:rsid w:val="00672B49"/>
    <w:rsid w:val="00672EE8"/>
    <w:rsid w:val="00674924"/>
    <w:rsid w:val="00675E15"/>
    <w:rsid w:val="00675EF7"/>
    <w:rsid w:val="0067733C"/>
    <w:rsid w:val="0068007C"/>
    <w:rsid w:val="006808AB"/>
    <w:rsid w:val="006817AD"/>
    <w:rsid w:val="00682792"/>
    <w:rsid w:val="00682CC6"/>
    <w:rsid w:val="006845E3"/>
    <w:rsid w:val="00684B42"/>
    <w:rsid w:val="006855E4"/>
    <w:rsid w:val="00685E3C"/>
    <w:rsid w:val="006929FD"/>
    <w:rsid w:val="00692ECA"/>
    <w:rsid w:val="0069391A"/>
    <w:rsid w:val="0069414B"/>
    <w:rsid w:val="00694A56"/>
    <w:rsid w:val="00694BA0"/>
    <w:rsid w:val="00694BF1"/>
    <w:rsid w:val="0069538D"/>
    <w:rsid w:val="00695ABC"/>
    <w:rsid w:val="00695C16"/>
    <w:rsid w:val="00696681"/>
    <w:rsid w:val="006A08F6"/>
    <w:rsid w:val="006A1DB1"/>
    <w:rsid w:val="006A503E"/>
    <w:rsid w:val="006B25CF"/>
    <w:rsid w:val="006B2DAB"/>
    <w:rsid w:val="006B34AC"/>
    <w:rsid w:val="006B42A9"/>
    <w:rsid w:val="006B6226"/>
    <w:rsid w:val="006B6C9B"/>
    <w:rsid w:val="006B716B"/>
    <w:rsid w:val="006B7FE7"/>
    <w:rsid w:val="006C0C45"/>
    <w:rsid w:val="006C1AAF"/>
    <w:rsid w:val="006C2CC9"/>
    <w:rsid w:val="006C2E00"/>
    <w:rsid w:val="006C5D0E"/>
    <w:rsid w:val="006D22BC"/>
    <w:rsid w:val="006D2867"/>
    <w:rsid w:val="006D2E74"/>
    <w:rsid w:val="006D31FC"/>
    <w:rsid w:val="006D49D9"/>
    <w:rsid w:val="006D4C56"/>
    <w:rsid w:val="006D508A"/>
    <w:rsid w:val="006E5D4F"/>
    <w:rsid w:val="006E7D6C"/>
    <w:rsid w:val="006F0929"/>
    <w:rsid w:val="006F2B97"/>
    <w:rsid w:val="006F4CCA"/>
    <w:rsid w:val="006F4E5C"/>
    <w:rsid w:val="0070245F"/>
    <w:rsid w:val="007025C5"/>
    <w:rsid w:val="00703BDA"/>
    <w:rsid w:val="0070493C"/>
    <w:rsid w:val="0070635F"/>
    <w:rsid w:val="007119FB"/>
    <w:rsid w:val="00712DA0"/>
    <w:rsid w:val="00713F69"/>
    <w:rsid w:val="00716815"/>
    <w:rsid w:val="0071685F"/>
    <w:rsid w:val="007172BD"/>
    <w:rsid w:val="007178EC"/>
    <w:rsid w:val="00721470"/>
    <w:rsid w:val="00722B5B"/>
    <w:rsid w:val="00726756"/>
    <w:rsid w:val="00727C38"/>
    <w:rsid w:val="00730EF4"/>
    <w:rsid w:val="0073389D"/>
    <w:rsid w:val="00737F2D"/>
    <w:rsid w:val="00742FEB"/>
    <w:rsid w:val="00746414"/>
    <w:rsid w:val="0074668B"/>
    <w:rsid w:val="00746887"/>
    <w:rsid w:val="007478C0"/>
    <w:rsid w:val="007525B9"/>
    <w:rsid w:val="007533B2"/>
    <w:rsid w:val="0076067F"/>
    <w:rsid w:val="00762F3B"/>
    <w:rsid w:val="00764A6A"/>
    <w:rsid w:val="00767AE5"/>
    <w:rsid w:val="00771425"/>
    <w:rsid w:val="0078574C"/>
    <w:rsid w:val="0078605A"/>
    <w:rsid w:val="00794A53"/>
    <w:rsid w:val="007965C8"/>
    <w:rsid w:val="007A204F"/>
    <w:rsid w:val="007A2F87"/>
    <w:rsid w:val="007A4548"/>
    <w:rsid w:val="007A660E"/>
    <w:rsid w:val="007B1E48"/>
    <w:rsid w:val="007B3EED"/>
    <w:rsid w:val="007B575D"/>
    <w:rsid w:val="007C00B3"/>
    <w:rsid w:val="007C08B1"/>
    <w:rsid w:val="007C0B1F"/>
    <w:rsid w:val="007C0EC8"/>
    <w:rsid w:val="007C2E4B"/>
    <w:rsid w:val="007C3C3F"/>
    <w:rsid w:val="007C4E65"/>
    <w:rsid w:val="007C5A79"/>
    <w:rsid w:val="007D01A0"/>
    <w:rsid w:val="007D3355"/>
    <w:rsid w:val="007D426E"/>
    <w:rsid w:val="007D4BF0"/>
    <w:rsid w:val="007D52AE"/>
    <w:rsid w:val="007D69CB"/>
    <w:rsid w:val="007D7756"/>
    <w:rsid w:val="007D7B93"/>
    <w:rsid w:val="007E01CC"/>
    <w:rsid w:val="007E1304"/>
    <w:rsid w:val="007E4529"/>
    <w:rsid w:val="007E5580"/>
    <w:rsid w:val="007E5E26"/>
    <w:rsid w:val="007E60C2"/>
    <w:rsid w:val="007F1534"/>
    <w:rsid w:val="007F411C"/>
    <w:rsid w:val="007F4291"/>
    <w:rsid w:val="007F470C"/>
    <w:rsid w:val="007F4BD9"/>
    <w:rsid w:val="007F69DD"/>
    <w:rsid w:val="007F7FC3"/>
    <w:rsid w:val="00800A4D"/>
    <w:rsid w:val="00800CCE"/>
    <w:rsid w:val="00801BAC"/>
    <w:rsid w:val="0080293A"/>
    <w:rsid w:val="00803690"/>
    <w:rsid w:val="00804434"/>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45E1"/>
    <w:rsid w:val="00834CC8"/>
    <w:rsid w:val="00836752"/>
    <w:rsid w:val="008367DA"/>
    <w:rsid w:val="008367DB"/>
    <w:rsid w:val="008371C0"/>
    <w:rsid w:val="0083798F"/>
    <w:rsid w:val="00843A4A"/>
    <w:rsid w:val="00843CC0"/>
    <w:rsid w:val="0084507D"/>
    <w:rsid w:val="008453A3"/>
    <w:rsid w:val="00850894"/>
    <w:rsid w:val="00850959"/>
    <w:rsid w:val="0085432E"/>
    <w:rsid w:val="00855A44"/>
    <w:rsid w:val="00857B2F"/>
    <w:rsid w:val="00861904"/>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1A63"/>
    <w:rsid w:val="008A2332"/>
    <w:rsid w:val="008A2C98"/>
    <w:rsid w:val="008A4599"/>
    <w:rsid w:val="008A71FF"/>
    <w:rsid w:val="008B1CEE"/>
    <w:rsid w:val="008B6D66"/>
    <w:rsid w:val="008C0045"/>
    <w:rsid w:val="008C395C"/>
    <w:rsid w:val="008C4002"/>
    <w:rsid w:val="008C4680"/>
    <w:rsid w:val="008C47EA"/>
    <w:rsid w:val="008C5325"/>
    <w:rsid w:val="008C587F"/>
    <w:rsid w:val="008C7FC6"/>
    <w:rsid w:val="008D00E4"/>
    <w:rsid w:val="008D238B"/>
    <w:rsid w:val="008D3153"/>
    <w:rsid w:val="008D3640"/>
    <w:rsid w:val="008D5FDB"/>
    <w:rsid w:val="008D7743"/>
    <w:rsid w:val="008D785F"/>
    <w:rsid w:val="008E5BF9"/>
    <w:rsid w:val="008E6FA5"/>
    <w:rsid w:val="008F271C"/>
    <w:rsid w:val="008F5336"/>
    <w:rsid w:val="008F56E4"/>
    <w:rsid w:val="008F6405"/>
    <w:rsid w:val="008F6EB9"/>
    <w:rsid w:val="009008EE"/>
    <w:rsid w:val="00901A33"/>
    <w:rsid w:val="00901E76"/>
    <w:rsid w:val="00903EDA"/>
    <w:rsid w:val="00904ECA"/>
    <w:rsid w:val="00907CC9"/>
    <w:rsid w:val="00907F97"/>
    <w:rsid w:val="0091080C"/>
    <w:rsid w:val="00911BAF"/>
    <w:rsid w:val="00911DC4"/>
    <w:rsid w:val="00916238"/>
    <w:rsid w:val="009162EC"/>
    <w:rsid w:val="00917C45"/>
    <w:rsid w:val="00925FA2"/>
    <w:rsid w:val="0092613E"/>
    <w:rsid w:val="00926F04"/>
    <w:rsid w:val="00927F44"/>
    <w:rsid w:val="00932D99"/>
    <w:rsid w:val="00932DD2"/>
    <w:rsid w:val="00934643"/>
    <w:rsid w:val="00946A22"/>
    <w:rsid w:val="00947D24"/>
    <w:rsid w:val="00952B82"/>
    <w:rsid w:val="00956073"/>
    <w:rsid w:val="00960BEC"/>
    <w:rsid w:val="00961AD3"/>
    <w:rsid w:val="00964B62"/>
    <w:rsid w:val="009670CA"/>
    <w:rsid w:val="0097181E"/>
    <w:rsid w:val="00971A55"/>
    <w:rsid w:val="00973F7B"/>
    <w:rsid w:val="0097562C"/>
    <w:rsid w:val="009762BB"/>
    <w:rsid w:val="00977EBF"/>
    <w:rsid w:val="009807DA"/>
    <w:rsid w:val="00981628"/>
    <w:rsid w:val="009835AC"/>
    <w:rsid w:val="00986742"/>
    <w:rsid w:val="009915E9"/>
    <w:rsid w:val="00991D7F"/>
    <w:rsid w:val="00993AC7"/>
    <w:rsid w:val="00993C25"/>
    <w:rsid w:val="00995296"/>
    <w:rsid w:val="00995DA8"/>
    <w:rsid w:val="009A12F1"/>
    <w:rsid w:val="009A1EF5"/>
    <w:rsid w:val="009A34D6"/>
    <w:rsid w:val="009A43C3"/>
    <w:rsid w:val="009A573A"/>
    <w:rsid w:val="009A69B3"/>
    <w:rsid w:val="009A6DFF"/>
    <w:rsid w:val="009B108F"/>
    <w:rsid w:val="009B2DD9"/>
    <w:rsid w:val="009B3CCF"/>
    <w:rsid w:val="009B4697"/>
    <w:rsid w:val="009B48BB"/>
    <w:rsid w:val="009B6E01"/>
    <w:rsid w:val="009B74B7"/>
    <w:rsid w:val="009C1FD3"/>
    <w:rsid w:val="009C284C"/>
    <w:rsid w:val="009C2E08"/>
    <w:rsid w:val="009C3D22"/>
    <w:rsid w:val="009C62D0"/>
    <w:rsid w:val="009C6442"/>
    <w:rsid w:val="009C6981"/>
    <w:rsid w:val="009D1873"/>
    <w:rsid w:val="009D1D8D"/>
    <w:rsid w:val="009D357B"/>
    <w:rsid w:val="009D37CC"/>
    <w:rsid w:val="009D44F9"/>
    <w:rsid w:val="009D4868"/>
    <w:rsid w:val="009D504B"/>
    <w:rsid w:val="009D6AF8"/>
    <w:rsid w:val="009D7BB4"/>
    <w:rsid w:val="009E0900"/>
    <w:rsid w:val="009E1704"/>
    <w:rsid w:val="009E18C8"/>
    <w:rsid w:val="009E40B8"/>
    <w:rsid w:val="009E4D90"/>
    <w:rsid w:val="009F1632"/>
    <w:rsid w:val="009F1C8D"/>
    <w:rsid w:val="009F6B13"/>
    <w:rsid w:val="00A00783"/>
    <w:rsid w:val="00A00D04"/>
    <w:rsid w:val="00A00DE1"/>
    <w:rsid w:val="00A011F5"/>
    <w:rsid w:val="00A0368B"/>
    <w:rsid w:val="00A07BD9"/>
    <w:rsid w:val="00A11E36"/>
    <w:rsid w:val="00A16E94"/>
    <w:rsid w:val="00A210B2"/>
    <w:rsid w:val="00A234B7"/>
    <w:rsid w:val="00A23774"/>
    <w:rsid w:val="00A23FC8"/>
    <w:rsid w:val="00A26DC6"/>
    <w:rsid w:val="00A3151D"/>
    <w:rsid w:val="00A31BF2"/>
    <w:rsid w:val="00A32255"/>
    <w:rsid w:val="00A33200"/>
    <w:rsid w:val="00A33BBF"/>
    <w:rsid w:val="00A36EAA"/>
    <w:rsid w:val="00A467B9"/>
    <w:rsid w:val="00A46C12"/>
    <w:rsid w:val="00A47D55"/>
    <w:rsid w:val="00A501D9"/>
    <w:rsid w:val="00A53B0D"/>
    <w:rsid w:val="00A555C7"/>
    <w:rsid w:val="00A570C4"/>
    <w:rsid w:val="00A57AE0"/>
    <w:rsid w:val="00A60AF2"/>
    <w:rsid w:val="00A63EFD"/>
    <w:rsid w:val="00A651E6"/>
    <w:rsid w:val="00A65C2C"/>
    <w:rsid w:val="00A671C2"/>
    <w:rsid w:val="00A6743D"/>
    <w:rsid w:val="00A7171D"/>
    <w:rsid w:val="00A72145"/>
    <w:rsid w:val="00A728AE"/>
    <w:rsid w:val="00A740F0"/>
    <w:rsid w:val="00A8046D"/>
    <w:rsid w:val="00A83496"/>
    <w:rsid w:val="00A837BC"/>
    <w:rsid w:val="00A84126"/>
    <w:rsid w:val="00A87DBF"/>
    <w:rsid w:val="00A90007"/>
    <w:rsid w:val="00A9089A"/>
    <w:rsid w:val="00A92B70"/>
    <w:rsid w:val="00A972B1"/>
    <w:rsid w:val="00AA1069"/>
    <w:rsid w:val="00AA4BFC"/>
    <w:rsid w:val="00AA4C05"/>
    <w:rsid w:val="00AA4EC7"/>
    <w:rsid w:val="00AA7A23"/>
    <w:rsid w:val="00AB2251"/>
    <w:rsid w:val="00AB3F3B"/>
    <w:rsid w:val="00AB458C"/>
    <w:rsid w:val="00AB6316"/>
    <w:rsid w:val="00AC0333"/>
    <w:rsid w:val="00AC2EE5"/>
    <w:rsid w:val="00AC346A"/>
    <w:rsid w:val="00AC44ED"/>
    <w:rsid w:val="00AD1AC8"/>
    <w:rsid w:val="00AD5442"/>
    <w:rsid w:val="00AE0414"/>
    <w:rsid w:val="00AE22BD"/>
    <w:rsid w:val="00AE23F6"/>
    <w:rsid w:val="00AE25FF"/>
    <w:rsid w:val="00AE2EDF"/>
    <w:rsid w:val="00AF11A6"/>
    <w:rsid w:val="00AF22CA"/>
    <w:rsid w:val="00AF2DCE"/>
    <w:rsid w:val="00AF3982"/>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0044"/>
    <w:rsid w:val="00B314F0"/>
    <w:rsid w:val="00B31A3F"/>
    <w:rsid w:val="00B33A21"/>
    <w:rsid w:val="00B35087"/>
    <w:rsid w:val="00B404E8"/>
    <w:rsid w:val="00B40C55"/>
    <w:rsid w:val="00B42DBB"/>
    <w:rsid w:val="00B448A4"/>
    <w:rsid w:val="00B44915"/>
    <w:rsid w:val="00B44C01"/>
    <w:rsid w:val="00B53D6D"/>
    <w:rsid w:val="00B55072"/>
    <w:rsid w:val="00B55E56"/>
    <w:rsid w:val="00B561AA"/>
    <w:rsid w:val="00B5742D"/>
    <w:rsid w:val="00B574E1"/>
    <w:rsid w:val="00B6070B"/>
    <w:rsid w:val="00B63209"/>
    <w:rsid w:val="00B6348C"/>
    <w:rsid w:val="00B636EE"/>
    <w:rsid w:val="00B66634"/>
    <w:rsid w:val="00B67C81"/>
    <w:rsid w:val="00B67D7A"/>
    <w:rsid w:val="00B71DBC"/>
    <w:rsid w:val="00B73B66"/>
    <w:rsid w:val="00B74BF6"/>
    <w:rsid w:val="00B777DE"/>
    <w:rsid w:val="00B80E15"/>
    <w:rsid w:val="00B82823"/>
    <w:rsid w:val="00B83611"/>
    <w:rsid w:val="00B86963"/>
    <w:rsid w:val="00B875B3"/>
    <w:rsid w:val="00B913C5"/>
    <w:rsid w:val="00B926CB"/>
    <w:rsid w:val="00B928DC"/>
    <w:rsid w:val="00B9328F"/>
    <w:rsid w:val="00B9477F"/>
    <w:rsid w:val="00BA0423"/>
    <w:rsid w:val="00BA1786"/>
    <w:rsid w:val="00BA2B80"/>
    <w:rsid w:val="00BA34AC"/>
    <w:rsid w:val="00BA4273"/>
    <w:rsid w:val="00BA7726"/>
    <w:rsid w:val="00BB0E2E"/>
    <w:rsid w:val="00BB1ACC"/>
    <w:rsid w:val="00BB45BD"/>
    <w:rsid w:val="00BB4FE9"/>
    <w:rsid w:val="00BC1488"/>
    <w:rsid w:val="00BC17B9"/>
    <w:rsid w:val="00BC3713"/>
    <w:rsid w:val="00BD0A93"/>
    <w:rsid w:val="00BD1973"/>
    <w:rsid w:val="00BD1F60"/>
    <w:rsid w:val="00BD4D31"/>
    <w:rsid w:val="00BD6378"/>
    <w:rsid w:val="00BE0DEA"/>
    <w:rsid w:val="00BE14DA"/>
    <w:rsid w:val="00BE28C8"/>
    <w:rsid w:val="00BE2CDF"/>
    <w:rsid w:val="00BE42FD"/>
    <w:rsid w:val="00BE6DA4"/>
    <w:rsid w:val="00BF1C12"/>
    <w:rsid w:val="00BF2885"/>
    <w:rsid w:val="00BF341F"/>
    <w:rsid w:val="00BF46CB"/>
    <w:rsid w:val="00BF5EB8"/>
    <w:rsid w:val="00C00281"/>
    <w:rsid w:val="00C01CE5"/>
    <w:rsid w:val="00C029C5"/>
    <w:rsid w:val="00C030A9"/>
    <w:rsid w:val="00C03C6A"/>
    <w:rsid w:val="00C043D5"/>
    <w:rsid w:val="00C0656C"/>
    <w:rsid w:val="00C107E9"/>
    <w:rsid w:val="00C145FB"/>
    <w:rsid w:val="00C14753"/>
    <w:rsid w:val="00C1588C"/>
    <w:rsid w:val="00C21B94"/>
    <w:rsid w:val="00C21D00"/>
    <w:rsid w:val="00C22051"/>
    <w:rsid w:val="00C22B84"/>
    <w:rsid w:val="00C273A2"/>
    <w:rsid w:val="00C31E32"/>
    <w:rsid w:val="00C35228"/>
    <w:rsid w:val="00C35906"/>
    <w:rsid w:val="00C36583"/>
    <w:rsid w:val="00C40458"/>
    <w:rsid w:val="00C42C49"/>
    <w:rsid w:val="00C42EBE"/>
    <w:rsid w:val="00C461DF"/>
    <w:rsid w:val="00C46C7B"/>
    <w:rsid w:val="00C50C43"/>
    <w:rsid w:val="00C51C96"/>
    <w:rsid w:val="00C52427"/>
    <w:rsid w:val="00C524E0"/>
    <w:rsid w:val="00C554BA"/>
    <w:rsid w:val="00C56736"/>
    <w:rsid w:val="00C57DA5"/>
    <w:rsid w:val="00C648DF"/>
    <w:rsid w:val="00C64BBA"/>
    <w:rsid w:val="00C6766A"/>
    <w:rsid w:val="00C71F6A"/>
    <w:rsid w:val="00C723FA"/>
    <w:rsid w:val="00C74155"/>
    <w:rsid w:val="00C747EA"/>
    <w:rsid w:val="00C807C6"/>
    <w:rsid w:val="00C817BC"/>
    <w:rsid w:val="00C82275"/>
    <w:rsid w:val="00C84FD4"/>
    <w:rsid w:val="00C901B5"/>
    <w:rsid w:val="00C926D8"/>
    <w:rsid w:val="00C92CBC"/>
    <w:rsid w:val="00C92FE1"/>
    <w:rsid w:val="00C97253"/>
    <w:rsid w:val="00CA01DF"/>
    <w:rsid w:val="00CA58FD"/>
    <w:rsid w:val="00CA6D3F"/>
    <w:rsid w:val="00CB1486"/>
    <w:rsid w:val="00CB409D"/>
    <w:rsid w:val="00CB659D"/>
    <w:rsid w:val="00CC0DDB"/>
    <w:rsid w:val="00CC308F"/>
    <w:rsid w:val="00CC350F"/>
    <w:rsid w:val="00CC48AF"/>
    <w:rsid w:val="00CC75CA"/>
    <w:rsid w:val="00CC75DB"/>
    <w:rsid w:val="00CC7ABF"/>
    <w:rsid w:val="00CD2094"/>
    <w:rsid w:val="00CD32F4"/>
    <w:rsid w:val="00CD3445"/>
    <w:rsid w:val="00CD38F6"/>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413"/>
    <w:rsid w:val="00D2259D"/>
    <w:rsid w:val="00D23137"/>
    <w:rsid w:val="00D236A3"/>
    <w:rsid w:val="00D24B8A"/>
    <w:rsid w:val="00D26EA4"/>
    <w:rsid w:val="00D33932"/>
    <w:rsid w:val="00D34C53"/>
    <w:rsid w:val="00D351BB"/>
    <w:rsid w:val="00D37164"/>
    <w:rsid w:val="00D4156E"/>
    <w:rsid w:val="00D41841"/>
    <w:rsid w:val="00D44EFA"/>
    <w:rsid w:val="00D45D83"/>
    <w:rsid w:val="00D46567"/>
    <w:rsid w:val="00D47964"/>
    <w:rsid w:val="00D50283"/>
    <w:rsid w:val="00D50B5D"/>
    <w:rsid w:val="00D51CEB"/>
    <w:rsid w:val="00D51F1C"/>
    <w:rsid w:val="00D52615"/>
    <w:rsid w:val="00D5324B"/>
    <w:rsid w:val="00D563D3"/>
    <w:rsid w:val="00D56542"/>
    <w:rsid w:val="00D56B5E"/>
    <w:rsid w:val="00D603D2"/>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B7112"/>
    <w:rsid w:val="00DC077C"/>
    <w:rsid w:val="00DC132A"/>
    <w:rsid w:val="00DC14E2"/>
    <w:rsid w:val="00DC34C3"/>
    <w:rsid w:val="00DC452A"/>
    <w:rsid w:val="00DC6713"/>
    <w:rsid w:val="00DD7205"/>
    <w:rsid w:val="00DD7305"/>
    <w:rsid w:val="00DE03A4"/>
    <w:rsid w:val="00DE2EC9"/>
    <w:rsid w:val="00DE3DD7"/>
    <w:rsid w:val="00DE40F1"/>
    <w:rsid w:val="00DE48B2"/>
    <w:rsid w:val="00DE5850"/>
    <w:rsid w:val="00DE7D06"/>
    <w:rsid w:val="00DF090D"/>
    <w:rsid w:val="00DF0C41"/>
    <w:rsid w:val="00DF1723"/>
    <w:rsid w:val="00DF4080"/>
    <w:rsid w:val="00DF452E"/>
    <w:rsid w:val="00DF60DF"/>
    <w:rsid w:val="00DF6820"/>
    <w:rsid w:val="00DF6DBB"/>
    <w:rsid w:val="00E02DB3"/>
    <w:rsid w:val="00E04F16"/>
    <w:rsid w:val="00E07F27"/>
    <w:rsid w:val="00E1080D"/>
    <w:rsid w:val="00E14773"/>
    <w:rsid w:val="00E14885"/>
    <w:rsid w:val="00E21D10"/>
    <w:rsid w:val="00E26087"/>
    <w:rsid w:val="00E26AE7"/>
    <w:rsid w:val="00E26C3B"/>
    <w:rsid w:val="00E2705E"/>
    <w:rsid w:val="00E274C6"/>
    <w:rsid w:val="00E277BA"/>
    <w:rsid w:val="00E30409"/>
    <w:rsid w:val="00E3131C"/>
    <w:rsid w:val="00E31F92"/>
    <w:rsid w:val="00E33AF7"/>
    <w:rsid w:val="00E35613"/>
    <w:rsid w:val="00E357D6"/>
    <w:rsid w:val="00E36058"/>
    <w:rsid w:val="00E42B98"/>
    <w:rsid w:val="00E45A43"/>
    <w:rsid w:val="00E50A2C"/>
    <w:rsid w:val="00E5176E"/>
    <w:rsid w:val="00E519EC"/>
    <w:rsid w:val="00E51A43"/>
    <w:rsid w:val="00E555AB"/>
    <w:rsid w:val="00E644A2"/>
    <w:rsid w:val="00E64616"/>
    <w:rsid w:val="00E64CCC"/>
    <w:rsid w:val="00E677EB"/>
    <w:rsid w:val="00E7025F"/>
    <w:rsid w:val="00E75DC5"/>
    <w:rsid w:val="00E75F78"/>
    <w:rsid w:val="00E76459"/>
    <w:rsid w:val="00E800C9"/>
    <w:rsid w:val="00E81D26"/>
    <w:rsid w:val="00E82F3E"/>
    <w:rsid w:val="00E85E6D"/>
    <w:rsid w:val="00E87CAC"/>
    <w:rsid w:val="00E90066"/>
    <w:rsid w:val="00E90A92"/>
    <w:rsid w:val="00E92285"/>
    <w:rsid w:val="00E92390"/>
    <w:rsid w:val="00E929E6"/>
    <w:rsid w:val="00E948FB"/>
    <w:rsid w:val="00E953DE"/>
    <w:rsid w:val="00E96DD0"/>
    <w:rsid w:val="00E974F5"/>
    <w:rsid w:val="00EA0756"/>
    <w:rsid w:val="00EB06C7"/>
    <w:rsid w:val="00EB3925"/>
    <w:rsid w:val="00EB3F2E"/>
    <w:rsid w:val="00EB764F"/>
    <w:rsid w:val="00EB7DEA"/>
    <w:rsid w:val="00EC132D"/>
    <w:rsid w:val="00EC4280"/>
    <w:rsid w:val="00EC5E31"/>
    <w:rsid w:val="00EC60D9"/>
    <w:rsid w:val="00EC64F3"/>
    <w:rsid w:val="00EC6557"/>
    <w:rsid w:val="00EC70C9"/>
    <w:rsid w:val="00ED08CB"/>
    <w:rsid w:val="00ED31C0"/>
    <w:rsid w:val="00ED58EF"/>
    <w:rsid w:val="00ED5AA9"/>
    <w:rsid w:val="00EE0351"/>
    <w:rsid w:val="00EE11A3"/>
    <w:rsid w:val="00EE1C6E"/>
    <w:rsid w:val="00EE3E86"/>
    <w:rsid w:val="00EE4B7B"/>
    <w:rsid w:val="00EE4FE3"/>
    <w:rsid w:val="00EE626C"/>
    <w:rsid w:val="00EE6F2E"/>
    <w:rsid w:val="00EF1C17"/>
    <w:rsid w:val="00EF40C9"/>
    <w:rsid w:val="00EF4F3B"/>
    <w:rsid w:val="00F01615"/>
    <w:rsid w:val="00F01D59"/>
    <w:rsid w:val="00F04246"/>
    <w:rsid w:val="00F07675"/>
    <w:rsid w:val="00F11C5A"/>
    <w:rsid w:val="00F159A8"/>
    <w:rsid w:val="00F15E0E"/>
    <w:rsid w:val="00F177F0"/>
    <w:rsid w:val="00F22363"/>
    <w:rsid w:val="00F235F2"/>
    <w:rsid w:val="00F25E32"/>
    <w:rsid w:val="00F26CF6"/>
    <w:rsid w:val="00F27BE7"/>
    <w:rsid w:val="00F33E56"/>
    <w:rsid w:val="00F36AC5"/>
    <w:rsid w:val="00F4208B"/>
    <w:rsid w:val="00F42C96"/>
    <w:rsid w:val="00F4477B"/>
    <w:rsid w:val="00F47228"/>
    <w:rsid w:val="00F47968"/>
    <w:rsid w:val="00F47CB5"/>
    <w:rsid w:val="00F47E91"/>
    <w:rsid w:val="00F51471"/>
    <w:rsid w:val="00F539C1"/>
    <w:rsid w:val="00F5604B"/>
    <w:rsid w:val="00F6064D"/>
    <w:rsid w:val="00F613A3"/>
    <w:rsid w:val="00F63F0B"/>
    <w:rsid w:val="00F66ABB"/>
    <w:rsid w:val="00F7184E"/>
    <w:rsid w:val="00F74B8A"/>
    <w:rsid w:val="00F76678"/>
    <w:rsid w:val="00F76B74"/>
    <w:rsid w:val="00F77E5E"/>
    <w:rsid w:val="00F83CF6"/>
    <w:rsid w:val="00F84329"/>
    <w:rsid w:val="00F85298"/>
    <w:rsid w:val="00F86C9F"/>
    <w:rsid w:val="00F87E8C"/>
    <w:rsid w:val="00F9166B"/>
    <w:rsid w:val="00F94E4F"/>
    <w:rsid w:val="00F9574E"/>
    <w:rsid w:val="00F963A8"/>
    <w:rsid w:val="00F96E3D"/>
    <w:rsid w:val="00F96F36"/>
    <w:rsid w:val="00F96FC9"/>
    <w:rsid w:val="00F972DB"/>
    <w:rsid w:val="00FA099A"/>
    <w:rsid w:val="00FA1CEA"/>
    <w:rsid w:val="00FA2BB7"/>
    <w:rsid w:val="00FA365A"/>
    <w:rsid w:val="00FA4BFD"/>
    <w:rsid w:val="00FA4F53"/>
    <w:rsid w:val="00FB04F6"/>
    <w:rsid w:val="00FB09FD"/>
    <w:rsid w:val="00FB166B"/>
    <w:rsid w:val="00FB4D60"/>
    <w:rsid w:val="00FB7854"/>
    <w:rsid w:val="00FC24F2"/>
    <w:rsid w:val="00FC3EFA"/>
    <w:rsid w:val="00FC5238"/>
    <w:rsid w:val="00FC5B3C"/>
    <w:rsid w:val="00FC712D"/>
    <w:rsid w:val="00FD014E"/>
    <w:rsid w:val="00FD06A7"/>
    <w:rsid w:val="00FD2891"/>
    <w:rsid w:val="00FD2AE1"/>
    <w:rsid w:val="00FD311E"/>
    <w:rsid w:val="00FD4C0D"/>
    <w:rsid w:val="00FD5A13"/>
    <w:rsid w:val="00FE31BC"/>
    <w:rsid w:val="00FE4388"/>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link w:val="10"/>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paragraph" w:styleId="7">
    <w:name w:val="heading 7"/>
    <w:basedOn w:val="a"/>
    <w:next w:val="a"/>
    <w:link w:val="70"/>
    <w:semiHidden/>
    <w:unhideWhenUsed/>
    <w:qFormat/>
    <w:rsid w:val="0031153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2">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10">
    <w:name w:val="כותרת 1 תו"/>
    <w:basedOn w:val="a0"/>
    <w:link w:val="1"/>
    <w:locked/>
    <w:rsid w:val="00AA4BFC"/>
    <w:rPr>
      <w:rFonts w:cs="David"/>
      <w:sz w:val="24"/>
      <w:szCs w:val="24"/>
      <w:u w:val="single"/>
    </w:rPr>
  </w:style>
  <w:style w:type="character" w:customStyle="1" w:styleId="70">
    <w:name w:val="כותרת 7 תו"/>
    <w:basedOn w:val="a0"/>
    <w:link w:val="7"/>
    <w:semiHidden/>
    <w:rsid w:val="00311534"/>
    <w:rPr>
      <w:rFonts w:asciiTheme="majorHAnsi" w:eastAsiaTheme="majorEastAsia" w:hAnsiTheme="majorHAnsi" w:cstheme="majorBidi"/>
      <w:i/>
      <w:iCs/>
      <w:color w:val="1F4D78" w:themeColor="accent1" w:themeShade="7F"/>
      <w:sz w:val="24"/>
      <w:szCs w:val="24"/>
      <w:lang w:eastAsia="he-IL"/>
    </w:rPr>
  </w:style>
  <w:style w:type="character" w:styleId="af2">
    <w:name w:val="Emphasis"/>
    <w:basedOn w:val="a0"/>
    <w:uiPriority w:val="20"/>
    <w:qFormat/>
    <w:rsid w:val="00D45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7F3A0-D34C-4084-94DF-69B598BF5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1085</Words>
  <Characters>5429</Characters>
  <Application>Microsoft Office Word</Application>
  <DocSecurity>0</DocSecurity>
  <Lines>45</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2020-12-22T08:06:00Z</cp:lastPrinted>
  <dcterms:created xsi:type="dcterms:W3CDTF">2020-12-30T09:07:00Z</dcterms:created>
  <dcterms:modified xsi:type="dcterms:W3CDTF">2020-12-30T09:07:00Z</dcterms:modified>
</cp:coreProperties>
</file>