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w:t>
      </w:r>
      <w:proofErr w:type="spellStart"/>
      <w:r w:rsidRPr="00591BA0">
        <w:rPr>
          <w:b/>
          <w:bCs/>
          <w:rtl/>
          <w:lang w:eastAsia="en-US"/>
        </w:rPr>
        <w:t>קדרי</w:t>
      </w:r>
      <w:proofErr w:type="spellEnd"/>
      <w:r w:rsidRPr="00591BA0">
        <w:rPr>
          <w:b/>
          <w:bCs/>
          <w:rtl/>
          <w:lang w:eastAsia="en-US"/>
        </w:rPr>
        <w:t xml:space="preserve">,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 xml:space="preserve">הממונה על </w:t>
      </w:r>
      <w:proofErr w:type="spellStart"/>
      <w:r w:rsidRPr="00591BA0">
        <w:rPr>
          <w:b/>
          <w:bCs/>
          <w:rtl/>
        </w:rPr>
        <w:t>הגימלאות</w:t>
      </w:r>
      <w:proofErr w:type="spellEnd"/>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Pr="00591BA0">
        <w:rPr>
          <w:rFonts w:hint="cs"/>
          <w:rtl/>
        </w:rPr>
        <w:t>עו"ד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 xml:space="preserve">רחוב </w:t>
      </w:r>
      <w:proofErr w:type="spellStart"/>
      <w:r w:rsidRPr="00591BA0">
        <w:rPr>
          <w:rFonts w:hint="cs"/>
          <w:rtl/>
        </w:rPr>
        <w:t>צאלח</w:t>
      </w:r>
      <w:proofErr w:type="spellEnd"/>
      <w:r w:rsidRPr="00591BA0">
        <w:rPr>
          <w:rFonts w:hint="cs"/>
          <w:rtl/>
        </w:rPr>
        <w:t xml:space="preserve"> א-דין</w:t>
      </w:r>
      <w:r w:rsidRPr="00591BA0">
        <w:rPr>
          <w:rtl/>
        </w:rPr>
        <w:t>, ירושלים</w:t>
      </w:r>
    </w:p>
    <w:p w:rsidR="00AA4BFC" w:rsidRPr="00591BA0" w:rsidRDefault="00AA4BFC" w:rsidP="00AA4BFC">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b/>
          <w:bCs/>
          <w:u w:val="single"/>
          <w:rtl/>
          <w:lang w:eastAsia="en-US"/>
        </w:rPr>
        <w:t>ה</w:t>
      </w:r>
      <w:r w:rsidR="00FA099A" w:rsidRPr="00591BA0">
        <w:rPr>
          <w:b/>
          <w:bCs/>
          <w:u w:val="single"/>
          <w:rtl/>
          <w:lang w:eastAsia="en-US"/>
        </w:rPr>
        <w:t>מערער</w:t>
      </w:r>
      <w:r w:rsidRPr="00591BA0">
        <w:rPr>
          <w:b/>
          <w:bCs/>
          <w:u w:val="single"/>
          <w:rtl/>
          <w:lang w:eastAsia="en-US"/>
        </w:rPr>
        <w:t>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71188D" w:rsidP="0071188D">
      <w:pPr>
        <w:pStyle w:val="11"/>
        <w:spacing w:after="120" w:line="360" w:lineRule="auto"/>
        <w:ind w:left="720" w:hanging="669"/>
        <w:jc w:val="center"/>
        <w:rPr>
          <w:b/>
          <w:bCs/>
          <w:sz w:val="36"/>
          <w:szCs w:val="36"/>
          <w:u w:val="single"/>
          <w:rtl/>
        </w:rPr>
      </w:pPr>
      <w:bookmarkStart w:id="0" w:name="_GoBack"/>
      <w:r>
        <w:rPr>
          <w:rFonts w:hint="cs"/>
          <w:b/>
          <w:bCs/>
          <w:sz w:val="36"/>
          <w:szCs w:val="36"/>
          <w:u w:val="single"/>
          <w:rtl/>
        </w:rPr>
        <w:t>תשובת המערער ל</w:t>
      </w:r>
      <w:r w:rsidR="00AA4BFC" w:rsidRPr="00591BA0">
        <w:rPr>
          <w:rFonts w:hint="cs"/>
          <w:b/>
          <w:bCs/>
          <w:sz w:val="36"/>
          <w:szCs w:val="36"/>
          <w:u w:val="single"/>
          <w:rtl/>
        </w:rPr>
        <w:t>סיכו</w:t>
      </w:r>
      <w:r>
        <w:rPr>
          <w:rFonts w:hint="cs"/>
          <w:b/>
          <w:bCs/>
          <w:sz w:val="36"/>
          <w:szCs w:val="36"/>
          <w:u w:val="single"/>
          <w:rtl/>
        </w:rPr>
        <w:t>מי המשיבות</w:t>
      </w:r>
    </w:p>
    <w:bookmarkEnd w:id="0"/>
    <w:p w:rsidR="005B0AA3" w:rsidRPr="00591BA0" w:rsidRDefault="005B0AA3" w:rsidP="0071188D">
      <w:pPr>
        <w:pStyle w:val="a4"/>
        <w:spacing w:after="200" w:line="360" w:lineRule="auto"/>
        <w:jc w:val="both"/>
        <w:rPr>
          <w:rFonts w:cs="David"/>
          <w:rtl/>
        </w:rPr>
      </w:pPr>
      <w:r w:rsidRPr="00591BA0">
        <w:rPr>
          <w:rFonts w:cs="David"/>
          <w:rtl/>
        </w:rPr>
        <w:t xml:space="preserve">בהתאם להחלטת בית הדין הנכבד, המערער מתכבד בזאת להגיש לבית הדין הנכבד </w:t>
      </w:r>
      <w:r w:rsidRPr="00591BA0">
        <w:rPr>
          <w:rFonts w:cs="David" w:hint="cs"/>
          <w:rtl/>
        </w:rPr>
        <w:t xml:space="preserve">את </w:t>
      </w:r>
      <w:r w:rsidR="0071188D">
        <w:rPr>
          <w:rFonts w:cs="David" w:hint="cs"/>
          <w:rtl/>
        </w:rPr>
        <w:t>תשובתו לסיכום טענותיהן של המשיבות</w:t>
      </w:r>
      <w:r w:rsidRPr="00591BA0">
        <w:rPr>
          <w:rFonts w:cs="David" w:hint="cs"/>
          <w:rtl/>
        </w:rPr>
        <w:t xml:space="preserve">. </w:t>
      </w:r>
    </w:p>
    <w:p w:rsidR="00163BD4" w:rsidRDefault="00163BD4" w:rsidP="00163BD4">
      <w:pPr>
        <w:tabs>
          <w:tab w:val="left" w:pos="566"/>
        </w:tabs>
        <w:spacing w:after="200" w:line="360" w:lineRule="auto"/>
        <w:jc w:val="both"/>
        <w:rPr>
          <w:rFonts w:cs="David"/>
          <w:rtl/>
        </w:rPr>
      </w:pPr>
      <w:r>
        <w:rPr>
          <w:rFonts w:cs="David" w:hint="cs"/>
          <w:rtl/>
        </w:rPr>
        <w:t xml:space="preserve">נוכח קוצר היריעה, </w:t>
      </w:r>
      <w:r w:rsidR="0071188D">
        <w:rPr>
          <w:rFonts w:cs="David" w:hint="cs"/>
          <w:rtl/>
        </w:rPr>
        <w:t xml:space="preserve">המערער יתייחס </w:t>
      </w:r>
      <w:r>
        <w:rPr>
          <w:rFonts w:cs="David" w:hint="cs"/>
          <w:rtl/>
        </w:rPr>
        <w:t>בקליפת אגוז</w:t>
      </w:r>
      <w:r w:rsidR="0071188D">
        <w:rPr>
          <w:rFonts w:cs="David" w:hint="cs"/>
          <w:rtl/>
        </w:rPr>
        <w:t xml:space="preserve"> אך ורק </w:t>
      </w:r>
      <w:proofErr w:type="spellStart"/>
      <w:r>
        <w:rPr>
          <w:rFonts w:cs="David" w:hint="cs"/>
          <w:rtl/>
        </w:rPr>
        <w:t>למקצת</w:t>
      </w:r>
      <w:proofErr w:type="spellEnd"/>
      <w:r>
        <w:rPr>
          <w:rFonts w:cs="David" w:hint="cs"/>
          <w:rtl/>
        </w:rPr>
        <w:t xml:space="preserve"> הנקודות העולות מסיכום טענותיהן של המשיבות, מבלי להודות, כמובן, בכל טענה שהיא של המשיבות.</w:t>
      </w:r>
    </w:p>
    <w:p w:rsidR="00D603D2" w:rsidRDefault="00163BD4" w:rsidP="00163BD4">
      <w:pPr>
        <w:tabs>
          <w:tab w:val="left" w:pos="566"/>
        </w:tabs>
        <w:spacing w:after="200" w:line="360" w:lineRule="auto"/>
        <w:jc w:val="both"/>
        <w:rPr>
          <w:rFonts w:cs="David"/>
          <w:rtl/>
        </w:rPr>
      </w:pPr>
      <w:r>
        <w:rPr>
          <w:rFonts w:cs="David" w:hint="cs"/>
          <w:rtl/>
        </w:rPr>
        <w:t xml:space="preserve">למען הסדר הטוב יודגש כי </w:t>
      </w:r>
      <w:r w:rsidR="00D603D2" w:rsidRPr="00591BA0">
        <w:rPr>
          <w:rFonts w:cs="David" w:hint="eastAsia"/>
          <w:rtl/>
        </w:rPr>
        <w:t>האמור</w:t>
      </w:r>
      <w:r w:rsidR="00D603D2" w:rsidRPr="00591BA0">
        <w:rPr>
          <w:rFonts w:cs="David"/>
          <w:rtl/>
        </w:rPr>
        <w:t xml:space="preserve"> </w:t>
      </w:r>
      <w:r w:rsidR="0071188D">
        <w:rPr>
          <w:rFonts w:cs="David" w:hint="cs"/>
          <w:rtl/>
        </w:rPr>
        <w:t>להלן</w:t>
      </w:r>
      <w:r w:rsidR="00D603D2" w:rsidRPr="00591BA0">
        <w:rPr>
          <w:rFonts w:cs="David"/>
          <w:rtl/>
        </w:rPr>
        <w:t xml:space="preserve"> </w:t>
      </w:r>
      <w:r w:rsidR="00D603D2" w:rsidRPr="00591BA0">
        <w:rPr>
          <w:rFonts w:cs="David" w:hint="eastAsia"/>
          <w:rtl/>
        </w:rPr>
        <w:t>בא</w:t>
      </w:r>
      <w:r w:rsidR="00D603D2" w:rsidRPr="00591BA0">
        <w:rPr>
          <w:rFonts w:cs="David"/>
          <w:rtl/>
        </w:rPr>
        <w:t xml:space="preserve"> </w:t>
      </w:r>
      <w:r w:rsidR="00D603D2" w:rsidRPr="00591BA0">
        <w:rPr>
          <w:rFonts w:cs="David" w:hint="eastAsia"/>
          <w:rtl/>
        </w:rPr>
        <w:t>להוסיף</w:t>
      </w:r>
      <w:r w:rsidR="00D603D2" w:rsidRPr="00591BA0">
        <w:rPr>
          <w:rFonts w:cs="David"/>
          <w:rtl/>
        </w:rPr>
        <w:t xml:space="preserve"> </w:t>
      </w:r>
      <w:r w:rsidR="00D603D2" w:rsidRPr="00591BA0">
        <w:rPr>
          <w:rFonts w:cs="David" w:hint="eastAsia"/>
          <w:rtl/>
        </w:rPr>
        <w:t>על</w:t>
      </w:r>
      <w:r w:rsidR="00D603D2" w:rsidRPr="00591BA0">
        <w:rPr>
          <w:rFonts w:cs="David"/>
          <w:rtl/>
        </w:rPr>
        <w:t xml:space="preserve"> </w:t>
      </w:r>
      <w:r w:rsidR="00D603D2" w:rsidRPr="00591BA0">
        <w:rPr>
          <w:rFonts w:cs="David" w:hint="eastAsia"/>
          <w:rtl/>
        </w:rPr>
        <w:t>האמור</w:t>
      </w:r>
      <w:r w:rsidR="00D603D2" w:rsidRPr="00591BA0">
        <w:rPr>
          <w:rFonts w:cs="David"/>
          <w:rtl/>
        </w:rPr>
        <w:t xml:space="preserve"> </w:t>
      </w:r>
      <w:r w:rsidR="0071188D">
        <w:rPr>
          <w:rFonts w:cs="David" w:hint="cs"/>
          <w:rtl/>
        </w:rPr>
        <w:t>בכתבי הטענות האחרים שהגיש</w:t>
      </w:r>
      <w:r w:rsidR="00002410">
        <w:rPr>
          <w:rFonts w:cs="David" w:hint="cs"/>
          <w:rtl/>
        </w:rPr>
        <w:t>, ולא לגרוע</w:t>
      </w:r>
      <w:r w:rsidR="00D603D2" w:rsidRPr="00591BA0">
        <w:rPr>
          <w:rFonts w:cs="David"/>
          <w:rtl/>
        </w:rPr>
        <w:t>.</w:t>
      </w:r>
    </w:p>
    <w:p w:rsidR="00111E77" w:rsidRDefault="00111E77" w:rsidP="0071188D">
      <w:pPr>
        <w:tabs>
          <w:tab w:val="left" w:pos="566"/>
        </w:tabs>
        <w:spacing w:after="200" w:line="360" w:lineRule="auto"/>
        <w:jc w:val="both"/>
        <w:rPr>
          <w:rFonts w:cs="David"/>
          <w:rtl/>
        </w:rPr>
      </w:pPr>
    </w:p>
    <w:p w:rsidR="00111E77" w:rsidRPr="00591BA0" w:rsidRDefault="00111E77" w:rsidP="00111E77">
      <w:pPr>
        <w:pStyle w:val="a4"/>
        <w:spacing w:after="240" w:line="360" w:lineRule="auto"/>
        <w:jc w:val="both"/>
        <w:rPr>
          <w:rFonts w:cs="David"/>
          <w:rtl/>
        </w:rPr>
      </w:pPr>
    </w:p>
    <w:p w:rsidR="00111E77" w:rsidRPr="00591BA0" w:rsidRDefault="00111E77" w:rsidP="00111E77">
      <w:pPr>
        <w:pStyle w:val="22"/>
        <w:tabs>
          <w:tab w:val="center" w:pos="-2268"/>
          <w:tab w:val="left" w:pos="631"/>
        </w:tabs>
        <w:spacing w:before="120"/>
        <w:ind w:left="0" w:right="0" w:firstLine="0"/>
        <w:rPr>
          <w:b/>
          <w:bCs/>
          <w:noProof w:val="0"/>
          <w:rtl/>
        </w:rPr>
      </w:pPr>
      <w:r w:rsidRPr="00591BA0">
        <w:rPr>
          <w:b/>
          <w:bCs/>
          <w:noProof w:val="0"/>
          <w:rtl/>
        </w:rPr>
        <w:t xml:space="preserve">ירושלים, היום, </w:t>
      </w:r>
      <w:r>
        <w:rPr>
          <w:rFonts w:hint="cs"/>
          <w:b/>
          <w:bCs/>
          <w:noProof w:val="0"/>
          <w:rtl/>
        </w:rPr>
        <w:t>30</w:t>
      </w:r>
      <w:r w:rsidRPr="00591BA0">
        <w:rPr>
          <w:b/>
          <w:bCs/>
          <w:noProof w:val="0"/>
          <w:rtl/>
        </w:rPr>
        <w:t xml:space="preserve"> </w:t>
      </w:r>
      <w:r w:rsidRPr="00591BA0">
        <w:rPr>
          <w:rFonts w:hint="eastAsia"/>
          <w:b/>
          <w:bCs/>
          <w:noProof w:val="0"/>
          <w:rtl/>
        </w:rPr>
        <w:t>ב</w:t>
      </w:r>
      <w:r>
        <w:rPr>
          <w:rFonts w:hint="cs"/>
          <w:b/>
          <w:bCs/>
          <w:noProof w:val="0"/>
          <w:rtl/>
        </w:rPr>
        <w:t>דצמבר</w:t>
      </w:r>
      <w:r w:rsidRPr="00591BA0">
        <w:rPr>
          <w:b/>
          <w:bCs/>
          <w:noProof w:val="0"/>
          <w:rtl/>
        </w:rPr>
        <w:t xml:space="preserve"> 2020.</w:t>
      </w:r>
    </w:p>
    <w:p w:rsidR="00111E77" w:rsidRPr="00591BA0" w:rsidRDefault="00111E77" w:rsidP="00111E77">
      <w:pPr>
        <w:pStyle w:val="22"/>
        <w:tabs>
          <w:tab w:val="center" w:pos="-2268"/>
          <w:tab w:val="left" w:pos="631"/>
        </w:tabs>
        <w:spacing w:before="0"/>
        <w:ind w:left="509" w:right="0"/>
        <w:rPr>
          <w:b/>
          <w:bCs/>
          <w:noProof w:val="0"/>
          <w:rtl/>
        </w:rPr>
      </w:pPr>
    </w:p>
    <w:p w:rsidR="00111E77" w:rsidRPr="00591BA0" w:rsidRDefault="00111E77" w:rsidP="00111E77">
      <w:pPr>
        <w:pStyle w:val="22"/>
        <w:tabs>
          <w:tab w:val="center" w:pos="-2268"/>
          <w:tab w:val="left" w:pos="631"/>
        </w:tabs>
        <w:spacing w:before="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111E77" w:rsidRPr="00591BA0" w:rsidRDefault="00111E77" w:rsidP="00111E77">
      <w:pPr>
        <w:pStyle w:val="22"/>
        <w:tabs>
          <w:tab w:val="center" w:pos="-2268"/>
          <w:tab w:val="left" w:pos="631"/>
        </w:tabs>
        <w:spacing w:before="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111E77" w:rsidRPr="00591BA0" w:rsidRDefault="00111E77" w:rsidP="00111E77">
      <w:pPr>
        <w:pStyle w:val="22"/>
        <w:tabs>
          <w:tab w:val="center" w:pos="-2268"/>
          <w:tab w:val="left" w:pos="631"/>
        </w:tabs>
        <w:spacing w:before="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111E77" w:rsidRDefault="00111E77">
      <w:pPr>
        <w:bidi w:val="0"/>
        <w:rPr>
          <w:rFonts w:cs="David"/>
          <w:rtl/>
        </w:rPr>
      </w:pPr>
      <w:r>
        <w:rPr>
          <w:rFonts w:cs="David"/>
          <w:rtl/>
        </w:rPr>
        <w:br w:type="page"/>
      </w:r>
    </w:p>
    <w:p w:rsidR="0071188D" w:rsidRDefault="0071188D">
      <w:pPr>
        <w:bidi w:val="0"/>
        <w:rPr>
          <w:rFonts w:cs="David"/>
          <w:rtl/>
        </w:rPr>
      </w:pPr>
    </w:p>
    <w:p w:rsidR="003715D5" w:rsidRDefault="00002410" w:rsidP="003715D5">
      <w:pPr>
        <w:pStyle w:val="2"/>
        <w:numPr>
          <w:ilvl w:val="0"/>
          <w:numId w:val="2"/>
        </w:numPr>
        <w:tabs>
          <w:tab w:val="clear" w:pos="566"/>
          <w:tab w:val="left" w:pos="620"/>
        </w:tabs>
        <w:spacing w:after="120"/>
        <w:ind w:left="620" w:hanging="486"/>
        <w:rPr>
          <w:sz w:val="28"/>
          <w:rtl/>
          <w:lang w:eastAsia="en-US"/>
        </w:rPr>
      </w:pPr>
      <w:r>
        <w:rPr>
          <w:rFonts w:hint="cs"/>
          <w:sz w:val="28"/>
          <w:rtl/>
          <w:lang w:eastAsia="en-US"/>
        </w:rPr>
        <w:t xml:space="preserve">מועד הערעור הקבוע בחוק </w:t>
      </w:r>
      <w:proofErr w:type="spellStart"/>
      <w:r>
        <w:rPr>
          <w:rFonts w:hint="cs"/>
          <w:sz w:val="28"/>
          <w:rtl/>
          <w:lang w:eastAsia="en-US"/>
        </w:rPr>
        <w:t>הגימלאות</w:t>
      </w:r>
      <w:proofErr w:type="spellEnd"/>
      <w:r>
        <w:rPr>
          <w:rFonts w:hint="cs"/>
          <w:sz w:val="28"/>
          <w:rtl/>
          <w:lang w:eastAsia="en-US"/>
        </w:rPr>
        <w:t xml:space="preserve"> אינו חל על המערער</w:t>
      </w:r>
    </w:p>
    <w:p w:rsidR="003715D5" w:rsidRDefault="00002410" w:rsidP="003715D5">
      <w:pPr>
        <w:numPr>
          <w:ilvl w:val="0"/>
          <w:numId w:val="1"/>
        </w:numPr>
        <w:tabs>
          <w:tab w:val="left" w:pos="566"/>
        </w:tabs>
        <w:spacing w:after="200" w:line="360" w:lineRule="auto"/>
        <w:ind w:left="566" w:hanging="540"/>
        <w:jc w:val="both"/>
        <w:rPr>
          <w:rFonts w:cs="David"/>
        </w:rPr>
      </w:pPr>
      <w:r>
        <w:rPr>
          <w:rFonts w:cs="David" w:hint="cs"/>
          <w:rtl/>
        </w:rPr>
        <w:t xml:space="preserve">חוזה הבכירים מסדיר את העסקתו של המערער, והמשיבות אינן חולקות על כך שהוא קובע </w:t>
      </w:r>
      <w:r>
        <w:rPr>
          <w:rFonts w:cs="David"/>
          <w:rtl/>
        </w:rPr>
        <w:t>–</w:t>
      </w:r>
      <w:r>
        <w:rPr>
          <w:rFonts w:cs="David" w:hint="cs"/>
          <w:rtl/>
        </w:rPr>
        <w:t xml:space="preserve"> שככלל חוק </w:t>
      </w:r>
      <w:proofErr w:type="spellStart"/>
      <w:r>
        <w:rPr>
          <w:rFonts w:cs="David" w:hint="cs"/>
          <w:rtl/>
        </w:rPr>
        <w:t>הגימלאות</w:t>
      </w:r>
      <w:proofErr w:type="spellEnd"/>
      <w:r>
        <w:rPr>
          <w:rFonts w:cs="David" w:hint="cs"/>
          <w:rtl/>
        </w:rPr>
        <w:t xml:space="preserve"> אינו חל על העסקתו של המערער, אלא אם הדבר נקבע במפורש בחוזה עצמו. </w:t>
      </w:r>
    </w:p>
    <w:p w:rsidR="00002410" w:rsidRDefault="00002410" w:rsidP="003715D5">
      <w:pPr>
        <w:numPr>
          <w:ilvl w:val="0"/>
          <w:numId w:val="1"/>
        </w:numPr>
        <w:tabs>
          <w:tab w:val="left" w:pos="566"/>
        </w:tabs>
        <w:spacing w:after="200" w:line="360" w:lineRule="auto"/>
        <w:ind w:left="566" w:hanging="540"/>
        <w:jc w:val="both"/>
        <w:rPr>
          <w:rFonts w:cs="David"/>
        </w:rPr>
      </w:pPr>
      <w:r>
        <w:rPr>
          <w:rFonts w:cs="David" w:hint="cs"/>
          <w:rtl/>
        </w:rPr>
        <w:t xml:space="preserve">לאחר שקבענו דברים אלה, ובכל הכבוד לפרשנות שמנסות המשיבות לכפות על החוזה, כל שנותר לנו הוא לבחון האם סעיף 43 לחוק </w:t>
      </w:r>
      <w:proofErr w:type="spellStart"/>
      <w:r>
        <w:rPr>
          <w:rFonts w:cs="David" w:hint="cs"/>
          <w:rtl/>
        </w:rPr>
        <w:t>הגימלאות</w:t>
      </w:r>
      <w:proofErr w:type="spellEnd"/>
      <w:r>
        <w:rPr>
          <w:rFonts w:cs="David" w:hint="cs"/>
          <w:rtl/>
        </w:rPr>
        <w:t xml:space="preserve">, הקובע </w:t>
      </w:r>
      <w:r w:rsidR="00330D82">
        <w:rPr>
          <w:rFonts w:cs="David" w:hint="cs"/>
          <w:rtl/>
        </w:rPr>
        <w:t xml:space="preserve">את מועד הגשת הערעור, הוחל במפורש במסגרת חוזה הבכירים. התשובה על כך ברורה: </w:t>
      </w:r>
      <w:r w:rsidR="00330D82">
        <w:rPr>
          <w:rFonts w:cs="David" w:hint="cs"/>
          <w:b/>
          <w:bCs/>
          <w:rtl/>
        </w:rPr>
        <w:t xml:space="preserve">סעיף 43 לחוק </w:t>
      </w:r>
      <w:proofErr w:type="spellStart"/>
      <w:r w:rsidR="00330D82">
        <w:rPr>
          <w:rFonts w:cs="David" w:hint="cs"/>
          <w:b/>
          <w:bCs/>
          <w:rtl/>
        </w:rPr>
        <w:t>הגימלאות</w:t>
      </w:r>
      <w:proofErr w:type="spellEnd"/>
      <w:r w:rsidR="00330D82">
        <w:rPr>
          <w:rFonts w:cs="David" w:hint="cs"/>
          <w:b/>
          <w:bCs/>
          <w:rtl/>
        </w:rPr>
        <w:t xml:space="preserve"> לא הוחל על העסקתו של המערער בחוזה בכירים, וכל ניסיון להציג את הדברים בדרך אחרת נדון לכישלון.</w:t>
      </w:r>
    </w:p>
    <w:p w:rsidR="003715D5" w:rsidRDefault="003715D5" w:rsidP="003715D5">
      <w:pPr>
        <w:pStyle w:val="2"/>
        <w:tabs>
          <w:tab w:val="clear" w:pos="566"/>
          <w:tab w:val="left" w:pos="620"/>
        </w:tabs>
        <w:spacing w:after="120"/>
        <w:ind w:left="620" w:firstLine="0"/>
        <w:rPr>
          <w:sz w:val="28"/>
          <w:lang w:eastAsia="en-US"/>
        </w:rPr>
      </w:pPr>
    </w:p>
    <w:p w:rsidR="0071188D" w:rsidRDefault="000A29AB" w:rsidP="00B73B66">
      <w:pPr>
        <w:pStyle w:val="2"/>
        <w:numPr>
          <w:ilvl w:val="0"/>
          <w:numId w:val="2"/>
        </w:numPr>
        <w:tabs>
          <w:tab w:val="clear" w:pos="566"/>
          <w:tab w:val="left" w:pos="620"/>
        </w:tabs>
        <w:spacing w:after="120"/>
        <w:ind w:left="620" w:hanging="486"/>
        <w:rPr>
          <w:sz w:val="28"/>
          <w:lang w:eastAsia="en-US"/>
        </w:rPr>
      </w:pPr>
      <w:r>
        <w:rPr>
          <w:rFonts w:hint="cs"/>
          <w:sz w:val="28"/>
          <w:rtl/>
          <w:lang w:eastAsia="en-US"/>
        </w:rPr>
        <w:t xml:space="preserve">הזכות להגיש ערעור על החלטת הממונה על </w:t>
      </w:r>
      <w:proofErr w:type="spellStart"/>
      <w:r>
        <w:rPr>
          <w:rFonts w:hint="cs"/>
          <w:sz w:val="28"/>
          <w:rtl/>
          <w:lang w:eastAsia="en-US"/>
        </w:rPr>
        <w:t>הגימלאות</w:t>
      </w:r>
      <w:proofErr w:type="spellEnd"/>
    </w:p>
    <w:p w:rsidR="000A29AB" w:rsidRDefault="000A29AB" w:rsidP="00627676">
      <w:pPr>
        <w:numPr>
          <w:ilvl w:val="0"/>
          <w:numId w:val="1"/>
        </w:numPr>
        <w:tabs>
          <w:tab w:val="left" w:pos="566"/>
        </w:tabs>
        <w:spacing w:after="200" w:line="360" w:lineRule="auto"/>
        <w:ind w:left="566" w:hanging="540"/>
        <w:jc w:val="both"/>
        <w:rPr>
          <w:rFonts w:cs="David"/>
        </w:rPr>
      </w:pPr>
      <w:r>
        <w:rPr>
          <w:rFonts w:cs="David" w:hint="cs"/>
          <w:rtl/>
        </w:rPr>
        <w:t xml:space="preserve">המשיבות סוברות כי הוראת סעיף 43 לחוק </w:t>
      </w:r>
      <w:proofErr w:type="spellStart"/>
      <w:r>
        <w:rPr>
          <w:rFonts w:cs="David" w:hint="cs"/>
          <w:rtl/>
        </w:rPr>
        <w:t>הגימלאות</w:t>
      </w:r>
      <w:proofErr w:type="spellEnd"/>
      <w:r>
        <w:rPr>
          <w:rFonts w:cs="David" w:hint="cs"/>
          <w:rtl/>
        </w:rPr>
        <w:t xml:space="preserve"> היא זכות </w:t>
      </w:r>
      <w:proofErr w:type="spellStart"/>
      <w:r>
        <w:rPr>
          <w:rFonts w:cs="David" w:hint="cs"/>
          <w:rtl/>
        </w:rPr>
        <w:t>הניתנה</w:t>
      </w:r>
      <w:proofErr w:type="spellEnd"/>
      <w:r>
        <w:rPr>
          <w:rFonts w:cs="David" w:hint="cs"/>
          <w:rtl/>
        </w:rPr>
        <w:t xml:space="preserve"> לעובד מדינה שפרש </w:t>
      </w:r>
      <w:proofErr w:type="spellStart"/>
      <w:r>
        <w:rPr>
          <w:rFonts w:cs="David" w:hint="cs"/>
          <w:rtl/>
        </w:rPr>
        <w:t>לגימלאות</w:t>
      </w:r>
      <w:proofErr w:type="spellEnd"/>
      <w:r>
        <w:rPr>
          <w:rFonts w:cs="David" w:hint="cs"/>
          <w:rtl/>
        </w:rPr>
        <w:t xml:space="preserve"> לערער על החלטת הממונה על </w:t>
      </w:r>
      <w:proofErr w:type="spellStart"/>
      <w:r>
        <w:rPr>
          <w:rFonts w:cs="David" w:hint="cs"/>
          <w:rtl/>
        </w:rPr>
        <w:t>הגימלאות</w:t>
      </w:r>
      <w:proofErr w:type="spellEnd"/>
      <w:r>
        <w:rPr>
          <w:rFonts w:cs="David" w:hint="cs"/>
          <w:rtl/>
        </w:rPr>
        <w:t xml:space="preserve"> (סעיף 2 לסיכום טענותיהן). </w:t>
      </w:r>
    </w:p>
    <w:p w:rsidR="00627676" w:rsidRDefault="000A29AB" w:rsidP="001638CD">
      <w:pPr>
        <w:tabs>
          <w:tab w:val="left" w:pos="566"/>
        </w:tabs>
        <w:spacing w:after="200" w:line="360" w:lineRule="auto"/>
        <w:ind w:left="566"/>
        <w:jc w:val="both"/>
        <w:rPr>
          <w:rFonts w:cs="David"/>
        </w:rPr>
      </w:pPr>
      <w:r>
        <w:rPr>
          <w:rFonts w:cs="David" w:hint="cs"/>
          <w:rtl/>
        </w:rPr>
        <w:t xml:space="preserve">אכן מדובר בזכות. אולם הזכות להשיג על החלטה מנהלית היא זכות מוקנית. בכל הכבוד, </w:t>
      </w:r>
      <w:r w:rsidRPr="000A29AB">
        <w:rPr>
          <w:rFonts w:cs="David" w:hint="cs"/>
          <w:b/>
          <w:bCs/>
          <w:rtl/>
        </w:rPr>
        <w:t xml:space="preserve">הוראת סעיף 43 לחוק </w:t>
      </w:r>
      <w:proofErr w:type="spellStart"/>
      <w:r w:rsidRPr="000A29AB">
        <w:rPr>
          <w:rFonts w:cs="David" w:hint="cs"/>
          <w:b/>
          <w:bCs/>
          <w:rtl/>
        </w:rPr>
        <w:t>הגימלאות</w:t>
      </w:r>
      <w:proofErr w:type="spellEnd"/>
      <w:r w:rsidRPr="000A29AB">
        <w:rPr>
          <w:rFonts w:cs="David" w:hint="cs"/>
          <w:b/>
          <w:bCs/>
          <w:rtl/>
        </w:rPr>
        <w:t xml:space="preserve"> באה להגביל את הזכות להשיג על החלטת הממונה על </w:t>
      </w:r>
      <w:proofErr w:type="spellStart"/>
      <w:r w:rsidRPr="000A29AB">
        <w:rPr>
          <w:rFonts w:cs="David" w:hint="cs"/>
          <w:b/>
          <w:bCs/>
          <w:rtl/>
        </w:rPr>
        <w:t>הגימלאות</w:t>
      </w:r>
      <w:proofErr w:type="spellEnd"/>
      <w:r w:rsidRPr="000A29AB">
        <w:rPr>
          <w:rFonts w:cs="David" w:hint="cs"/>
          <w:b/>
          <w:bCs/>
          <w:rtl/>
        </w:rPr>
        <w:t xml:space="preserve">, ולקבוע לה מסגרת זמנים הקצרה משמעותית </w:t>
      </w:r>
      <w:r>
        <w:rPr>
          <w:rFonts w:cs="David" w:hint="cs"/>
          <w:b/>
          <w:bCs/>
          <w:rtl/>
        </w:rPr>
        <w:t>מתקופת</w:t>
      </w:r>
      <w:r w:rsidRPr="000A29AB">
        <w:rPr>
          <w:rFonts w:cs="David" w:hint="cs"/>
          <w:b/>
          <w:bCs/>
          <w:rtl/>
        </w:rPr>
        <w:t xml:space="preserve"> ההתיישנות הבסיסי</w:t>
      </w:r>
      <w:r w:rsidR="001638CD">
        <w:rPr>
          <w:rFonts w:cs="David" w:hint="cs"/>
          <w:b/>
          <w:bCs/>
          <w:rtl/>
        </w:rPr>
        <w:t>ת בת שבע השנים הקבועה בחוק ההתיישנות</w:t>
      </w:r>
      <w:r>
        <w:rPr>
          <w:rFonts w:cs="David" w:hint="cs"/>
          <w:rtl/>
        </w:rPr>
        <w:t xml:space="preserve">. </w:t>
      </w:r>
    </w:p>
    <w:p w:rsidR="007502FB" w:rsidRDefault="001638CD" w:rsidP="00627676">
      <w:pPr>
        <w:numPr>
          <w:ilvl w:val="0"/>
          <w:numId w:val="1"/>
        </w:numPr>
        <w:tabs>
          <w:tab w:val="left" w:pos="566"/>
        </w:tabs>
        <w:spacing w:after="200" w:line="360" w:lineRule="auto"/>
        <w:ind w:left="566" w:hanging="540"/>
        <w:jc w:val="both"/>
        <w:rPr>
          <w:rFonts w:cs="David"/>
        </w:rPr>
      </w:pPr>
      <w:r>
        <w:rPr>
          <w:rFonts w:cs="David" w:hint="cs"/>
          <w:rtl/>
        </w:rPr>
        <w:t xml:space="preserve">לפיכך, הצגת הוראת סעיף 43 לחוק </w:t>
      </w:r>
      <w:proofErr w:type="spellStart"/>
      <w:r>
        <w:rPr>
          <w:rFonts w:cs="David" w:hint="cs"/>
          <w:rtl/>
        </w:rPr>
        <w:t>הגימלאות</w:t>
      </w:r>
      <w:proofErr w:type="spellEnd"/>
      <w:r>
        <w:rPr>
          <w:rFonts w:cs="David" w:hint="cs"/>
          <w:rtl/>
        </w:rPr>
        <w:t xml:space="preserve"> כ </w:t>
      </w:r>
      <w:r>
        <w:rPr>
          <w:rFonts w:cs="David"/>
          <w:rtl/>
        </w:rPr>
        <w:t>–</w:t>
      </w:r>
      <w:r>
        <w:rPr>
          <w:rFonts w:cs="David" w:hint="cs"/>
          <w:rtl/>
        </w:rPr>
        <w:t xml:space="preserve"> "זכות" עלולה להטעות. אין אנו עוסקים במקרה רגיל של עובד מדינה, המועסק על פי כתב מינוי (דירוג </w:t>
      </w:r>
      <w:r>
        <w:rPr>
          <w:rFonts w:cs="David"/>
          <w:rtl/>
        </w:rPr>
        <w:t>–</w:t>
      </w:r>
      <w:r>
        <w:rPr>
          <w:rFonts w:cs="David" w:hint="cs"/>
          <w:rtl/>
        </w:rPr>
        <w:t xml:space="preserve"> דרגה), אלא </w:t>
      </w:r>
      <w:r w:rsidRPr="007502FB">
        <w:rPr>
          <w:rFonts w:cs="David" w:hint="cs"/>
          <w:b/>
          <w:bCs/>
          <w:rtl/>
        </w:rPr>
        <w:t xml:space="preserve">בעובד </w:t>
      </w:r>
      <w:r w:rsidR="007502FB">
        <w:rPr>
          <w:rFonts w:cs="David" w:hint="cs"/>
          <w:b/>
          <w:bCs/>
          <w:rtl/>
        </w:rPr>
        <w:t xml:space="preserve">בכיר </w:t>
      </w:r>
      <w:r w:rsidRPr="007502FB">
        <w:rPr>
          <w:rFonts w:cs="David" w:hint="cs"/>
          <w:b/>
          <w:bCs/>
          <w:rtl/>
        </w:rPr>
        <w:t>שהועסק בחוזה בכירים</w:t>
      </w:r>
      <w:r w:rsidR="007502FB">
        <w:rPr>
          <w:rFonts w:cs="David" w:hint="cs"/>
          <w:b/>
          <w:bCs/>
          <w:rtl/>
        </w:rPr>
        <w:t xml:space="preserve"> אישי</w:t>
      </w:r>
      <w:r w:rsidRPr="007502FB">
        <w:rPr>
          <w:rFonts w:cs="David" w:hint="cs"/>
          <w:b/>
          <w:bCs/>
          <w:rtl/>
        </w:rPr>
        <w:t xml:space="preserve">, אשר ברירת המחדל שלו היא שחוק </w:t>
      </w:r>
      <w:proofErr w:type="spellStart"/>
      <w:r w:rsidRPr="007502FB">
        <w:rPr>
          <w:rFonts w:cs="David" w:hint="cs"/>
          <w:b/>
          <w:bCs/>
          <w:rtl/>
        </w:rPr>
        <w:t>הגימלאות</w:t>
      </w:r>
      <w:proofErr w:type="spellEnd"/>
      <w:r w:rsidRPr="007502FB">
        <w:rPr>
          <w:rFonts w:cs="David" w:hint="cs"/>
          <w:b/>
          <w:bCs/>
          <w:rtl/>
        </w:rPr>
        <w:t xml:space="preserve"> אינו חל על תנאי העסקתו</w:t>
      </w:r>
      <w:r w:rsidR="007502FB">
        <w:rPr>
          <w:rFonts w:cs="David" w:hint="cs"/>
          <w:rtl/>
        </w:rPr>
        <w:t xml:space="preserve"> (</w:t>
      </w:r>
      <w:r w:rsidR="007502FB" w:rsidRPr="007502FB">
        <w:rPr>
          <w:rFonts w:cs="David" w:hint="cs"/>
          <w:i/>
          <w:iCs/>
          <w:rtl/>
        </w:rPr>
        <w:t>סעיף 11 לחוזה הבכירים</w:t>
      </w:r>
      <w:r w:rsidR="007502FB">
        <w:rPr>
          <w:rFonts w:cs="David" w:hint="cs"/>
          <w:rtl/>
        </w:rPr>
        <w:t>)</w:t>
      </w:r>
      <w:r>
        <w:rPr>
          <w:rFonts w:cs="David" w:hint="cs"/>
          <w:rtl/>
        </w:rPr>
        <w:t>. תחולת החוק היא אך ורק על פי הוראה מפורשת בחוזה</w:t>
      </w:r>
      <w:r w:rsidR="007502FB">
        <w:rPr>
          <w:rFonts w:cs="David" w:hint="cs"/>
          <w:rtl/>
        </w:rPr>
        <w:t>.</w:t>
      </w:r>
    </w:p>
    <w:p w:rsidR="007502FB" w:rsidRDefault="007502FB" w:rsidP="007502FB">
      <w:pPr>
        <w:tabs>
          <w:tab w:val="left" w:pos="566"/>
        </w:tabs>
        <w:spacing w:after="200" w:line="360" w:lineRule="auto"/>
        <w:ind w:left="566"/>
        <w:jc w:val="both"/>
        <w:rPr>
          <w:rFonts w:cs="David"/>
          <w:rtl/>
        </w:rPr>
      </w:pPr>
      <w:r>
        <w:rPr>
          <w:rFonts w:cs="David" w:hint="cs"/>
          <w:rtl/>
        </w:rPr>
        <w:t xml:space="preserve">המערער הבהיר ופירט כי </w:t>
      </w:r>
      <w:r w:rsidRPr="00B83611">
        <w:rPr>
          <w:rFonts w:cs="David" w:hint="eastAsia"/>
          <w:b/>
          <w:bCs/>
          <w:rtl/>
        </w:rPr>
        <w:t>הוראות</w:t>
      </w:r>
      <w:r w:rsidRPr="00B83611">
        <w:rPr>
          <w:rFonts w:cs="David"/>
          <w:b/>
          <w:bCs/>
          <w:rtl/>
        </w:rPr>
        <w:t xml:space="preserve"> סעיף 43 לחוק </w:t>
      </w:r>
      <w:proofErr w:type="spellStart"/>
      <w:r w:rsidRPr="00B83611">
        <w:rPr>
          <w:rFonts w:cs="David" w:hint="eastAsia"/>
          <w:b/>
          <w:bCs/>
          <w:rtl/>
        </w:rPr>
        <w:t>הגימלאות</w:t>
      </w:r>
      <w:proofErr w:type="spellEnd"/>
      <w:r w:rsidRPr="00B83611">
        <w:rPr>
          <w:rFonts w:cs="David"/>
          <w:b/>
          <w:bCs/>
          <w:rtl/>
        </w:rPr>
        <w:t xml:space="preserve"> – הקובעות את המועד להגשת ערעור </w:t>
      </w:r>
      <w:proofErr w:type="spellStart"/>
      <w:r w:rsidRPr="00B83611">
        <w:rPr>
          <w:rFonts w:cs="David" w:hint="eastAsia"/>
          <w:b/>
          <w:bCs/>
          <w:rtl/>
        </w:rPr>
        <w:t>גימלה</w:t>
      </w:r>
      <w:proofErr w:type="spellEnd"/>
      <w:r w:rsidRPr="00B83611">
        <w:rPr>
          <w:rFonts w:cs="David"/>
          <w:b/>
          <w:bCs/>
          <w:rtl/>
        </w:rPr>
        <w:t xml:space="preserve"> – </w:t>
      </w:r>
      <w:r w:rsidRPr="001B21E4">
        <w:rPr>
          <w:rFonts w:cs="David" w:hint="eastAsia"/>
          <w:b/>
          <w:bCs/>
          <w:u w:val="single"/>
          <w:rtl/>
        </w:rPr>
        <w:t>לא</w:t>
      </w:r>
      <w:r w:rsidRPr="00B83611">
        <w:rPr>
          <w:rFonts w:cs="David"/>
          <w:b/>
          <w:bCs/>
          <w:rtl/>
        </w:rPr>
        <w:t xml:space="preserve"> הוחרגו מהכלל לפיו הוראות חוק </w:t>
      </w:r>
      <w:proofErr w:type="spellStart"/>
      <w:r w:rsidRPr="00B83611">
        <w:rPr>
          <w:rFonts w:cs="David" w:hint="eastAsia"/>
          <w:b/>
          <w:bCs/>
          <w:rtl/>
        </w:rPr>
        <w:t>הגימלאות</w:t>
      </w:r>
      <w:proofErr w:type="spellEnd"/>
      <w:r w:rsidRPr="00B83611">
        <w:rPr>
          <w:rFonts w:cs="David"/>
          <w:b/>
          <w:bCs/>
          <w:rtl/>
        </w:rPr>
        <w:t xml:space="preserve"> אינן חלות על המערער</w:t>
      </w:r>
      <w:r>
        <w:rPr>
          <w:rFonts w:cs="David" w:hint="cs"/>
          <w:b/>
          <w:bCs/>
          <w:rtl/>
        </w:rPr>
        <w:t>, ואינן חלות על תנאי העסקתו במסגרת חוזה הבכירים</w:t>
      </w:r>
      <w:r w:rsidRPr="001B21E4">
        <w:rPr>
          <w:rFonts w:cs="David"/>
          <w:rtl/>
        </w:rPr>
        <w:t>.</w:t>
      </w:r>
    </w:p>
    <w:p w:rsidR="007502FB" w:rsidRDefault="007502FB" w:rsidP="007502FB">
      <w:pPr>
        <w:tabs>
          <w:tab w:val="left" w:pos="566"/>
        </w:tabs>
        <w:spacing w:after="200" w:line="360" w:lineRule="auto"/>
        <w:ind w:left="566"/>
        <w:jc w:val="both"/>
        <w:rPr>
          <w:rFonts w:cs="David"/>
        </w:rPr>
      </w:pPr>
      <w:r w:rsidRPr="007502FB">
        <w:rPr>
          <w:rFonts w:cs="David" w:hint="eastAsia"/>
          <w:rtl/>
        </w:rPr>
        <w:t>סעיף</w:t>
      </w:r>
      <w:r w:rsidRPr="007502FB">
        <w:rPr>
          <w:rFonts w:cs="David"/>
          <w:rtl/>
        </w:rPr>
        <w:t xml:space="preserve"> 12.ה. </w:t>
      </w:r>
      <w:r w:rsidRPr="007502FB">
        <w:rPr>
          <w:rFonts w:cs="David" w:hint="eastAsia"/>
          <w:rtl/>
        </w:rPr>
        <w:t>לחוזה</w:t>
      </w:r>
      <w:r w:rsidRPr="007502FB">
        <w:rPr>
          <w:rFonts w:cs="David"/>
          <w:rtl/>
        </w:rPr>
        <w:t xml:space="preserve"> </w:t>
      </w:r>
      <w:r w:rsidRPr="007502FB">
        <w:rPr>
          <w:rFonts w:cs="David" w:hint="eastAsia"/>
          <w:rtl/>
        </w:rPr>
        <w:t>הבכירים</w:t>
      </w:r>
      <w:r w:rsidRPr="00591BA0">
        <w:rPr>
          <w:rFonts w:cs="David"/>
          <w:b/>
          <w:bCs/>
          <w:rtl/>
        </w:rPr>
        <w:t xml:space="preserve"> </w:t>
      </w:r>
      <w:r w:rsidRPr="00591BA0">
        <w:rPr>
          <w:rFonts w:cs="David" w:hint="eastAsia"/>
          <w:rtl/>
        </w:rPr>
        <w:t>מוסיף</w:t>
      </w:r>
      <w:r w:rsidRPr="00591BA0">
        <w:rPr>
          <w:rFonts w:cs="David"/>
          <w:rtl/>
        </w:rPr>
        <w:t xml:space="preserve"> וקובע כי כוונת החוזה היא לזכויות המגיעות מכוח חוק </w:t>
      </w:r>
      <w:proofErr w:type="spellStart"/>
      <w:r w:rsidRPr="00591BA0">
        <w:rPr>
          <w:rFonts w:cs="David" w:hint="eastAsia"/>
          <w:rtl/>
        </w:rPr>
        <w:t>הגימלאות</w:t>
      </w:r>
      <w:proofErr w:type="spellEnd"/>
      <w:r w:rsidRPr="00591BA0">
        <w:rPr>
          <w:rFonts w:cs="David"/>
          <w:rtl/>
        </w:rPr>
        <w:t>.</w:t>
      </w:r>
      <w:r>
        <w:rPr>
          <w:rFonts w:cs="David" w:hint="cs"/>
          <w:rtl/>
        </w:rPr>
        <w:t xml:space="preserve"> עמדנו על כך שבכל הכבוד הוראת סעיף 43 לחוק </w:t>
      </w:r>
      <w:proofErr w:type="spellStart"/>
      <w:r>
        <w:rPr>
          <w:rFonts w:cs="David" w:hint="cs"/>
          <w:rtl/>
        </w:rPr>
        <w:t>הגימלאות</w:t>
      </w:r>
      <w:proofErr w:type="spellEnd"/>
      <w:r>
        <w:rPr>
          <w:rFonts w:cs="David" w:hint="cs"/>
          <w:rtl/>
        </w:rPr>
        <w:t xml:space="preserve"> אינה מקנה זכות, אלא מגבילה אותה.</w:t>
      </w:r>
    </w:p>
    <w:p w:rsidR="001638CD" w:rsidRDefault="007502FB" w:rsidP="00627676">
      <w:pPr>
        <w:numPr>
          <w:ilvl w:val="0"/>
          <w:numId w:val="1"/>
        </w:numPr>
        <w:tabs>
          <w:tab w:val="left" w:pos="566"/>
        </w:tabs>
        <w:spacing w:after="200" w:line="360" w:lineRule="auto"/>
        <w:ind w:left="566" w:hanging="540"/>
        <w:jc w:val="both"/>
        <w:rPr>
          <w:rFonts w:cs="David"/>
        </w:rPr>
      </w:pPr>
      <w:r>
        <w:rPr>
          <w:rFonts w:cs="David" w:hint="cs"/>
          <w:rtl/>
        </w:rPr>
        <w:t xml:space="preserve">דברים אלה עולים בקנה אחד עם </w:t>
      </w:r>
      <w:r w:rsidR="00172A74">
        <w:rPr>
          <w:rFonts w:cs="David" w:hint="cs"/>
          <w:rtl/>
        </w:rPr>
        <w:t>כוונת המדינה להיטיב עם עובדים שהוחתמו על חוזה בכירים. הטבה כאמור אינו יכולה לבוא לידי ביטוי בהגבלת זכות הגישה לערכאות, ועל כן הגבלת תקופת הערעור על החלטת הממונה אינה עולה בקנה אחד עם גישה זאת.</w:t>
      </w:r>
    </w:p>
    <w:p w:rsidR="00FA27AC" w:rsidRPr="00FA27AC" w:rsidRDefault="00FA27AC" w:rsidP="00FA27AC">
      <w:pPr>
        <w:rPr>
          <w:lang w:eastAsia="en-US"/>
        </w:rPr>
      </w:pPr>
    </w:p>
    <w:p w:rsidR="003715D5" w:rsidRDefault="00BE0CEB" w:rsidP="008059F0">
      <w:pPr>
        <w:pStyle w:val="2"/>
        <w:numPr>
          <w:ilvl w:val="0"/>
          <w:numId w:val="2"/>
        </w:numPr>
        <w:tabs>
          <w:tab w:val="clear" w:pos="566"/>
          <w:tab w:val="left" w:pos="620"/>
        </w:tabs>
        <w:spacing w:after="120"/>
        <w:ind w:left="620" w:hanging="486"/>
        <w:rPr>
          <w:sz w:val="28"/>
          <w:lang w:eastAsia="en-US"/>
        </w:rPr>
      </w:pPr>
      <w:r>
        <w:rPr>
          <w:rFonts w:hint="cs"/>
          <w:sz w:val="28"/>
          <w:rtl/>
          <w:lang w:eastAsia="en-US"/>
        </w:rPr>
        <w:t>הארכת החוזה האחרונה</w:t>
      </w:r>
    </w:p>
    <w:p w:rsidR="00BE0CEB" w:rsidRDefault="00BE0CEB" w:rsidP="00FE4E31">
      <w:pPr>
        <w:numPr>
          <w:ilvl w:val="0"/>
          <w:numId w:val="1"/>
        </w:numPr>
        <w:tabs>
          <w:tab w:val="left" w:pos="566"/>
        </w:tabs>
        <w:spacing w:after="200" w:line="360" w:lineRule="auto"/>
        <w:ind w:left="566" w:hanging="540"/>
        <w:jc w:val="both"/>
        <w:rPr>
          <w:rFonts w:cs="David"/>
        </w:rPr>
      </w:pPr>
      <w:r>
        <w:rPr>
          <w:rFonts w:cs="David" w:hint="cs"/>
          <w:rtl/>
        </w:rPr>
        <w:t xml:space="preserve">בסעיף 8 לסיכומי טענותיהן של המשיבות נכתב כי לכאורה הארכת החוזה האחרונה </w:t>
      </w:r>
      <w:proofErr w:type="spellStart"/>
      <w:r>
        <w:rPr>
          <w:rFonts w:cs="David" w:hint="cs"/>
          <w:rtl/>
        </w:rPr>
        <w:t>היתה</w:t>
      </w:r>
      <w:proofErr w:type="spellEnd"/>
      <w:r>
        <w:rPr>
          <w:rFonts w:cs="David" w:hint="cs"/>
          <w:rtl/>
        </w:rPr>
        <w:t xml:space="preserve"> לתקופה של שנתיים ושישה חודשים מכוח מכתב של נציב השירות. יודג</w:t>
      </w:r>
      <w:r w:rsidR="00FE4E31">
        <w:rPr>
          <w:rFonts w:cs="David" w:hint="cs"/>
          <w:rtl/>
        </w:rPr>
        <w:t>ש כי מכתב זה הוצג למערער בדיעבד</w:t>
      </w:r>
      <w:r>
        <w:rPr>
          <w:rFonts w:cs="David" w:hint="cs"/>
          <w:rtl/>
        </w:rPr>
        <w:t xml:space="preserve">. </w:t>
      </w:r>
    </w:p>
    <w:p w:rsidR="00BE0CEB" w:rsidRDefault="00BE0CEB" w:rsidP="00BE0CEB">
      <w:pPr>
        <w:numPr>
          <w:ilvl w:val="0"/>
          <w:numId w:val="1"/>
        </w:numPr>
        <w:tabs>
          <w:tab w:val="left" w:pos="566"/>
        </w:tabs>
        <w:spacing w:after="200" w:line="360" w:lineRule="auto"/>
        <w:ind w:left="566" w:hanging="540"/>
        <w:jc w:val="both"/>
        <w:rPr>
          <w:rFonts w:cs="David"/>
        </w:rPr>
      </w:pPr>
      <w:r>
        <w:rPr>
          <w:rFonts w:cs="David" w:hint="cs"/>
          <w:rtl/>
        </w:rPr>
        <w:lastRenderedPageBreak/>
        <w:t xml:space="preserve">האמת הפשוטה היא </w:t>
      </w:r>
      <w:r w:rsidRPr="00987D61">
        <w:rPr>
          <w:rFonts w:cs="David" w:hint="cs"/>
          <w:b/>
          <w:bCs/>
          <w:rtl/>
        </w:rPr>
        <w:t xml:space="preserve">שתוקפו של החוזה של המערער הוארך </w:t>
      </w:r>
      <w:r w:rsidRPr="00987D61">
        <w:rPr>
          <w:rFonts w:cs="David" w:hint="cs"/>
          <w:b/>
          <w:bCs/>
          <w:u w:val="single"/>
          <w:rtl/>
        </w:rPr>
        <w:t>מאליו</w:t>
      </w:r>
      <w:r w:rsidRPr="00987D61">
        <w:rPr>
          <w:rFonts w:cs="David" w:hint="cs"/>
          <w:b/>
          <w:bCs/>
          <w:rtl/>
        </w:rPr>
        <w:t xml:space="preserve"> בשנת 2010, ולא נדרשה כל פעולה בעניין זה</w:t>
      </w:r>
      <w:r>
        <w:rPr>
          <w:rFonts w:cs="David" w:hint="cs"/>
          <w:rtl/>
        </w:rPr>
        <w:t>. כך נעשה חמש פעמים, וכפי שכתבו גם המשיבות בסעיף 7</w:t>
      </w:r>
      <w:r w:rsidR="00FE4E31">
        <w:rPr>
          <w:rFonts w:cs="David" w:hint="cs"/>
          <w:rtl/>
        </w:rPr>
        <w:t>,</w:t>
      </w:r>
      <w:r>
        <w:rPr>
          <w:rFonts w:cs="David" w:hint="cs"/>
          <w:rtl/>
        </w:rPr>
        <w:t xml:space="preserve"> תוקפו של החוזה </w:t>
      </w:r>
      <w:r w:rsidRPr="00FE4E31">
        <w:rPr>
          <w:rFonts w:cs="David" w:hint="cs"/>
          <w:b/>
          <w:bCs/>
          <w:rtl/>
        </w:rPr>
        <w:t>הוארך מאליו</w:t>
      </w:r>
      <w:r>
        <w:rPr>
          <w:rFonts w:cs="David" w:hint="cs"/>
          <w:rtl/>
        </w:rPr>
        <w:t xml:space="preserve">. </w:t>
      </w:r>
      <w:r w:rsidR="00FE4E31">
        <w:rPr>
          <w:rFonts w:cs="David" w:hint="cs"/>
          <w:rtl/>
        </w:rPr>
        <w:t xml:space="preserve">לפיכך, ואלא אם ננקטו הפעולות הנדרשות על פי חוזה הבכירים </w:t>
      </w:r>
      <w:r w:rsidR="00FE4E31">
        <w:rPr>
          <w:rFonts w:cs="David"/>
          <w:rtl/>
        </w:rPr>
        <w:t>–</w:t>
      </w:r>
      <w:r w:rsidR="00FE4E31">
        <w:rPr>
          <w:rFonts w:cs="David" w:hint="cs"/>
          <w:rtl/>
        </w:rPr>
        <w:t xml:space="preserve"> שהמשיבות אינן טוענות שהן ננקטו בפועל </w:t>
      </w:r>
      <w:r w:rsidR="00FE4E31">
        <w:rPr>
          <w:rFonts w:cs="David"/>
          <w:rtl/>
        </w:rPr>
        <w:t>–</w:t>
      </w:r>
      <w:r w:rsidR="00FE4E31">
        <w:rPr>
          <w:rFonts w:cs="David" w:hint="cs"/>
          <w:rtl/>
        </w:rPr>
        <w:t xml:space="preserve"> ההארכה נעשתה מאליה, ואין תוקף למכתב הפנימי עליו מסתמכות המשיבות, מכתב שהמערער לא ראה בזמן אמת.</w:t>
      </w:r>
    </w:p>
    <w:p w:rsidR="00BE0CEB" w:rsidRDefault="00BE0CEB" w:rsidP="00FE4E31">
      <w:pPr>
        <w:numPr>
          <w:ilvl w:val="0"/>
          <w:numId w:val="1"/>
        </w:numPr>
        <w:tabs>
          <w:tab w:val="left" w:pos="566"/>
        </w:tabs>
        <w:spacing w:after="200" w:line="360" w:lineRule="auto"/>
        <w:ind w:left="566" w:hanging="540"/>
        <w:jc w:val="both"/>
        <w:rPr>
          <w:rFonts w:cs="David"/>
        </w:rPr>
      </w:pPr>
      <w:r>
        <w:rPr>
          <w:rFonts w:cs="David" w:hint="cs"/>
          <w:rtl/>
        </w:rPr>
        <w:t>בוודאי שהמערער לא סירב לחתום על הארכת החוזה, כפי שטוענות המשיבות. הוא לא נדרש לעשות זאת, מאחר ש</w:t>
      </w:r>
      <w:r w:rsidR="00FE4E31">
        <w:rPr>
          <w:rFonts w:cs="David" w:hint="cs"/>
          <w:rtl/>
        </w:rPr>
        <w:t>ההארכה היא אוטומטית, וממילא לא טוענות המשיבות</w:t>
      </w:r>
      <w:r>
        <w:rPr>
          <w:rFonts w:cs="David" w:hint="cs"/>
          <w:rtl/>
        </w:rPr>
        <w:t xml:space="preserve"> מתי סירב המערער לחתום על הארכת החוזה, מי פנה אליו או מהו החוזה </w:t>
      </w:r>
      <w:r w:rsidR="00FE4E31">
        <w:rPr>
          <w:rFonts w:cs="David" w:hint="cs"/>
          <w:rtl/>
        </w:rPr>
        <w:t xml:space="preserve">עליו הוא נדרש לחתום. </w:t>
      </w:r>
    </w:p>
    <w:p w:rsidR="00987D61" w:rsidRDefault="00987D61" w:rsidP="00987D61">
      <w:pPr>
        <w:numPr>
          <w:ilvl w:val="0"/>
          <w:numId w:val="1"/>
        </w:numPr>
        <w:tabs>
          <w:tab w:val="left" w:pos="566"/>
        </w:tabs>
        <w:spacing w:after="200" w:line="360" w:lineRule="auto"/>
        <w:ind w:left="566" w:hanging="540"/>
        <w:jc w:val="both"/>
        <w:rPr>
          <w:rFonts w:cs="David"/>
        </w:rPr>
      </w:pPr>
      <w:r>
        <w:rPr>
          <w:rFonts w:cs="David" w:hint="cs"/>
          <w:rtl/>
        </w:rPr>
        <w:t xml:space="preserve">נוסיף ונבהיר כי הטענה שניתן לפטר את המערער בהודעה של שלושה חודשים מראש אינה מציגה את התמונה המלאה </w:t>
      </w:r>
      <w:r>
        <w:rPr>
          <w:rFonts w:cs="David"/>
          <w:rtl/>
        </w:rPr>
        <w:t>–</w:t>
      </w:r>
      <w:r>
        <w:rPr>
          <w:rFonts w:cs="David" w:hint="cs"/>
          <w:rtl/>
        </w:rPr>
        <w:t xml:space="preserve"> שכן </w:t>
      </w:r>
      <w:r w:rsidRPr="00987D61">
        <w:rPr>
          <w:rFonts w:cs="David" w:hint="cs"/>
          <w:b/>
          <w:bCs/>
          <w:rtl/>
        </w:rPr>
        <w:t>נדרשת פנייה מנומקת של מנכ"ל המשרד (משמע - עילה לפיטורים), ואישור נציב השירות וועדת השירות</w:t>
      </w:r>
      <w:r>
        <w:rPr>
          <w:rFonts w:cs="David" w:hint="cs"/>
          <w:b/>
          <w:bCs/>
          <w:rtl/>
        </w:rPr>
        <w:t xml:space="preserve"> (סעיף 4.ב.)</w:t>
      </w:r>
      <w:r>
        <w:rPr>
          <w:rFonts w:cs="David" w:hint="cs"/>
          <w:rtl/>
        </w:rPr>
        <w:t>. עוד מוסיף החוזה וקובע כי "</w:t>
      </w:r>
      <w:r w:rsidRPr="00987D61">
        <w:rPr>
          <w:rFonts w:cs="David" w:hint="cs"/>
          <w:i/>
          <w:iCs/>
          <w:rtl/>
        </w:rPr>
        <w:t xml:space="preserve">הפסקת עבודה </w:t>
      </w:r>
      <w:r w:rsidRPr="00987D61">
        <w:rPr>
          <w:rFonts w:cs="David"/>
          <w:i/>
          <w:iCs/>
          <w:rtl/>
        </w:rPr>
        <w:t>–</w:t>
      </w:r>
      <w:r w:rsidRPr="00987D61">
        <w:rPr>
          <w:rFonts w:cs="David" w:hint="cs"/>
          <w:i/>
          <w:iCs/>
          <w:rtl/>
        </w:rPr>
        <w:t xml:space="preserve"> לרבות אי חידוש החוזה בתום תוקפו</w:t>
      </w:r>
      <w:r>
        <w:rPr>
          <w:rFonts w:cs="David" w:hint="cs"/>
          <w:rtl/>
        </w:rPr>
        <w:t xml:space="preserve">".  </w:t>
      </w:r>
    </w:p>
    <w:p w:rsidR="00987D61" w:rsidRDefault="00987D61" w:rsidP="00987D61">
      <w:pPr>
        <w:tabs>
          <w:tab w:val="left" w:pos="566"/>
        </w:tabs>
        <w:spacing w:after="200" w:line="360" w:lineRule="auto"/>
        <w:ind w:left="566"/>
        <w:jc w:val="both"/>
        <w:rPr>
          <w:rFonts w:cs="David"/>
        </w:rPr>
      </w:pPr>
      <w:r>
        <w:rPr>
          <w:rFonts w:cs="David" w:hint="cs"/>
          <w:rtl/>
        </w:rPr>
        <w:t xml:space="preserve">אין ספק שהדבר לא נעשה במקרה זה, ולכן לא יכול להיות תוקף להחלטה לא להאריך את תוקפו של החוזה בארבע שנים נוספות, אלא אם נעשתה בהתאם לחוזה. </w:t>
      </w:r>
    </w:p>
    <w:p w:rsidR="008059F0" w:rsidRPr="008059F0" w:rsidRDefault="0071188D" w:rsidP="008059F0">
      <w:pPr>
        <w:pStyle w:val="2"/>
        <w:numPr>
          <w:ilvl w:val="0"/>
          <w:numId w:val="2"/>
        </w:numPr>
        <w:tabs>
          <w:tab w:val="clear" w:pos="566"/>
          <w:tab w:val="left" w:pos="620"/>
        </w:tabs>
        <w:spacing w:after="120"/>
        <w:ind w:left="620" w:hanging="486"/>
        <w:rPr>
          <w:sz w:val="28"/>
          <w:lang w:eastAsia="en-US"/>
        </w:rPr>
      </w:pPr>
      <w:r>
        <w:rPr>
          <w:rFonts w:hint="cs"/>
          <w:sz w:val="28"/>
          <w:rtl/>
          <w:lang w:eastAsia="en-US"/>
        </w:rPr>
        <w:t>פניותיו הרבות של המערער למשיבות</w:t>
      </w:r>
    </w:p>
    <w:p w:rsidR="0071188D" w:rsidRDefault="00627676" w:rsidP="001B21E4">
      <w:pPr>
        <w:numPr>
          <w:ilvl w:val="0"/>
          <w:numId w:val="1"/>
        </w:numPr>
        <w:tabs>
          <w:tab w:val="left" w:pos="566"/>
        </w:tabs>
        <w:spacing w:after="200" w:line="360" w:lineRule="auto"/>
        <w:ind w:left="566" w:hanging="540"/>
        <w:jc w:val="both"/>
        <w:rPr>
          <w:rFonts w:cs="David"/>
        </w:rPr>
      </w:pPr>
      <w:r>
        <w:rPr>
          <w:rFonts w:cs="David" w:hint="cs"/>
          <w:rtl/>
        </w:rPr>
        <w:t>ב</w:t>
      </w:r>
      <w:r w:rsidR="00C00B4D">
        <w:rPr>
          <w:rFonts w:cs="David" w:hint="cs"/>
          <w:rtl/>
        </w:rPr>
        <w:t>סעיף 43 לפסק הדי</w:t>
      </w:r>
      <w:r>
        <w:rPr>
          <w:rFonts w:cs="David" w:hint="cs"/>
          <w:rtl/>
        </w:rPr>
        <w:t>ן נקבע כי המערער טען שפנה לאורך השנים לגורמים שונים, אך לא הציג אסמכתאות לכך. המערער טען כי כתב התביעה אינו המקום לצירוף אסמכתאות מסוג זה, וכי פירט בכתב התביעה מעל ומעבר לנדרש את נסיבות פניותיו הרבות לגורמים שונים, ואף צירף חלק מהן לכתב התביעה.</w:t>
      </w:r>
    </w:p>
    <w:p w:rsidR="00627676" w:rsidRDefault="00627676" w:rsidP="001B21E4">
      <w:pPr>
        <w:numPr>
          <w:ilvl w:val="0"/>
          <w:numId w:val="1"/>
        </w:numPr>
        <w:tabs>
          <w:tab w:val="left" w:pos="566"/>
        </w:tabs>
        <w:spacing w:after="200" w:line="360" w:lineRule="auto"/>
        <w:ind w:left="566" w:hanging="540"/>
        <w:jc w:val="both"/>
        <w:rPr>
          <w:rFonts w:cs="David"/>
        </w:rPr>
      </w:pPr>
      <w:r>
        <w:rPr>
          <w:rFonts w:cs="David" w:hint="cs"/>
          <w:rtl/>
        </w:rPr>
        <w:t xml:space="preserve">בסעיף 14 לסיכומיהן מודות המשיבות, בהגינותן, כי המערער אכן פנה פעמים רבות לגורמים שונים. וכך נכתב </w:t>
      </w:r>
      <w:r>
        <w:rPr>
          <w:rFonts w:cs="David"/>
          <w:rtl/>
        </w:rPr>
        <w:t>–</w:t>
      </w:r>
      <w:r>
        <w:rPr>
          <w:rFonts w:cs="David" w:hint="cs"/>
          <w:rtl/>
        </w:rPr>
        <w:t xml:space="preserve"> "... </w:t>
      </w:r>
      <w:r>
        <w:rPr>
          <w:rFonts w:cs="David" w:hint="cs"/>
          <w:b/>
          <w:bCs/>
          <w:i/>
          <w:iCs/>
          <w:rtl/>
        </w:rPr>
        <w:t>לאורך השנים פנה המערער למשרד האוצר ולנציבות בפניות חוזרות ונשנות, עם טענות דומות בעניין דרגת פרישתו ואופן חישוב גמלתו. ..</w:t>
      </w:r>
      <w:r>
        <w:rPr>
          <w:rFonts w:cs="David" w:hint="cs"/>
          <w:rtl/>
        </w:rPr>
        <w:t>"</w:t>
      </w:r>
      <w:r w:rsidR="00F0428E">
        <w:rPr>
          <w:rFonts w:cs="David" w:hint="cs"/>
          <w:rtl/>
        </w:rPr>
        <w:t xml:space="preserve"> (ראו גם סעיף 49 לסיכומי המשיבות)</w:t>
      </w:r>
      <w:r>
        <w:rPr>
          <w:rFonts w:cs="David" w:hint="cs"/>
          <w:rtl/>
        </w:rPr>
        <w:t>. בכך, למעשה, ירדה אחת הלבנות המרכזיות שתמכו את פסק הדין, שכן אין מחלוקת עוד על הפניות הרבות של המערער למשיבות בעניינים שעומדים על הפרק.</w:t>
      </w:r>
    </w:p>
    <w:p w:rsidR="008059F0" w:rsidRDefault="008059F0" w:rsidP="008059F0">
      <w:pPr>
        <w:tabs>
          <w:tab w:val="left" w:pos="566"/>
        </w:tabs>
        <w:spacing w:after="200" w:line="360" w:lineRule="auto"/>
        <w:ind w:left="566"/>
        <w:jc w:val="both"/>
        <w:rPr>
          <w:rFonts w:cs="David"/>
        </w:rPr>
      </w:pPr>
    </w:p>
    <w:p w:rsidR="008C4258" w:rsidRDefault="008C4258" w:rsidP="008C4258">
      <w:pPr>
        <w:pStyle w:val="2"/>
        <w:numPr>
          <w:ilvl w:val="0"/>
          <w:numId w:val="2"/>
        </w:numPr>
        <w:tabs>
          <w:tab w:val="clear" w:pos="566"/>
          <w:tab w:val="left" w:pos="620"/>
        </w:tabs>
        <w:spacing w:after="120"/>
        <w:ind w:left="620" w:hanging="486"/>
        <w:rPr>
          <w:sz w:val="28"/>
          <w:lang w:eastAsia="en-US"/>
        </w:rPr>
      </w:pPr>
      <w:r>
        <w:rPr>
          <w:rFonts w:hint="cs"/>
          <w:sz w:val="28"/>
          <w:rtl/>
          <w:lang w:eastAsia="en-US"/>
        </w:rPr>
        <w:t xml:space="preserve">הערה בעניין העלאת טענת התיישנות </w:t>
      </w:r>
      <w:r w:rsidR="00FA27AC">
        <w:rPr>
          <w:rFonts w:hint="cs"/>
          <w:sz w:val="28"/>
          <w:rtl/>
          <w:lang w:eastAsia="en-US"/>
        </w:rPr>
        <w:t xml:space="preserve">ושיהוי </w:t>
      </w:r>
      <w:r>
        <w:rPr>
          <w:rFonts w:hint="cs"/>
          <w:sz w:val="28"/>
          <w:rtl/>
          <w:lang w:eastAsia="en-US"/>
        </w:rPr>
        <w:t>מטעם המדינה</w:t>
      </w:r>
    </w:p>
    <w:p w:rsidR="008C4258" w:rsidRDefault="008C4258" w:rsidP="006700B8">
      <w:pPr>
        <w:numPr>
          <w:ilvl w:val="0"/>
          <w:numId w:val="1"/>
        </w:numPr>
        <w:tabs>
          <w:tab w:val="left" w:pos="566"/>
        </w:tabs>
        <w:spacing w:after="200" w:line="360" w:lineRule="auto"/>
        <w:ind w:left="566" w:hanging="540"/>
        <w:jc w:val="both"/>
        <w:rPr>
          <w:rFonts w:cs="David"/>
        </w:rPr>
      </w:pPr>
      <w:r w:rsidRPr="008C4258">
        <w:rPr>
          <w:rFonts w:cs="David" w:hint="cs"/>
          <w:rtl/>
        </w:rPr>
        <w:t>בפרק ו' לתשובת התובע לבקשה המשיבות לסילוק התביעה על הסף בבית הדין קמא, כתב המערער כי אכן "</w:t>
      </w:r>
      <w:r w:rsidRPr="008C4258">
        <w:rPr>
          <w:rFonts w:cs="David" w:hint="cs"/>
          <w:i/>
          <w:iCs/>
          <w:rtl/>
        </w:rPr>
        <w:t>חלפה התקופה בה נמנעה המדינה מהעלאת טענות שיהוי והתיישנות</w:t>
      </w:r>
      <w:r w:rsidRPr="008C4258">
        <w:rPr>
          <w:rFonts w:cs="David" w:hint="cs"/>
          <w:rtl/>
        </w:rPr>
        <w:t xml:space="preserve">". </w:t>
      </w:r>
      <w:r>
        <w:rPr>
          <w:rFonts w:cs="David" w:hint="cs"/>
          <w:rtl/>
        </w:rPr>
        <w:t xml:space="preserve">אין חולק כי בימינו מעלה המדינה טענות התיישנות. </w:t>
      </w:r>
      <w:r w:rsidRPr="008C4258">
        <w:rPr>
          <w:rFonts w:cs="David" w:hint="cs"/>
          <w:rtl/>
        </w:rPr>
        <w:t xml:space="preserve">לפיכך לא ברור מדוע בחרו המשיבות להשחית מלים בעניין זה. </w:t>
      </w:r>
    </w:p>
    <w:p w:rsidR="008C4258" w:rsidRPr="008C4258" w:rsidRDefault="008C4258" w:rsidP="00440E5D">
      <w:pPr>
        <w:tabs>
          <w:tab w:val="left" w:pos="566"/>
        </w:tabs>
        <w:spacing w:after="200" w:line="360" w:lineRule="auto"/>
        <w:ind w:left="566"/>
        <w:jc w:val="both"/>
        <w:rPr>
          <w:rFonts w:cs="David"/>
        </w:rPr>
      </w:pPr>
      <w:r w:rsidRPr="008C4258">
        <w:rPr>
          <w:rFonts w:cs="David" w:hint="cs"/>
          <w:rtl/>
        </w:rPr>
        <w:t xml:space="preserve">טענת המערער בעניין זה היא חובת ההגינות המנהלית היא שמצדיקה כי המדינה תימנע </w:t>
      </w:r>
      <w:r w:rsidRPr="008C4258">
        <w:rPr>
          <w:rFonts w:cs="David" w:hint="cs"/>
          <w:b/>
          <w:bCs/>
          <w:rtl/>
        </w:rPr>
        <w:t>במקרה זה</w:t>
      </w:r>
      <w:r w:rsidRPr="008C4258">
        <w:rPr>
          <w:rFonts w:cs="David" w:hint="cs"/>
          <w:rtl/>
        </w:rPr>
        <w:t xml:space="preserve"> מהעלאת טענות שיהוי והתיישנות. </w:t>
      </w:r>
      <w:r>
        <w:rPr>
          <w:rFonts w:cs="David" w:hint="cs"/>
          <w:rtl/>
        </w:rPr>
        <w:t xml:space="preserve">המערער הבהיר ופירט מקרים רבים בהם המדינה עצמה לא עמדה במועדים הקבועים הדין (חלקם על פי חיקוק), </w:t>
      </w:r>
      <w:r w:rsidR="00440E5D">
        <w:rPr>
          <w:rFonts w:cs="David" w:hint="cs"/>
          <w:rtl/>
        </w:rPr>
        <w:t>והשתהתה בתשובותיה (ראו התנצלות נציב תלונות בתשובתו למערער). על רקע זה טען וטוען המערער כי לא ראוי היה כי המדינה תעלה טענות מסוג זה.</w:t>
      </w:r>
    </w:p>
    <w:p w:rsidR="008C4258" w:rsidRDefault="00440E5D" w:rsidP="008C4258">
      <w:pPr>
        <w:numPr>
          <w:ilvl w:val="0"/>
          <w:numId w:val="1"/>
        </w:numPr>
        <w:tabs>
          <w:tab w:val="left" w:pos="566"/>
        </w:tabs>
        <w:spacing w:after="200" w:line="360" w:lineRule="auto"/>
        <w:ind w:left="566" w:hanging="540"/>
        <w:jc w:val="both"/>
        <w:rPr>
          <w:rFonts w:cs="David"/>
        </w:rPr>
      </w:pPr>
      <w:r>
        <w:rPr>
          <w:rFonts w:cs="David" w:hint="cs"/>
          <w:rtl/>
        </w:rPr>
        <w:lastRenderedPageBreak/>
        <w:t xml:space="preserve">זאת </w:t>
      </w:r>
      <w:r w:rsidR="00E83F47">
        <w:rPr>
          <w:rFonts w:cs="David" w:hint="cs"/>
          <w:rtl/>
        </w:rPr>
        <w:t xml:space="preserve">ועוד. המשיבות מודות, בהגינותן, כי המערער אכן פנה אליהן פעמים רבות, ואף עולה מתשובתן כי לראשונה העלו את טענת ההתיישנות לאחר הגשת התביעה. </w:t>
      </w:r>
      <w:r w:rsidR="00F0428E" w:rsidRPr="00F0428E">
        <w:rPr>
          <w:rFonts w:cs="David" w:hint="cs"/>
          <w:b/>
          <w:bCs/>
          <w:rtl/>
        </w:rPr>
        <w:t>תמוה</w:t>
      </w:r>
      <w:r w:rsidR="00E83F47" w:rsidRPr="00F0428E">
        <w:rPr>
          <w:rFonts w:cs="David" w:hint="cs"/>
          <w:b/>
          <w:bCs/>
          <w:rtl/>
        </w:rPr>
        <w:t xml:space="preserve"> בעינינו מדוע, בכל ההתכתבויות הרבות, לא טרחה המדינה להודיע למערער כי תחול התיישנות על הגשת ערעור </w:t>
      </w:r>
      <w:proofErr w:type="spellStart"/>
      <w:r w:rsidR="00E83F47" w:rsidRPr="00F0428E">
        <w:rPr>
          <w:rFonts w:cs="David" w:hint="cs"/>
          <w:b/>
          <w:bCs/>
          <w:rtl/>
        </w:rPr>
        <w:t>הגימלה</w:t>
      </w:r>
      <w:proofErr w:type="spellEnd"/>
      <w:r w:rsidR="00E83F47" w:rsidRPr="00F0428E">
        <w:rPr>
          <w:rFonts w:cs="David" w:hint="cs"/>
          <w:b/>
          <w:bCs/>
          <w:rtl/>
        </w:rPr>
        <w:t xml:space="preserve"> והוא נדרש לעשות כן</w:t>
      </w:r>
      <w:r w:rsidR="00E83F47">
        <w:rPr>
          <w:rFonts w:cs="David" w:hint="cs"/>
          <w:rtl/>
        </w:rPr>
        <w:t xml:space="preserve">. בפועל, וכאמור בערעור, נאמר לו ההיפך </w:t>
      </w:r>
      <w:r w:rsidR="00E83F47">
        <w:rPr>
          <w:rFonts w:cs="David"/>
          <w:rtl/>
        </w:rPr>
        <w:t>–</w:t>
      </w:r>
      <w:r w:rsidR="00E83F47">
        <w:rPr>
          <w:rFonts w:cs="David" w:hint="cs"/>
          <w:rtl/>
        </w:rPr>
        <w:t xml:space="preserve"> שעליו למצות הליכים מול הנציבות ולא למהר לפנות לבית הדין.</w:t>
      </w:r>
    </w:p>
    <w:p w:rsidR="003715D5" w:rsidRDefault="003715D5" w:rsidP="003715D5">
      <w:pPr>
        <w:tabs>
          <w:tab w:val="left" w:pos="566"/>
        </w:tabs>
        <w:spacing w:after="200" w:line="360" w:lineRule="auto"/>
        <w:ind w:left="566"/>
        <w:jc w:val="both"/>
        <w:rPr>
          <w:rFonts w:cs="David"/>
          <w:rtl/>
        </w:rPr>
      </w:pPr>
      <w:r>
        <w:rPr>
          <w:rFonts w:cs="David" w:hint="cs"/>
          <w:rtl/>
        </w:rPr>
        <w:t xml:space="preserve">יודגש כי </w:t>
      </w:r>
      <w:r w:rsidRPr="003715D5">
        <w:rPr>
          <w:rFonts w:cs="David" w:hint="cs"/>
          <w:b/>
          <w:bCs/>
          <w:rtl/>
        </w:rPr>
        <w:t>כבר בפנייתו הראשונה של המערער לנציבות ביום 8.1.2013 הוא ציין במפורש כי הוא פונה בהתאם להנחיות שקיבל</w:t>
      </w:r>
      <w:r>
        <w:rPr>
          <w:rFonts w:cs="David" w:hint="cs"/>
          <w:rtl/>
        </w:rPr>
        <w:t xml:space="preserve"> (המכתב יצורף במסגרת בקשה נפרדת שמגיש המערער). וכך כותב המערער:</w:t>
      </w:r>
    </w:p>
    <w:p w:rsidR="003715D5" w:rsidRDefault="003715D5" w:rsidP="003715D5">
      <w:pPr>
        <w:tabs>
          <w:tab w:val="left" w:pos="566"/>
        </w:tabs>
        <w:spacing w:after="200" w:line="360" w:lineRule="auto"/>
        <w:ind w:left="566"/>
        <w:jc w:val="both"/>
        <w:rPr>
          <w:rFonts w:cs="David"/>
        </w:rPr>
      </w:pPr>
      <w:r w:rsidRPr="003715D5">
        <w:rPr>
          <w:rFonts w:cs="David"/>
          <w:noProof/>
          <w:rtl/>
          <w:lang w:eastAsia="en-US"/>
        </w:rPr>
        <w:drawing>
          <wp:inline distT="0" distB="0" distL="0" distR="0">
            <wp:extent cx="5556091" cy="520065"/>
            <wp:effectExtent l="0" t="0" r="698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7178" cy="521103"/>
                    </a:xfrm>
                    <a:prstGeom prst="rect">
                      <a:avLst/>
                    </a:prstGeom>
                    <a:noFill/>
                    <a:ln>
                      <a:noFill/>
                    </a:ln>
                  </pic:spPr>
                </pic:pic>
              </a:graphicData>
            </a:graphic>
          </wp:inline>
        </w:drawing>
      </w:r>
    </w:p>
    <w:p w:rsidR="003715D5" w:rsidRDefault="003715D5" w:rsidP="008C4258">
      <w:pPr>
        <w:numPr>
          <w:ilvl w:val="0"/>
          <w:numId w:val="1"/>
        </w:numPr>
        <w:tabs>
          <w:tab w:val="left" w:pos="566"/>
        </w:tabs>
        <w:spacing w:after="200" w:line="360" w:lineRule="auto"/>
        <w:ind w:left="566" w:hanging="540"/>
        <w:jc w:val="both"/>
        <w:rPr>
          <w:rFonts w:cs="David"/>
        </w:rPr>
      </w:pPr>
      <w:r>
        <w:rPr>
          <w:rFonts w:cs="David" w:hint="cs"/>
          <w:rtl/>
        </w:rPr>
        <w:t>מכתב זה נמצא, כמובן, בידי המשיבות, ויש טעם לפגם בניסיון של המשיבות להתכחש לדברים מפורשים אלה, הנמצאים בידיעתן.</w:t>
      </w:r>
    </w:p>
    <w:p w:rsidR="00FA27AC" w:rsidRDefault="00FA27AC" w:rsidP="008C4258">
      <w:pPr>
        <w:numPr>
          <w:ilvl w:val="0"/>
          <w:numId w:val="1"/>
        </w:numPr>
        <w:tabs>
          <w:tab w:val="left" w:pos="566"/>
        </w:tabs>
        <w:spacing w:after="200" w:line="360" w:lineRule="auto"/>
        <w:ind w:left="566" w:hanging="540"/>
        <w:jc w:val="both"/>
        <w:rPr>
          <w:rFonts w:cs="David"/>
        </w:rPr>
      </w:pPr>
      <w:r>
        <w:rPr>
          <w:rFonts w:cs="David" w:hint="cs"/>
          <w:rtl/>
        </w:rPr>
        <w:t>על אחת כמה וכמה יפים הדברים ביחס לטענת השיהוי</w:t>
      </w:r>
      <w:r w:rsidR="003715D5">
        <w:rPr>
          <w:rFonts w:cs="David" w:hint="cs"/>
          <w:rtl/>
        </w:rPr>
        <w:t xml:space="preserve"> שמעלה המדינה</w:t>
      </w:r>
      <w:r>
        <w:rPr>
          <w:rFonts w:cs="David" w:hint="cs"/>
          <w:rtl/>
        </w:rPr>
        <w:t xml:space="preserve">. </w:t>
      </w:r>
    </w:p>
    <w:p w:rsidR="008C4258" w:rsidRDefault="008C4258" w:rsidP="008C4258">
      <w:pPr>
        <w:pStyle w:val="2"/>
        <w:tabs>
          <w:tab w:val="clear" w:pos="566"/>
          <w:tab w:val="left" w:pos="620"/>
        </w:tabs>
        <w:spacing w:after="120"/>
        <w:ind w:left="620" w:firstLine="0"/>
        <w:rPr>
          <w:sz w:val="28"/>
          <w:lang w:eastAsia="en-US"/>
        </w:rPr>
      </w:pPr>
    </w:p>
    <w:p w:rsidR="008059F0" w:rsidRDefault="008C4258" w:rsidP="008C4258">
      <w:pPr>
        <w:pStyle w:val="2"/>
        <w:numPr>
          <w:ilvl w:val="0"/>
          <w:numId w:val="2"/>
        </w:numPr>
        <w:tabs>
          <w:tab w:val="clear" w:pos="566"/>
          <w:tab w:val="left" w:pos="620"/>
        </w:tabs>
        <w:spacing w:after="120"/>
        <w:ind w:left="620" w:hanging="486"/>
        <w:rPr>
          <w:sz w:val="28"/>
          <w:lang w:eastAsia="en-US"/>
        </w:rPr>
      </w:pPr>
      <w:r>
        <w:rPr>
          <w:rFonts w:hint="cs"/>
          <w:sz w:val="28"/>
          <w:rtl/>
          <w:lang w:eastAsia="en-US"/>
        </w:rPr>
        <w:t>בעניין הגשת בקשה ל</w:t>
      </w:r>
      <w:r w:rsidR="008059F0">
        <w:rPr>
          <w:rFonts w:hint="cs"/>
          <w:sz w:val="28"/>
          <w:rtl/>
          <w:lang w:eastAsia="en-US"/>
        </w:rPr>
        <w:t>הארכת מועד</w:t>
      </w:r>
    </w:p>
    <w:p w:rsidR="00CB4579" w:rsidRDefault="00EE5D05" w:rsidP="001B21E4">
      <w:pPr>
        <w:numPr>
          <w:ilvl w:val="0"/>
          <w:numId w:val="1"/>
        </w:numPr>
        <w:tabs>
          <w:tab w:val="left" w:pos="566"/>
        </w:tabs>
        <w:spacing w:after="200" w:line="360" w:lineRule="auto"/>
        <w:ind w:left="566" w:hanging="540"/>
        <w:jc w:val="both"/>
        <w:rPr>
          <w:rFonts w:cs="David"/>
        </w:rPr>
      </w:pPr>
      <w:r>
        <w:rPr>
          <w:rFonts w:cs="David" w:hint="cs"/>
          <w:rtl/>
        </w:rPr>
        <w:t xml:space="preserve">בית הדין קמא, ואף המשיבות בסיכום טענותיהן, התייחסו לכך שהמערער לא הגיש בקשה להארכת המועד להגשת הערעור. </w:t>
      </w:r>
      <w:r w:rsidR="00172A74">
        <w:rPr>
          <w:rFonts w:cs="David" w:hint="cs"/>
          <w:rtl/>
        </w:rPr>
        <w:t xml:space="preserve">המערער סבר וסבור, בכל הכבוד, כי אינו זקוק להארכת מועד מהטעם שהוראת סעיף 43 לחוק </w:t>
      </w:r>
      <w:proofErr w:type="spellStart"/>
      <w:r w:rsidR="00172A74">
        <w:rPr>
          <w:rFonts w:cs="David" w:hint="cs"/>
          <w:rtl/>
        </w:rPr>
        <w:t>הגימלאות</w:t>
      </w:r>
      <w:proofErr w:type="spellEnd"/>
      <w:r w:rsidR="00172A74">
        <w:rPr>
          <w:rFonts w:cs="David" w:hint="cs"/>
          <w:rtl/>
        </w:rPr>
        <w:t xml:space="preserve"> אינה חלה עליו. </w:t>
      </w:r>
    </w:p>
    <w:p w:rsidR="0071188D" w:rsidRDefault="00172A74" w:rsidP="00CB4579">
      <w:pPr>
        <w:numPr>
          <w:ilvl w:val="0"/>
          <w:numId w:val="1"/>
        </w:numPr>
        <w:tabs>
          <w:tab w:val="left" w:pos="566"/>
        </w:tabs>
        <w:spacing w:after="200" w:line="360" w:lineRule="auto"/>
        <w:ind w:left="566" w:hanging="540"/>
        <w:jc w:val="both"/>
        <w:rPr>
          <w:rFonts w:cs="David"/>
        </w:rPr>
      </w:pPr>
      <w:r>
        <w:rPr>
          <w:rFonts w:cs="David" w:hint="cs"/>
          <w:rtl/>
        </w:rPr>
        <w:t xml:space="preserve">עם זאת, </w:t>
      </w:r>
      <w:r w:rsidR="00CB4579" w:rsidRPr="00CB4579">
        <w:rPr>
          <w:rFonts w:cs="David" w:hint="cs"/>
          <w:b/>
          <w:bCs/>
          <w:rtl/>
        </w:rPr>
        <w:t>וכטענה חלופית</w:t>
      </w:r>
      <w:r w:rsidR="00CB4579">
        <w:rPr>
          <w:rFonts w:cs="David" w:hint="cs"/>
          <w:rtl/>
        </w:rPr>
        <w:t>, הרי ש</w:t>
      </w:r>
      <w:r>
        <w:rPr>
          <w:rFonts w:cs="David" w:hint="cs"/>
          <w:rtl/>
        </w:rPr>
        <w:t xml:space="preserve">ככל שייקבע על ידי בית הדין הנכבד </w:t>
      </w:r>
      <w:r w:rsidR="00EE5D05">
        <w:rPr>
          <w:rFonts w:cs="David" w:hint="cs"/>
          <w:rtl/>
        </w:rPr>
        <w:t xml:space="preserve">כי סעיף 43 לחוק </w:t>
      </w:r>
      <w:proofErr w:type="spellStart"/>
      <w:r w:rsidR="00EE5D05">
        <w:rPr>
          <w:rFonts w:cs="David" w:hint="cs"/>
          <w:rtl/>
        </w:rPr>
        <w:t>הגימלאות</w:t>
      </w:r>
      <w:proofErr w:type="spellEnd"/>
      <w:r w:rsidR="00EE5D05">
        <w:rPr>
          <w:rFonts w:cs="David" w:hint="cs"/>
          <w:rtl/>
        </w:rPr>
        <w:t xml:space="preserve"> חל על המערער, הרי שהוא יבקש להאריך את המועד להגשת הערעור.</w:t>
      </w:r>
    </w:p>
    <w:p w:rsidR="00EE5D05" w:rsidRDefault="00EE5D05" w:rsidP="00EE5D05">
      <w:pPr>
        <w:tabs>
          <w:tab w:val="left" w:pos="566"/>
        </w:tabs>
        <w:spacing w:after="200" w:line="360" w:lineRule="auto"/>
        <w:ind w:left="566"/>
        <w:jc w:val="both"/>
        <w:rPr>
          <w:rFonts w:cs="David"/>
        </w:rPr>
      </w:pPr>
      <w:r>
        <w:rPr>
          <w:rFonts w:cs="David" w:hint="cs"/>
          <w:rtl/>
        </w:rPr>
        <w:t>בכל הכבוד, וכעולה בבירור מכתבי הטענות, המערער פעל בהתאם להבנתו את הוראת החוזה, בנושא שלא הוסדר במפורש ובכלל על ידי בית הדין הנכבד.</w:t>
      </w:r>
      <w:r w:rsidR="00CB4579">
        <w:rPr>
          <w:rFonts w:cs="David" w:hint="cs"/>
          <w:rtl/>
        </w:rPr>
        <w:t xml:space="preserve"> לפיכך, בנסיבות אלה, בהן מחד </w:t>
      </w:r>
      <w:r w:rsidR="00CB4579">
        <w:rPr>
          <w:rFonts w:cs="David"/>
          <w:rtl/>
        </w:rPr>
        <w:t>–</w:t>
      </w:r>
      <w:r w:rsidR="00CB4579">
        <w:rPr>
          <w:rFonts w:cs="David" w:hint="cs"/>
          <w:rtl/>
        </w:rPr>
        <w:t xml:space="preserve"> המערער לא ישן על זכויותיו; ומאידך </w:t>
      </w:r>
      <w:r w:rsidR="00CB4579">
        <w:rPr>
          <w:rFonts w:cs="David"/>
          <w:rtl/>
        </w:rPr>
        <w:t>–</w:t>
      </w:r>
      <w:r w:rsidR="00CB4579">
        <w:rPr>
          <w:rFonts w:cs="David" w:hint="cs"/>
          <w:rtl/>
        </w:rPr>
        <w:t xml:space="preserve"> טרם נקבעה הלכה בנושא, יהא זה נכון האריך את המועד להגשת הערעור.</w:t>
      </w:r>
    </w:p>
    <w:p w:rsidR="0071188D" w:rsidRDefault="0071188D" w:rsidP="00181B62">
      <w:pPr>
        <w:tabs>
          <w:tab w:val="left" w:pos="566"/>
        </w:tabs>
        <w:spacing w:after="200" w:line="360" w:lineRule="auto"/>
        <w:jc w:val="both"/>
        <w:rPr>
          <w:rFonts w:cs="David"/>
          <w:rtl/>
        </w:rPr>
      </w:pPr>
    </w:p>
    <w:p w:rsidR="00E83F47" w:rsidRPr="00111E77" w:rsidRDefault="00181B62" w:rsidP="00111E77">
      <w:pPr>
        <w:tabs>
          <w:tab w:val="left" w:pos="566"/>
        </w:tabs>
        <w:spacing w:after="200" w:line="360" w:lineRule="auto"/>
        <w:jc w:val="both"/>
        <w:rPr>
          <w:rFonts w:cs="David"/>
          <w:b/>
          <w:bCs/>
        </w:rPr>
      </w:pPr>
      <w:r w:rsidRPr="00181B62">
        <w:rPr>
          <w:rFonts w:cs="David" w:hint="cs"/>
          <w:b/>
          <w:bCs/>
          <w:i/>
          <w:iCs/>
          <w:u w:val="single"/>
          <w:rtl/>
        </w:rPr>
        <w:t>לסיכום</w:t>
      </w:r>
      <w:r>
        <w:rPr>
          <w:rFonts w:cs="David" w:hint="cs"/>
          <w:b/>
          <w:bCs/>
          <w:rtl/>
        </w:rPr>
        <w:t xml:space="preserve"> </w:t>
      </w:r>
      <w:r>
        <w:rPr>
          <w:rFonts w:cs="David"/>
          <w:b/>
          <w:bCs/>
          <w:rtl/>
        </w:rPr>
        <w:t>–</w:t>
      </w:r>
      <w:r>
        <w:rPr>
          <w:rFonts w:cs="David" w:hint="cs"/>
          <w:b/>
          <w:bCs/>
          <w:rtl/>
        </w:rPr>
        <w:t xml:space="preserve"> המשיבות לא הציגו טענות המצדיקות את דחיית הערעור, וחלק מטענותיהן אף מחזקות את טענותיו וטיעוניו. לפיכך יתבקש בית הדין הנכבד לקבל את הערעור, ולהחזיר את הדיון לבית הדין קמא.</w:t>
      </w:r>
    </w:p>
    <w:sectPr w:rsidR="00E83F47" w:rsidRPr="00111E77" w:rsidSect="00834CC8">
      <w:headerReference w:type="even" r:id="rId9"/>
      <w:headerReference w:type="default" r:id="rId10"/>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D59" w:rsidRDefault="002C7D59">
      <w:r>
        <w:separator/>
      </w:r>
    </w:p>
  </w:endnote>
  <w:endnote w:type="continuationSeparator" w:id="0">
    <w:p w:rsidR="002C7D59" w:rsidRDefault="002C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D59" w:rsidRDefault="002C7D59">
      <w:r>
        <w:separator/>
      </w:r>
    </w:p>
  </w:footnote>
  <w:footnote w:type="continuationSeparator" w:id="0">
    <w:p w:rsidR="002C7D59" w:rsidRDefault="002C7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477FB" w:rsidRDefault="00247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760E4C">
      <w:rPr>
        <w:rStyle w:val="ac"/>
        <w:noProof/>
        <w:rtl/>
      </w:rPr>
      <w:t>3</w:t>
    </w:r>
    <w:r>
      <w:rPr>
        <w:rStyle w:val="ac"/>
        <w:rtl/>
      </w:rPr>
      <w:fldChar w:fldCharType="end"/>
    </w:r>
  </w:p>
  <w:p w:rsidR="002477FB" w:rsidRDefault="00247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0"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8"/>
  </w:num>
  <w:num w:numId="2">
    <w:abstractNumId w:val="1"/>
  </w:num>
  <w:num w:numId="3">
    <w:abstractNumId w:val="10"/>
  </w:num>
  <w:num w:numId="4">
    <w:abstractNumId w:val="6"/>
  </w:num>
  <w:num w:numId="5">
    <w:abstractNumId w:val="2"/>
  </w:num>
  <w:num w:numId="6">
    <w:abstractNumId w:val="9"/>
  </w:num>
  <w:num w:numId="7">
    <w:abstractNumId w:val="0"/>
  </w:num>
  <w:num w:numId="8">
    <w:abstractNumId w:val="7"/>
  </w:num>
  <w:num w:numId="9">
    <w:abstractNumId w:val="4"/>
  </w:num>
  <w:num w:numId="10">
    <w:abstractNumId w:val="3"/>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410"/>
    <w:rsid w:val="0000250F"/>
    <w:rsid w:val="00002ADC"/>
    <w:rsid w:val="00004E72"/>
    <w:rsid w:val="00006CB7"/>
    <w:rsid w:val="000075A9"/>
    <w:rsid w:val="000117DD"/>
    <w:rsid w:val="0001738D"/>
    <w:rsid w:val="00021172"/>
    <w:rsid w:val="00021B25"/>
    <w:rsid w:val="00026909"/>
    <w:rsid w:val="000316EA"/>
    <w:rsid w:val="00034FF4"/>
    <w:rsid w:val="000354CC"/>
    <w:rsid w:val="00037BB1"/>
    <w:rsid w:val="000405D0"/>
    <w:rsid w:val="000424B8"/>
    <w:rsid w:val="000451CA"/>
    <w:rsid w:val="0004543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29AB"/>
    <w:rsid w:val="000A34D5"/>
    <w:rsid w:val="000A3B87"/>
    <w:rsid w:val="000A76F3"/>
    <w:rsid w:val="000B20AC"/>
    <w:rsid w:val="000B2E51"/>
    <w:rsid w:val="000B480C"/>
    <w:rsid w:val="000B56AB"/>
    <w:rsid w:val="000B6FEB"/>
    <w:rsid w:val="000C2393"/>
    <w:rsid w:val="000D0471"/>
    <w:rsid w:val="000D04D6"/>
    <w:rsid w:val="000D2DB0"/>
    <w:rsid w:val="000D6E0C"/>
    <w:rsid w:val="000E1EA5"/>
    <w:rsid w:val="000E2BCE"/>
    <w:rsid w:val="000E3AA3"/>
    <w:rsid w:val="000E68D8"/>
    <w:rsid w:val="000E73E3"/>
    <w:rsid w:val="000F33AE"/>
    <w:rsid w:val="000F3CD9"/>
    <w:rsid w:val="000F458D"/>
    <w:rsid w:val="000F6345"/>
    <w:rsid w:val="00100933"/>
    <w:rsid w:val="001075EC"/>
    <w:rsid w:val="00111E77"/>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219"/>
    <w:rsid w:val="001563CC"/>
    <w:rsid w:val="00156400"/>
    <w:rsid w:val="001615DD"/>
    <w:rsid w:val="00162D88"/>
    <w:rsid w:val="001638CD"/>
    <w:rsid w:val="00163BD4"/>
    <w:rsid w:val="00167DF0"/>
    <w:rsid w:val="001705DA"/>
    <w:rsid w:val="00172A74"/>
    <w:rsid w:val="00173E98"/>
    <w:rsid w:val="001763F6"/>
    <w:rsid w:val="00176D16"/>
    <w:rsid w:val="00177B37"/>
    <w:rsid w:val="001805E0"/>
    <w:rsid w:val="00181B62"/>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1104"/>
    <w:rsid w:val="001B21E4"/>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37069"/>
    <w:rsid w:val="00240167"/>
    <w:rsid w:val="0024236F"/>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436C"/>
    <w:rsid w:val="00285537"/>
    <w:rsid w:val="00285BA6"/>
    <w:rsid w:val="002907C4"/>
    <w:rsid w:val="00291522"/>
    <w:rsid w:val="002919E0"/>
    <w:rsid w:val="002977A1"/>
    <w:rsid w:val="002A11AE"/>
    <w:rsid w:val="002A13CF"/>
    <w:rsid w:val="002A5FA6"/>
    <w:rsid w:val="002B142B"/>
    <w:rsid w:val="002B21F6"/>
    <w:rsid w:val="002B39F1"/>
    <w:rsid w:val="002B43BF"/>
    <w:rsid w:val="002B57BB"/>
    <w:rsid w:val="002B68A1"/>
    <w:rsid w:val="002B752A"/>
    <w:rsid w:val="002C3012"/>
    <w:rsid w:val="002C43CA"/>
    <w:rsid w:val="002C555D"/>
    <w:rsid w:val="002C7102"/>
    <w:rsid w:val="002C7D59"/>
    <w:rsid w:val="002D080E"/>
    <w:rsid w:val="002D1667"/>
    <w:rsid w:val="002D1CF1"/>
    <w:rsid w:val="002D37F3"/>
    <w:rsid w:val="002D4881"/>
    <w:rsid w:val="002D5A61"/>
    <w:rsid w:val="002D7E20"/>
    <w:rsid w:val="002E04F3"/>
    <w:rsid w:val="002E0CB3"/>
    <w:rsid w:val="002E0E44"/>
    <w:rsid w:val="002E2E0E"/>
    <w:rsid w:val="002E3A53"/>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0D82"/>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15D5"/>
    <w:rsid w:val="003765AA"/>
    <w:rsid w:val="003766B4"/>
    <w:rsid w:val="00383382"/>
    <w:rsid w:val="003865E9"/>
    <w:rsid w:val="003905E5"/>
    <w:rsid w:val="0039100F"/>
    <w:rsid w:val="0039162B"/>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0FC2"/>
    <w:rsid w:val="003D1997"/>
    <w:rsid w:val="003D24EB"/>
    <w:rsid w:val="003D350E"/>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0E5D"/>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6C84"/>
    <w:rsid w:val="00515230"/>
    <w:rsid w:val="00520CE6"/>
    <w:rsid w:val="00521047"/>
    <w:rsid w:val="005210A2"/>
    <w:rsid w:val="0052271B"/>
    <w:rsid w:val="005233FF"/>
    <w:rsid w:val="005247C6"/>
    <w:rsid w:val="005249AE"/>
    <w:rsid w:val="0052519A"/>
    <w:rsid w:val="005252F7"/>
    <w:rsid w:val="00525885"/>
    <w:rsid w:val="00526DC1"/>
    <w:rsid w:val="0053298C"/>
    <w:rsid w:val="00537417"/>
    <w:rsid w:val="00542480"/>
    <w:rsid w:val="00542A3E"/>
    <w:rsid w:val="00542C7B"/>
    <w:rsid w:val="00542FB6"/>
    <w:rsid w:val="005430D4"/>
    <w:rsid w:val="00546D81"/>
    <w:rsid w:val="00550DBF"/>
    <w:rsid w:val="00551383"/>
    <w:rsid w:val="00551AC9"/>
    <w:rsid w:val="0055302F"/>
    <w:rsid w:val="005532DB"/>
    <w:rsid w:val="00553631"/>
    <w:rsid w:val="005642FE"/>
    <w:rsid w:val="00564DE1"/>
    <w:rsid w:val="0056704D"/>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3736"/>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7676"/>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733"/>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CCA"/>
    <w:rsid w:val="006F4E5C"/>
    <w:rsid w:val="0070245F"/>
    <w:rsid w:val="007025C5"/>
    <w:rsid w:val="00703BDA"/>
    <w:rsid w:val="0070493C"/>
    <w:rsid w:val="0070635F"/>
    <w:rsid w:val="0071188D"/>
    <w:rsid w:val="007119FB"/>
    <w:rsid w:val="00712DA0"/>
    <w:rsid w:val="00713F69"/>
    <w:rsid w:val="00716815"/>
    <w:rsid w:val="0071685F"/>
    <w:rsid w:val="007172BD"/>
    <w:rsid w:val="007178EC"/>
    <w:rsid w:val="00721470"/>
    <w:rsid w:val="00722B5B"/>
    <w:rsid w:val="00726756"/>
    <w:rsid w:val="00727C38"/>
    <w:rsid w:val="00730EF4"/>
    <w:rsid w:val="0073389D"/>
    <w:rsid w:val="00737F2D"/>
    <w:rsid w:val="00742FEB"/>
    <w:rsid w:val="00746414"/>
    <w:rsid w:val="0074668B"/>
    <w:rsid w:val="00746887"/>
    <w:rsid w:val="007478C0"/>
    <w:rsid w:val="007502FB"/>
    <w:rsid w:val="007525B9"/>
    <w:rsid w:val="007533B2"/>
    <w:rsid w:val="0076067F"/>
    <w:rsid w:val="00760E4C"/>
    <w:rsid w:val="00762F3B"/>
    <w:rsid w:val="00764A6A"/>
    <w:rsid w:val="00767AE5"/>
    <w:rsid w:val="00771425"/>
    <w:rsid w:val="0078574C"/>
    <w:rsid w:val="0078605A"/>
    <w:rsid w:val="00794A53"/>
    <w:rsid w:val="007965C8"/>
    <w:rsid w:val="007A204F"/>
    <w:rsid w:val="007A2F87"/>
    <w:rsid w:val="007A4548"/>
    <w:rsid w:val="007A660E"/>
    <w:rsid w:val="007B1E48"/>
    <w:rsid w:val="007B3EED"/>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1534"/>
    <w:rsid w:val="007F411C"/>
    <w:rsid w:val="007F4291"/>
    <w:rsid w:val="007F470C"/>
    <w:rsid w:val="007F4BD9"/>
    <w:rsid w:val="007F69DD"/>
    <w:rsid w:val="00800A4D"/>
    <w:rsid w:val="00800CCE"/>
    <w:rsid w:val="00801BAC"/>
    <w:rsid w:val="0080293A"/>
    <w:rsid w:val="00803690"/>
    <w:rsid w:val="00804434"/>
    <w:rsid w:val="008059F0"/>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4CC8"/>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04"/>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1A63"/>
    <w:rsid w:val="008A2332"/>
    <w:rsid w:val="008A2C98"/>
    <w:rsid w:val="008A4599"/>
    <w:rsid w:val="008A71FF"/>
    <w:rsid w:val="008B1CEE"/>
    <w:rsid w:val="008B6D66"/>
    <w:rsid w:val="008C0045"/>
    <w:rsid w:val="008C395C"/>
    <w:rsid w:val="008C4002"/>
    <w:rsid w:val="008C4258"/>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9008EE"/>
    <w:rsid w:val="00901A33"/>
    <w:rsid w:val="00901E76"/>
    <w:rsid w:val="00903EDA"/>
    <w:rsid w:val="00904ECA"/>
    <w:rsid w:val="00907CC9"/>
    <w:rsid w:val="00907F97"/>
    <w:rsid w:val="00911DC4"/>
    <w:rsid w:val="00916238"/>
    <w:rsid w:val="009162EC"/>
    <w:rsid w:val="00917C45"/>
    <w:rsid w:val="00925FA2"/>
    <w:rsid w:val="0092613E"/>
    <w:rsid w:val="00926F04"/>
    <w:rsid w:val="00927F44"/>
    <w:rsid w:val="00932D99"/>
    <w:rsid w:val="00932DD2"/>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87D61"/>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493E"/>
    <w:rsid w:val="00AD5442"/>
    <w:rsid w:val="00AE0414"/>
    <w:rsid w:val="00AE22BD"/>
    <w:rsid w:val="00AE23F6"/>
    <w:rsid w:val="00AE25FF"/>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973"/>
    <w:rsid w:val="00BD1F60"/>
    <w:rsid w:val="00BD4D31"/>
    <w:rsid w:val="00BD6378"/>
    <w:rsid w:val="00BE0CEB"/>
    <w:rsid w:val="00BE0DEA"/>
    <w:rsid w:val="00BE14DA"/>
    <w:rsid w:val="00BE28C8"/>
    <w:rsid w:val="00BE2CDF"/>
    <w:rsid w:val="00BE42FD"/>
    <w:rsid w:val="00BE6DA4"/>
    <w:rsid w:val="00BF1C12"/>
    <w:rsid w:val="00BF2885"/>
    <w:rsid w:val="00BF341F"/>
    <w:rsid w:val="00BF46CB"/>
    <w:rsid w:val="00BF5EB8"/>
    <w:rsid w:val="00C00281"/>
    <w:rsid w:val="00C00B4D"/>
    <w:rsid w:val="00C01CE5"/>
    <w:rsid w:val="00C029C5"/>
    <w:rsid w:val="00C030A9"/>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4BBA"/>
    <w:rsid w:val="00C6766A"/>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409D"/>
    <w:rsid w:val="00CB4579"/>
    <w:rsid w:val="00CB659D"/>
    <w:rsid w:val="00CC0DDB"/>
    <w:rsid w:val="00CC308F"/>
    <w:rsid w:val="00CC350F"/>
    <w:rsid w:val="00CC48AF"/>
    <w:rsid w:val="00CC75CA"/>
    <w:rsid w:val="00CC75DB"/>
    <w:rsid w:val="00CC7ABF"/>
    <w:rsid w:val="00CD209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B7112"/>
    <w:rsid w:val="00DC077C"/>
    <w:rsid w:val="00DC132A"/>
    <w:rsid w:val="00DC14E2"/>
    <w:rsid w:val="00DC34C3"/>
    <w:rsid w:val="00DC452A"/>
    <w:rsid w:val="00DC6713"/>
    <w:rsid w:val="00DD7205"/>
    <w:rsid w:val="00DD7305"/>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5A43"/>
    <w:rsid w:val="00E50A2C"/>
    <w:rsid w:val="00E5176E"/>
    <w:rsid w:val="00E519EC"/>
    <w:rsid w:val="00E51A43"/>
    <w:rsid w:val="00E555AB"/>
    <w:rsid w:val="00E644A2"/>
    <w:rsid w:val="00E64616"/>
    <w:rsid w:val="00E64CCC"/>
    <w:rsid w:val="00E677EB"/>
    <w:rsid w:val="00E7025F"/>
    <w:rsid w:val="00E75DC5"/>
    <w:rsid w:val="00E75F78"/>
    <w:rsid w:val="00E76459"/>
    <w:rsid w:val="00E800C9"/>
    <w:rsid w:val="00E8138F"/>
    <w:rsid w:val="00E81D26"/>
    <w:rsid w:val="00E82F3E"/>
    <w:rsid w:val="00E83F47"/>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5D05"/>
    <w:rsid w:val="00EE626C"/>
    <w:rsid w:val="00EE6F2E"/>
    <w:rsid w:val="00EF1C17"/>
    <w:rsid w:val="00EF40C9"/>
    <w:rsid w:val="00EF4F3B"/>
    <w:rsid w:val="00F01615"/>
    <w:rsid w:val="00F01D59"/>
    <w:rsid w:val="00F04246"/>
    <w:rsid w:val="00F0428E"/>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4E4F"/>
    <w:rsid w:val="00F9574E"/>
    <w:rsid w:val="00F963A8"/>
    <w:rsid w:val="00F96E3D"/>
    <w:rsid w:val="00F96F36"/>
    <w:rsid w:val="00F96FC9"/>
    <w:rsid w:val="00F972DB"/>
    <w:rsid w:val="00FA099A"/>
    <w:rsid w:val="00FA1CEA"/>
    <w:rsid w:val="00FA27AC"/>
    <w:rsid w:val="00FA2BB7"/>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E4E31"/>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4AD56-BB5F-40D3-A57D-BF683953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5880</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2020-12-29T07:20:00Z</cp:lastPrinted>
  <dcterms:created xsi:type="dcterms:W3CDTF">2020-12-29T09:22:00Z</dcterms:created>
  <dcterms:modified xsi:type="dcterms:W3CDTF">2020-12-29T09:22:00Z</dcterms:modified>
</cp:coreProperties>
</file>