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0B3" w:rsidRPr="009113BA" w:rsidRDefault="00D970B3" w:rsidP="009113BA">
      <w:pPr>
        <w:jc w:val="center"/>
        <w:rPr>
          <w:rFonts w:ascii="Arial" w:hAnsi="Arial" w:cs="Arial"/>
          <w:color w:val="000000"/>
          <w:sz w:val="28"/>
          <w:szCs w:val="28"/>
          <w:shd w:val="clear" w:color="auto" w:fill="FFFFFF"/>
          <w:rtl/>
        </w:rPr>
      </w:pPr>
      <w:bookmarkStart w:id="0" w:name="_GoBack"/>
      <w:bookmarkEnd w:id="0"/>
      <w:r w:rsidRPr="009113BA">
        <w:rPr>
          <w:rFonts w:ascii="Arial" w:hAnsi="Arial" w:cs="Arial" w:hint="cs"/>
          <w:b/>
          <w:bCs/>
          <w:color w:val="000000"/>
          <w:sz w:val="28"/>
          <w:szCs w:val="28"/>
          <w:shd w:val="clear" w:color="auto" w:fill="FFFFFF"/>
          <w:rtl/>
        </w:rPr>
        <w:t>ה</w:t>
      </w:r>
      <w:r w:rsidRPr="009113BA">
        <w:rPr>
          <w:rFonts w:ascii="Arial" w:hAnsi="Arial" w:cs="Arial"/>
          <w:b/>
          <w:bCs/>
          <w:color w:val="000000"/>
          <w:sz w:val="28"/>
          <w:szCs w:val="28"/>
          <w:shd w:val="clear" w:color="auto" w:fill="FFFFFF"/>
          <w:rtl/>
        </w:rPr>
        <w:t xml:space="preserve">חוק לתיקון פקודת </w:t>
      </w:r>
      <w:proofErr w:type="spellStart"/>
      <w:r w:rsidRPr="009113BA">
        <w:rPr>
          <w:rFonts w:ascii="Arial" w:hAnsi="Arial" w:cs="Arial"/>
          <w:b/>
          <w:bCs/>
          <w:color w:val="000000"/>
          <w:sz w:val="28"/>
          <w:szCs w:val="28"/>
          <w:shd w:val="clear" w:color="auto" w:fill="FFFFFF"/>
          <w:rtl/>
        </w:rPr>
        <w:t>הנזיקין</w:t>
      </w:r>
      <w:proofErr w:type="spellEnd"/>
      <w:r w:rsidRPr="009113BA">
        <w:rPr>
          <w:rFonts w:ascii="Arial" w:hAnsi="Arial" w:cs="Arial"/>
          <w:b/>
          <w:bCs/>
          <w:color w:val="000000"/>
          <w:sz w:val="28"/>
          <w:szCs w:val="28"/>
          <w:shd w:val="clear" w:color="auto" w:fill="FFFFFF"/>
          <w:rtl/>
        </w:rPr>
        <w:t xml:space="preserve"> (מס' 10</w:t>
      </w:r>
      <w:r w:rsidRPr="009113BA">
        <w:rPr>
          <w:rFonts w:ascii="Arial" w:hAnsi="Arial" w:cs="Arial"/>
          <w:b/>
          <w:bCs/>
          <w:color w:val="000000"/>
          <w:sz w:val="28"/>
          <w:szCs w:val="28"/>
          <w:shd w:val="clear" w:color="auto" w:fill="FFFFFF"/>
        </w:rPr>
        <w:t xml:space="preserve">– ( </w:t>
      </w:r>
      <w:r w:rsidRPr="009113BA">
        <w:rPr>
          <w:rFonts w:ascii="Arial" w:hAnsi="Arial" w:cs="Arial"/>
          <w:b/>
          <w:bCs/>
          <w:color w:val="000000"/>
          <w:sz w:val="28"/>
          <w:szCs w:val="28"/>
          <w:shd w:val="clear" w:color="auto" w:fill="FFFFFF"/>
          <w:rtl/>
        </w:rPr>
        <w:t>חסינות עובד הציבור</w:t>
      </w:r>
    </w:p>
    <w:p w:rsidR="00D970B3" w:rsidRPr="00D970B3" w:rsidRDefault="00D970B3" w:rsidP="00D970B3">
      <w:pPr>
        <w:rPr>
          <w:rFonts w:ascii="Arial" w:hAnsi="Arial" w:cs="Arial"/>
          <w:color w:val="000000"/>
          <w:u w:val="single"/>
          <w:rtl/>
        </w:rPr>
      </w:pPr>
      <w:r w:rsidRPr="00D970B3">
        <w:rPr>
          <w:rFonts w:ascii="Arial" w:hAnsi="Arial" w:cs="Arial"/>
          <w:color w:val="000000"/>
          <w:u w:val="single"/>
          <w:shd w:val="clear" w:color="auto" w:fill="FFFFFF"/>
          <w:rtl/>
        </w:rPr>
        <w:t>סעיף 7א(א</w:t>
      </w:r>
      <w:r w:rsidRPr="00D970B3">
        <w:rPr>
          <w:rFonts w:ascii="Arial" w:hAnsi="Arial" w:cs="Arial"/>
          <w:color w:val="000000"/>
          <w:shd w:val="clear" w:color="auto" w:fill="FFFFFF"/>
          <w:rtl/>
        </w:rPr>
        <w:t>) רישא לפקודה קובעת</w:t>
      </w:r>
      <w:r w:rsidRPr="00D970B3">
        <w:rPr>
          <w:rFonts w:ascii="Arial" w:hAnsi="Arial" w:cs="Arial"/>
          <w:color w:val="000000"/>
          <w:shd w:val="clear" w:color="auto" w:fill="FFFFFF"/>
        </w:rPr>
        <w:t>:</w:t>
      </w:r>
      <w:r w:rsidRPr="00D970B3">
        <w:rPr>
          <w:rStyle w:val="apple-converted-space"/>
          <w:rFonts w:ascii="Arial" w:hAnsi="Arial" w:cs="Arial"/>
          <w:color w:val="000000"/>
          <w:shd w:val="clear" w:color="auto" w:fill="FFFFFF"/>
        </w:rPr>
        <w:t> </w:t>
      </w:r>
      <w:r w:rsidRPr="00D970B3">
        <w:rPr>
          <w:rFonts w:ascii="Arial" w:hAnsi="Arial" w:cs="Arial"/>
          <w:color w:val="000000"/>
        </w:rPr>
        <w:br/>
      </w:r>
      <w:r w:rsidRPr="00D970B3">
        <w:rPr>
          <w:rFonts w:ascii="Arial" w:hAnsi="Arial" w:cs="Arial"/>
          <w:color w:val="000000"/>
          <w:shd w:val="clear" w:color="auto" w:fill="FFFFFF"/>
        </w:rPr>
        <w:t>"</w:t>
      </w:r>
      <w:r w:rsidRPr="00D970B3">
        <w:rPr>
          <w:rFonts w:ascii="Arial" w:hAnsi="Arial" w:cs="Arial"/>
          <w:color w:val="000000"/>
          <w:shd w:val="clear" w:color="auto" w:fill="FFFFFF"/>
          <w:rtl/>
        </w:rPr>
        <w:t xml:space="preserve">לא תוגש תובענה נגד עובד ציבור על מעשה שעשה תוך כדי מילוי תפקידו השלטוני כעובד ציבור, המקים אחריות </w:t>
      </w:r>
      <w:proofErr w:type="spellStart"/>
      <w:r w:rsidRPr="00D970B3">
        <w:rPr>
          <w:rFonts w:ascii="Arial" w:hAnsi="Arial" w:cs="Arial"/>
          <w:color w:val="000000"/>
          <w:shd w:val="clear" w:color="auto" w:fill="FFFFFF"/>
          <w:rtl/>
        </w:rPr>
        <w:t>בנזיקין</w:t>
      </w:r>
      <w:proofErr w:type="spellEnd"/>
      <w:r w:rsidRPr="00D970B3">
        <w:rPr>
          <w:rFonts w:ascii="Arial" w:hAnsi="Arial" w:cs="Arial"/>
          <w:color w:val="000000"/>
          <w:shd w:val="clear" w:color="auto" w:fill="FFFFFF"/>
          <w:rtl/>
        </w:rPr>
        <w:t xml:space="preserve">. </w:t>
      </w:r>
      <w:r w:rsidRPr="00D970B3">
        <w:rPr>
          <w:rFonts w:ascii="Arial" w:hAnsi="Arial" w:cs="Arial"/>
          <w:color w:val="000000"/>
          <w:highlight w:val="yellow"/>
          <w:shd w:val="clear" w:color="auto" w:fill="FFFFFF"/>
          <w:rtl/>
        </w:rPr>
        <w:t xml:space="preserve">הוראה זו לא תחול על מעשה כאמור שנעשה ביודעין מתוך כוונה לגרום נזק </w:t>
      </w:r>
      <w:r w:rsidRPr="00D970B3">
        <w:rPr>
          <w:rFonts w:ascii="Arial" w:hAnsi="Arial" w:cs="Arial"/>
          <w:color w:val="000000"/>
          <w:highlight w:val="yellow"/>
          <w:u w:val="single"/>
          <w:shd w:val="clear" w:color="auto" w:fill="FFFFFF"/>
          <w:rtl/>
        </w:rPr>
        <w:t>או בשוויון נפש לאפשרות גרימתו במעשה</w:t>
      </w:r>
      <w:r w:rsidRPr="00D970B3">
        <w:rPr>
          <w:rFonts w:ascii="Arial" w:hAnsi="Arial" w:cs="Arial"/>
          <w:color w:val="000000"/>
          <w:u w:val="single"/>
          <w:shd w:val="clear" w:color="auto" w:fill="FFFFFF"/>
          <w:rtl/>
        </w:rPr>
        <w:t xml:space="preserve"> כאמור</w:t>
      </w:r>
      <w:r w:rsidRPr="00D970B3">
        <w:rPr>
          <w:rFonts w:ascii="Arial" w:hAnsi="Arial" w:cs="Arial"/>
          <w:color w:val="000000"/>
          <w:u w:val="single"/>
          <w:shd w:val="clear" w:color="auto" w:fill="FFFFFF"/>
        </w:rPr>
        <w:t>".</w:t>
      </w:r>
      <w:r w:rsidRPr="00D970B3">
        <w:rPr>
          <w:rFonts w:ascii="Arial" w:hAnsi="Arial" w:cs="Arial" w:hint="cs"/>
          <w:color w:val="000000"/>
          <w:u w:val="single"/>
          <w:rtl/>
        </w:rPr>
        <w:t xml:space="preserve"> (מעשה =גם מחדל)</w:t>
      </w:r>
    </w:p>
    <w:p w:rsidR="00D970B3" w:rsidRDefault="00D970B3" w:rsidP="00D970B3">
      <w:pPr>
        <w:rPr>
          <w:rFonts w:ascii="Arial" w:hAnsi="Arial" w:cs="Arial"/>
          <w:color w:val="000000"/>
          <w:rtl/>
        </w:rPr>
      </w:pPr>
      <w:r w:rsidRPr="00D970B3">
        <w:rPr>
          <w:rFonts w:ascii="Arial" w:hAnsi="Arial" w:cs="Arial"/>
          <w:color w:val="000000"/>
          <w:u w:val="single"/>
          <w:shd w:val="clear" w:color="auto" w:fill="FFFFFF"/>
          <w:rtl/>
        </w:rPr>
        <w:t>סעיף 7ב'</w:t>
      </w:r>
      <w:r w:rsidRPr="00D970B3">
        <w:rPr>
          <w:rFonts w:ascii="Arial" w:hAnsi="Arial" w:cs="Arial" w:hint="cs"/>
          <w:color w:val="000000"/>
          <w:u w:val="single"/>
          <w:rtl/>
        </w:rPr>
        <w:t>:</w:t>
      </w:r>
      <w:r w:rsidRPr="00D970B3">
        <w:rPr>
          <w:rFonts w:ascii="Arial" w:hAnsi="Arial" w:cs="Arial"/>
          <w:color w:val="000000"/>
        </w:rPr>
        <w:br/>
      </w:r>
      <w:r w:rsidRPr="00D970B3">
        <w:rPr>
          <w:rFonts w:ascii="Arial" w:hAnsi="Arial" w:cs="Arial"/>
          <w:color w:val="000000"/>
          <w:shd w:val="clear" w:color="auto" w:fill="FFFFFF"/>
        </w:rPr>
        <w:t>"</w:t>
      </w:r>
      <w:r w:rsidRPr="00D970B3">
        <w:rPr>
          <w:rFonts w:ascii="Arial" w:hAnsi="Arial" w:cs="Arial"/>
          <w:color w:val="000000"/>
          <w:shd w:val="clear" w:color="auto" w:fill="FFFFFF"/>
          <w:rtl/>
        </w:rPr>
        <w:t>(א) הוגשה תובענה נגד עובד המדינה על מעשה שנעשה בעת מילוי תפקידו כעובד המדינה, וטענה המדינה בהודעה לבית המשפט לקיומה של חסינות לפי סעיף 7א לגבי מעשה העובד, אם נעשה המעשה, תצורף המדינה להליך, אם לא צורפה אליו כנתבעת</w:t>
      </w:r>
      <w:r w:rsidRPr="00D970B3">
        <w:rPr>
          <w:rFonts w:ascii="Arial" w:hAnsi="Arial" w:cs="Arial"/>
          <w:color w:val="000000"/>
          <w:shd w:val="clear" w:color="auto" w:fill="FFFFFF"/>
        </w:rPr>
        <w:t>.</w:t>
      </w:r>
    </w:p>
    <w:p w:rsidR="00D970B3" w:rsidRDefault="00D970B3" w:rsidP="00D970B3">
      <w:pPr>
        <w:rPr>
          <w:rtl/>
        </w:rPr>
      </w:pPr>
      <w:r w:rsidRPr="00D970B3">
        <w:rPr>
          <w:rFonts w:ascii="Arial" w:hAnsi="Arial" w:cs="Arial"/>
          <w:color w:val="000000"/>
          <w:shd w:val="clear" w:color="auto" w:fill="FFFFFF"/>
          <w:rtl/>
        </w:rPr>
        <w:t>(ב) ביקשה המדינה, בהודעתה לפי סעיף קטן (א), כי תידחה התובענה נגד עובד המדינה – תידחה התובענה נגדו, ויראו את התובענה כאילו הוגשה נגד המדינה מכוח אחריותה למעשהו של עובד המדינה לפי סעיפים 13 או 14, ואת מעשה עובד המדינה כאילו נעשה תוך כדי מילוי תפקידו</w:t>
      </w:r>
      <w:r w:rsidRPr="00D970B3">
        <w:rPr>
          <w:rFonts w:ascii="Arial" w:hAnsi="Arial" w:cs="Arial"/>
          <w:color w:val="000000"/>
          <w:shd w:val="clear" w:color="auto" w:fill="FFFFFF"/>
        </w:rPr>
        <w:t>.</w:t>
      </w:r>
      <w:r w:rsidRPr="00D970B3">
        <w:rPr>
          <w:rFonts w:ascii="Arial" w:hAnsi="Arial" w:cs="Arial"/>
          <w:color w:val="000000"/>
        </w:rPr>
        <w:br/>
      </w:r>
      <w:r w:rsidRPr="00D970B3">
        <w:rPr>
          <w:rFonts w:ascii="Arial" w:hAnsi="Arial" w:cs="Arial"/>
          <w:color w:val="000000"/>
          <w:shd w:val="clear" w:color="auto" w:fill="FFFFFF"/>
          <w:rtl/>
        </w:rPr>
        <w:t>(ג) על אף הוראות סעיף קטן (ב) רשאי התובע לבקש, בתוך תקופה שתיקבע בתקנות, כי בית המשפט יקבע שלא מתקיימים תנאי החסינות לפי סעיף 7א; קבע בית המשפט כאמור, לא תידחה התובענה נגד עובד המדינה, ולא יחולו הוראות סעיף קטן (ב)</w:t>
      </w:r>
      <w:r w:rsidRPr="00D970B3">
        <w:rPr>
          <w:rFonts w:ascii="Arial" w:hAnsi="Arial" w:cs="Arial"/>
          <w:color w:val="000000"/>
          <w:shd w:val="clear" w:color="auto" w:fill="FFFFFF"/>
        </w:rPr>
        <w:t>.</w:t>
      </w:r>
      <w:r w:rsidRPr="00D970B3">
        <w:rPr>
          <w:rFonts w:ascii="Arial" w:hAnsi="Arial" w:cs="Arial"/>
          <w:color w:val="000000"/>
        </w:rPr>
        <w:br/>
      </w:r>
      <w:r w:rsidRPr="00D970B3">
        <w:rPr>
          <w:rFonts w:ascii="Arial" w:hAnsi="Arial" w:cs="Arial"/>
          <w:color w:val="000000"/>
          <w:shd w:val="clear" w:color="auto" w:fill="FFFFFF"/>
        </w:rPr>
        <w:t>(</w:t>
      </w:r>
      <w:r w:rsidRPr="00D970B3">
        <w:rPr>
          <w:rFonts w:ascii="Arial" w:hAnsi="Arial" w:cs="Arial"/>
          <w:color w:val="000000"/>
          <w:shd w:val="clear" w:color="auto" w:fill="FFFFFF"/>
          <w:rtl/>
        </w:rPr>
        <w:t>ד</w:t>
      </w:r>
      <w:r w:rsidRPr="00D970B3">
        <w:rPr>
          <w:rFonts w:ascii="Arial" w:hAnsi="Arial" w:cs="Arial"/>
          <w:color w:val="000000"/>
          <w:shd w:val="clear" w:color="auto" w:fill="FFFFFF"/>
        </w:rPr>
        <w:t>)…</w:t>
      </w:r>
      <w:r w:rsidRPr="00D970B3">
        <w:rPr>
          <w:rFonts w:ascii="Arial" w:hAnsi="Arial" w:cs="Arial"/>
          <w:color w:val="000000"/>
        </w:rPr>
        <w:br/>
      </w:r>
      <w:r w:rsidRPr="00D970B3">
        <w:rPr>
          <w:rFonts w:ascii="Arial" w:hAnsi="Arial" w:cs="Arial"/>
          <w:color w:val="000000"/>
          <w:shd w:val="clear" w:color="auto" w:fill="FFFFFF"/>
          <w:rtl/>
        </w:rPr>
        <w:t>(ה) בית המשפט יחליט בבקשת תובע כאמור בסעיף קטן (ג) או בבקשת עובד המדינה כאמור בסעיף קטן (ד), לאלתר</w:t>
      </w:r>
      <w:r>
        <w:rPr>
          <w:rFonts w:hint="cs"/>
          <w:rtl/>
        </w:rPr>
        <w:t>.</w:t>
      </w:r>
    </w:p>
    <w:p w:rsidR="009113BA" w:rsidRDefault="009113BA" w:rsidP="009113BA">
      <w:pPr>
        <w:spacing w:after="120" w:line="240" w:lineRule="auto"/>
        <w:rPr>
          <w:rtl/>
        </w:rPr>
      </w:pPr>
      <w:r>
        <w:rPr>
          <w:rFonts w:hint="cs"/>
          <w:rtl/>
        </w:rPr>
        <w:t>===============================================================</w:t>
      </w:r>
    </w:p>
    <w:p w:rsidR="00D970B3" w:rsidRDefault="001D786B" w:rsidP="009113BA">
      <w:pPr>
        <w:spacing w:after="120" w:line="240" w:lineRule="auto"/>
        <w:jc w:val="center"/>
      </w:pPr>
      <w:hyperlink r:id="rId4" w:history="1">
        <w:r w:rsidR="00D970B3" w:rsidRPr="00BD1A23">
          <w:rPr>
            <w:rStyle w:val="Hyperlink"/>
          </w:rPr>
          <w:t>http://www.hapraklit.co.il/_uploads/dbsattachedfiles/hokletikonmeodkan.pdf</w:t>
        </w:r>
      </w:hyperlink>
    </w:p>
    <w:p w:rsidR="00B55811" w:rsidRPr="00B55811" w:rsidRDefault="009113BA" w:rsidP="009113BA">
      <w:pPr>
        <w:spacing w:after="0" w:line="240" w:lineRule="auto"/>
        <w:jc w:val="center"/>
        <w:rPr>
          <w:b/>
          <w:bCs/>
          <w:sz w:val="28"/>
          <w:szCs w:val="28"/>
          <w:rtl/>
        </w:rPr>
      </w:pPr>
      <w:r w:rsidRPr="009113BA">
        <w:rPr>
          <w:rFonts w:hint="cs"/>
          <w:sz w:val="20"/>
          <w:szCs w:val="20"/>
          <w:rtl/>
        </w:rPr>
        <w:t>מתוך:</w:t>
      </w:r>
      <w:r>
        <w:rPr>
          <w:rFonts w:hint="cs"/>
          <w:b/>
          <w:bCs/>
          <w:sz w:val="24"/>
          <w:szCs w:val="24"/>
          <w:rtl/>
        </w:rPr>
        <w:t xml:space="preserve"> </w:t>
      </w:r>
      <w:r w:rsidR="00B55811" w:rsidRPr="00B55811">
        <w:rPr>
          <w:rFonts w:hint="cs"/>
          <w:b/>
          <w:bCs/>
          <w:sz w:val="28"/>
          <w:szCs w:val="28"/>
          <w:rtl/>
        </w:rPr>
        <w:t>מאמר על ה</w:t>
      </w:r>
      <w:r w:rsidR="00B55811" w:rsidRPr="00B55811">
        <w:rPr>
          <w:b/>
          <w:bCs/>
          <w:sz w:val="28"/>
          <w:szCs w:val="28"/>
          <w:rtl/>
        </w:rPr>
        <w:t xml:space="preserve">חוק לתיקון פקודת </w:t>
      </w:r>
      <w:proofErr w:type="spellStart"/>
      <w:r w:rsidR="00B55811" w:rsidRPr="00B55811">
        <w:rPr>
          <w:b/>
          <w:bCs/>
          <w:sz w:val="28"/>
          <w:szCs w:val="28"/>
          <w:rtl/>
        </w:rPr>
        <w:t>הנזיקין</w:t>
      </w:r>
      <w:proofErr w:type="spellEnd"/>
      <w:r w:rsidR="00B55811" w:rsidRPr="00B55811">
        <w:rPr>
          <w:b/>
          <w:bCs/>
          <w:sz w:val="28"/>
          <w:szCs w:val="28"/>
          <w:rtl/>
        </w:rPr>
        <w:t xml:space="preserve"> (מס' 10</w:t>
      </w:r>
      <w:r w:rsidR="00B55811" w:rsidRPr="00B55811">
        <w:rPr>
          <w:b/>
          <w:bCs/>
          <w:sz w:val="28"/>
          <w:szCs w:val="28"/>
        </w:rPr>
        <w:t xml:space="preserve">– ( </w:t>
      </w:r>
      <w:r w:rsidR="00B55811" w:rsidRPr="00B55811">
        <w:rPr>
          <w:b/>
          <w:bCs/>
          <w:sz w:val="28"/>
          <w:szCs w:val="28"/>
          <w:rtl/>
        </w:rPr>
        <w:t>חסינות עובד הציבור</w:t>
      </w:r>
    </w:p>
    <w:p w:rsidR="00B55811" w:rsidRDefault="00B55811" w:rsidP="009113BA">
      <w:pPr>
        <w:spacing w:after="0" w:line="240" w:lineRule="auto"/>
        <w:jc w:val="center"/>
        <w:rPr>
          <w:rtl/>
        </w:rPr>
      </w:pPr>
      <w:r>
        <w:rPr>
          <w:rtl/>
        </w:rPr>
        <w:t xml:space="preserve">תמר </w:t>
      </w:r>
      <w:proofErr w:type="spellStart"/>
      <w:r>
        <w:rPr>
          <w:rtl/>
        </w:rPr>
        <w:t>קלהורה</w:t>
      </w:r>
      <w:proofErr w:type="spellEnd"/>
      <w:r>
        <w:rPr>
          <w:rtl/>
        </w:rPr>
        <w:t xml:space="preserve">* מיכל </w:t>
      </w:r>
      <w:proofErr w:type="spellStart"/>
      <w:r>
        <w:rPr>
          <w:rtl/>
        </w:rPr>
        <w:t>ברדנשטיין</w:t>
      </w:r>
      <w:proofErr w:type="spellEnd"/>
      <w:r>
        <w:t>**</w:t>
      </w:r>
      <w:r>
        <w:sym w:font="Symbol" w:char="F02A"/>
      </w:r>
    </w:p>
    <w:p w:rsidR="009113BA" w:rsidRPr="00B55811" w:rsidRDefault="009113BA" w:rsidP="009113BA">
      <w:pPr>
        <w:spacing w:after="0" w:line="240" w:lineRule="auto"/>
        <w:jc w:val="center"/>
        <w:rPr>
          <w:rtl/>
        </w:rPr>
      </w:pPr>
    </w:p>
    <w:p w:rsidR="0013034E" w:rsidRDefault="0013034E" w:rsidP="00D970B3">
      <w:pPr>
        <w:rPr>
          <w:rtl/>
        </w:rPr>
      </w:pPr>
      <w:r w:rsidRPr="0013034E">
        <w:rPr>
          <w:rtl/>
        </w:rPr>
        <w:t xml:space="preserve">המקרה השני שבו </w:t>
      </w:r>
      <w:r w:rsidRPr="0013034E">
        <w:rPr>
          <w:highlight w:val="yellow"/>
          <w:rtl/>
        </w:rPr>
        <w:t xml:space="preserve">התקבלה בקשת התובע לקבוע </w:t>
      </w:r>
      <w:r w:rsidRPr="0013034E">
        <w:rPr>
          <w:highlight w:val="yellow"/>
          <w:u w:val="single"/>
          <w:rtl/>
        </w:rPr>
        <w:t>שאין מתקיימים תנאי החסינות</w:t>
      </w:r>
      <w:r>
        <w:rPr>
          <w:rFonts w:hint="cs"/>
          <w:rtl/>
        </w:rPr>
        <w:t xml:space="preserve"> </w:t>
      </w:r>
      <w:r w:rsidRPr="0013034E">
        <w:rPr>
          <w:rtl/>
        </w:rPr>
        <w:t xml:space="preserve">בשל התקיימות החריג לחסינות הוא עניין </w:t>
      </w:r>
      <w:proofErr w:type="spellStart"/>
      <w:r w:rsidRPr="0013034E">
        <w:rPr>
          <w:rtl/>
        </w:rPr>
        <w:t>לנצ'נר</w:t>
      </w:r>
      <w:proofErr w:type="spellEnd"/>
      <w:r>
        <w:rPr>
          <w:rFonts w:hint="cs"/>
          <w:rtl/>
        </w:rPr>
        <w:t>.</w:t>
      </w:r>
      <w:r w:rsidRPr="0013034E">
        <w:rPr>
          <w:rtl/>
        </w:rPr>
        <w:t xml:space="preserve"> </w:t>
      </w:r>
    </w:p>
    <w:p w:rsidR="005A6C8E" w:rsidRDefault="0013034E" w:rsidP="009113BA">
      <w:pPr>
        <w:spacing w:after="0" w:line="240" w:lineRule="auto"/>
        <w:rPr>
          <w:color w:val="FF0000"/>
          <w:u w:val="single"/>
          <w:rtl/>
        </w:rPr>
      </w:pPr>
      <w:r w:rsidRPr="0013034E">
        <w:rPr>
          <w:rtl/>
        </w:rPr>
        <w:t>במקרה זה נתבעו  אישית כמה שוטרים בגין כניסה שלא כדין לבית התובעים ועריכת חיפוש שם, תוך התעלמות מדרישותיהם שיציגו צו מתאים</w:t>
      </w:r>
      <w:r w:rsidRPr="0013034E">
        <w:t>.</w:t>
      </w:r>
      <w:r w:rsidRPr="0013034E">
        <w:rPr>
          <w:rtl/>
        </w:rPr>
        <w:t xml:space="preserve">. הודעת ההכרה </w:t>
      </w:r>
      <w:r w:rsidRPr="0013034E">
        <w:rPr>
          <w:rFonts w:asciiTheme="majorBidi" w:hAnsiTheme="majorBidi" w:cstheme="majorBidi"/>
          <w:rtl/>
        </w:rPr>
        <w:t>(של הפרקליטות בחסינות השוטרים)</w:t>
      </w:r>
      <w:r>
        <w:rPr>
          <w:rFonts w:hint="cs"/>
          <w:rtl/>
        </w:rPr>
        <w:t xml:space="preserve"> </w:t>
      </w:r>
      <w:r w:rsidRPr="0013034E">
        <w:rPr>
          <w:rtl/>
        </w:rPr>
        <w:t xml:space="preserve">ניתנה בין היתר בהסתמך על החומר בתיק מח"ש שנסגר, שממנו עלה כי אין תשתית להתקיימות החריג לחסינות. למרות זאת, </w:t>
      </w:r>
      <w:r w:rsidRPr="00B55811">
        <w:rPr>
          <w:color w:val="FF0000"/>
          <w:highlight w:val="yellow"/>
          <w:rtl/>
        </w:rPr>
        <w:t>קבע בית המשפט כי יש לפסול את הודעת ההכרה</w:t>
      </w:r>
      <w:r w:rsidRPr="0013034E">
        <w:rPr>
          <w:color w:val="FF0000"/>
          <w:rtl/>
        </w:rPr>
        <w:t xml:space="preserve"> </w:t>
      </w:r>
      <w:r w:rsidRPr="0013034E">
        <w:rPr>
          <w:rtl/>
        </w:rPr>
        <w:t xml:space="preserve">בהתקיים תשתית לחריג לחסינות, וזאת בעיקר </w:t>
      </w:r>
      <w:r w:rsidRPr="0013034E">
        <w:rPr>
          <w:color w:val="FF0000"/>
          <w:rtl/>
        </w:rPr>
        <w:t xml:space="preserve">לנוכח ממצאי סרט וידיאו </w:t>
      </w:r>
      <w:r w:rsidRPr="0013034E">
        <w:rPr>
          <w:rtl/>
        </w:rPr>
        <w:t>שהוסרט על ידי התובעת בזמן אמת</w:t>
      </w:r>
      <w:r w:rsidRPr="0013034E">
        <w:t xml:space="preserve">, </w:t>
      </w:r>
      <w:r w:rsidRPr="0013034E">
        <w:rPr>
          <w:color w:val="FF0000"/>
          <w:rtl/>
        </w:rPr>
        <w:t xml:space="preserve">שהראו שהתובעים דרשו מהשוטרים להציג צו </w:t>
      </w:r>
      <w:r w:rsidRPr="00B55811">
        <w:rPr>
          <w:color w:val="FF0000"/>
          <w:highlight w:val="yellow"/>
          <w:u w:val="single"/>
          <w:rtl/>
        </w:rPr>
        <w:t xml:space="preserve">והשוטרים התעלמו מכך, וכן העידו על </w:t>
      </w:r>
      <w:r w:rsidR="00B55811">
        <w:rPr>
          <w:color w:val="FF0000"/>
          <w:highlight w:val="yellow"/>
          <w:u w:val="single"/>
          <w:rtl/>
        </w:rPr>
        <w:t>התנהגות גסה מצד השוטרים</w:t>
      </w:r>
      <w:r w:rsidR="00B55811">
        <w:rPr>
          <w:rFonts w:hint="cs"/>
          <w:color w:val="FF0000"/>
          <w:u w:val="single"/>
          <w:rtl/>
        </w:rPr>
        <w:t>.</w:t>
      </w:r>
    </w:p>
    <w:p w:rsidR="002F28F9" w:rsidRDefault="00D970B3" w:rsidP="009113BA">
      <w:pPr>
        <w:spacing w:after="0" w:line="240" w:lineRule="auto"/>
        <w:rPr>
          <w:color w:val="FF0000"/>
          <w:u w:val="single"/>
          <w:rtl/>
        </w:rPr>
      </w:pPr>
      <w:r>
        <w:rPr>
          <w:rFonts w:hint="cs"/>
          <w:color w:val="FF0000"/>
          <w:u w:val="single"/>
          <w:rtl/>
        </w:rPr>
        <w:t>-----------------------------------------------------------------------------------------------------------------</w:t>
      </w:r>
    </w:p>
    <w:p w:rsidR="009113BA" w:rsidRPr="009113BA" w:rsidRDefault="009113BA" w:rsidP="009113BA">
      <w:pPr>
        <w:rPr>
          <w:rtl/>
        </w:rPr>
      </w:pPr>
      <w:r w:rsidRPr="009113BA">
        <w:rPr>
          <w:rFonts w:hint="cs"/>
          <w:b/>
          <w:bCs/>
          <w:u w:val="single"/>
          <w:rtl/>
        </w:rPr>
        <w:t xml:space="preserve">מתוך </w:t>
      </w:r>
      <w:r>
        <w:rPr>
          <w:rFonts w:hint="cs"/>
          <w:b/>
          <w:bCs/>
          <w:u w:val="single"/>
          <w:rtl/>
        </w:rPr>
        <w:t xml:space="preserve">החלטת בית המשפט - </w:t>
      </w:r>
      <w:r w:rsidRPr="009113BA">
        <w:rPr>
          <w:rFonts w:hint="cs"/>
          <w:b/>
          <w:bCs/>
          <w:u w:val="single"/>
          <w:rtl/>
        </w:rPr>
        <w:t>סוף 2010</w:t>
      </w:r>
      <w:r w:rsidRPr="009113BA">
        <w:rPr>
          <w:rFonts w:hint="cs"/>
          <w:b/>
          <w:bCs/>
          <w:rtl/>
        </w:rPr>
        <w:t xml:space="preserve"> </w:t>
      </w:r>
      <w:r w:rsidRPr="009113BA">
        <w:rPr>
          <w:rFonts w:hint="cs"/>
          <w:rtl/>
        </w:rPr>
        <w:t xml:space="preserve">    </w:t>
      </w:r>
      <w:hyperlink r:id="rId5" w:history="1">
        <w:r w:rsidRPr="00BD1A23">
          <w:rPr>
            <w:rStyle w:val="Hyperlink"/>
          </w:rPr>
          <w:t>http://www.fridman-adv.com/lawyers114389.html</w:t>
        </w:r>
      </w:hyperlink>
      <w:r>
        <w:rPr>
          <w:rFonts w:hint="cs"/>
          <w:rtl/>
        </w:rPr>
        <w:t xml:space="preserve"> </w:t>
      </w:r>
    </w:p>
    <w:p w:rsidR="002F28F9" w:rsidRPr="009113BA" w:rsidRDefault="002F28F9" w:rsidP="009113BA">
      <w:pPr>
        <w:spacing w:line="240" w:lineRule="auto"/>
        <w:rPr>
          <w:color w:val="FF0000"/>
          <w:sz w:val="24"/>
          <w:szCs w:val="24"/>
          <w:u w:val="single"/>
        </w:rPr>
      </w:pPr>
      <w:r>
        <w:rPr>
          <w:rStyle w:val="apple-converted-space"/>
          <w:rFonts w:ascii="Arial" w:hAnsi="Arial" w:cs="Arial"/>
          <w:color w:val="000000"/>
          <w:sz w:val="27"/>
          <w:szCs w:val="27"/>
          <w:shd w:val="clear" w:color="auto" w:fill="FFFFFF"/>
        </w:rPr>
        <w:t> </w:t>
      </w:r>
      <w:r w:rsidR="00D970B3" w:rsidRPr="009113BA">
        <w:rPr>
          <w:rFonts w:ascii="Arial" w:hAnsi="Arial" w:cs="Arial" w:hint="cs"/>
          <w:color w:val="000000"/>
          <w:sz w:val="24"/>
          <w:szCs w:val="24"/>
          <w:shd w:val="clear" w:color="auto" w:fill="FFFFFF"/>
          <w:rtl/>
        </w:rPr>
        <w:t>"</w:t>
      </w:r>
      <w:r w:rsidRPr="009113BA">
        <w:rPr>
          <w:rFonts w:ascii="Arial" w:hAnsi="Arial" w:cs="Arial"/>
          <w:color w:val="000000"/>
          <w:sz w:val="24"/>
          <w:szCs w:val="24"/>
          <w:shd w:val="clear" w:color="auto" w:fill="FFFFFF"/>
          <w:rtl/>
        </w:rPr>
        <w:t xml:space="preserve">הפסיקה חזרה וקבעה כי הדרך לבחון את החלטת המדינה להכיר בחסינות עובד הציבור הינה כדרך שבוחנים החלטה מנהלית. היינו, האם המדינה פעלה בתום לב, ללא שיקולים זרים ובסבירות, ללא צורך בבירור עובדתי של המעשים המיוחסים לעובד הציבור (רע"א (י-ם) 10423-07-10‏ יובל </w:t>
      </w:r>
      <w:proofErr w:type="spellStart"/>
      <w:r w:rsidRPr="009113BA">
        <w:rPr>
          <w:rFonts w:ascii="Arial" w:hAnsi="Arial" w:cs="Arial"/>
          <w:color w:val="000000"/>
          <w:sz w:val="24"/>
          <w:szCs w:val="24"/>
          <w:shd w:val="clear" w:color="auto" w:fill="FFFFFF"/>
          <w:rtl/>
        </w:rPr>
        <w:t>גינזבורג</w:t>
      </w:r>
      <w:proofErr w:type="spellEnd"/>
      <w:r w:rsidRPr="009113BA">
        <w:rPr>
          <w:rFonts w:ascii="Arial" w:hAnsi="Arial" w:cs="Arial"/>
          <w:color w:val="000000"/>
          <w:sz w:val="24"/>
          <w:szCs w:val="24"/>
          <w:shd w:val="clear" w:color="auto" w:fill="FFFFFF"/>
          <w:rtl/>
        </w:rPr>
        <w:t xml:space="preserve"> נ' יחיאל </w:t>
      </w:r>
      <w:proofErr w:type="spellStart"/>
      <w:r w:rsidRPr="009113BA">
        <w:rPr>
          <w:rFonts w:ascii="Arial" w:hAnsi="Arial" w:cs="Arial"/>
          <w:color w:val="000000"/>
          <w:sz w:val="24"/>
          <w:szCs w:val="24"/>
          <w:shd w:val="clear" w:color="auto" w:fill="FFFFFF"/>
          <w:rtl/>
        </w:rPr>
        <w:t>אמסלם</w:t>
      </w:r>
      <w:proofErr w:type="spellEnd"/>
      <w:r w:rsidRPr="009113BA">
        <w:rPr>
          <w:rFonts w:ascii="Arial" w:hAnsi="Arial" w:cs="Arial"/>
          <w:color w:val="000000"/>
          <w:sz w:val="24"/>
          <w:szCs w:val="24"/>
          <w:shd w:val="clear" w:color="auto" w:fill="FFFFFF"/>
          <w:rtl/>
        </w:rPr>
        <w:t xml:space="preserve"> וכן, בש"א 5319/07 בת"א (ראשל"צ) 1374/07 </w:t>
      </w:r>
      <w:proofErr w:type="spellStart"/>
      <w:r w:rsidRPr="009113BA">
        <w:rPr>
          <w:rFonts w:ascii="Arial" w:hAnsi="Arial" w:cs="Arial"/>
          <w:color w:val="000000"/>
          <w:sz w:val="24"/>
          <w:szCs w:val="24"/>
          <w:shd w:val="clear" w:color="auto" w:fill="FFFFFF"/>
          <w:rtl/>
        </w:rPr>
        <w:t>מינסטר</w:t>
      </w:r>
      <w:proofErr w:type="spellEnd"/>
      <w:r w:rsidRPr="009113BA">
        <w:rPr>
          <w:rFonts w:ascii="Arial" w:hAnsi="Arial" w:cs="Arial"/>
          <w:color w:val="000000"/>
          <w:sz w:val="24"/>
          <w:szCs w:val="24"/>
          <w:shd w:val="clear" w:color="auto" w:fill="FFFFFF"/>
          <w:rtl/>
        </w:rPr>
        <w:t xml:space="preserve"> </w:t>
      </w:r>
      <w:proofErr w:type="spellStart"/>
      <w:r w:rsidRPr="009113BA">
        <w:rPr>
          <w:rFonts w:ascii="Arial" w:hAnsi="Arial" w:cs="Arial"/>
          <w:color w:val="000000"/>
          <w:sz w:val="24"/>
          <w:szCs w:val="24"/>
          <w:shd w:val="clear" w:color="auto" w:fill="FFFFFF"/>
          <w:rtl/>
        </w:rPr>
        <w:t>פאבל</w:t>
      </w:r>
      <w:proofErr w:type="spellEnd"/>
      <w:r w:rsidRPr="009113BA">
        <w:rPr>
          <w:rFonts w:ascii="Arial" w:hAnsi="Arial" w:cs="Arial"/>
          <w:color w:val="000000"/>
          <w:sz w:val="24"/>
          <w:szCs w:val="24"/>
          <w:shd w:val="clear" w:color="auto" w:fill="FFFFFF"/>
          <w:rtl/>
        </w:rPr>
        <w:t xml:space="preserve"> נ' משטרת ישראל)</w:t>
      </w:r>
      <w:r w:rsidRPr="009113BA">
        <w:rPr>
          <w:rFonts w:ascii="Arial" w:hAnsi="Arial" w:cs="Arial"/>
          <w:color w:val="000000"/>
          <w:sz w:val="24"/>
          <w:szCs w:val="24"/>
          <w:shd w:val="clear" w:color="auto" w:fill="FFFFFF"/>
        </w:rPr>
        <w:t>.</w:t>
      </w:r>
      <w:r w:rsidRPr="009113BA">
        <w:rPr>
          <w:rFonts w:ascii="Arial" w:hAnsi="Arial" w:cs="Arial"/>
          <w:color w:val="000000"/>
          <w:sz w:val="24"/>
          <w:szCs w:val="24"/>
        </w:rPr>
        <w:br/>
      </w:r>
      <w:r w:rsidRPr="009113BA">
        <w:rPr>
          <w:rFonts w:ascii="Arial" w:hAnsi="Arial" w:cs="Arial"/>
          <w:color w:val="000000"/>
          <w:sz w:val="24"/>
          <w:szCs w:val="24"/>
        </w:rPr>
        <w:br/>
      </w:r>
      <w:r w:rsidRPr="009113BA">
        <w:rPr>
          <w:rFonts w:ascii="Arial" w:hAnsi="Arial" w:cs="Arial"/>
          <w:color w:val="000000"/>
          <w:sz w:val="24"/>
          <w:szCs w:val="24"/>
          <w:shd w:val="clear" w:color="auto" w:fill="FFFFFF"/>
          <w:rtl/>
        </w:rPr>
        <w:t xml:space="preserve">עיון בבקשת התובע מגלה כי </w:t>
      </w:r>
      <w:r w:rsidRPr="009113BA">
        <w:rPr>
          <w:rFonts w:ascii="Arial" w:hAnsi="Arial" w:cs="Arial"/>
          <w:i/>
          <w:iCs/>
          <w:color w:val="000000"/>
          <w:sz w:val="24"/>
          <w:szCs w:val="24"/>
          <w:shd w:val="clear" w:color="auto" w:fill="FFFFFF"/>
          <w:rtl/>
        </w:rPr>
        <w:t>אין לתובע כל טענות שהן בדבר תום ליבה של המדינה בעניין שיקוליה בדבר הודעת ההכרה.</w:t>
      </w:r>
      <w:r w:rsidRPr="009113BA">
        <w:rPr>
          <w:rFonts w:ascii="Arial" w:hAnsi="Arial" w:cs="Arial"/>
          <w:color w:val="000000"/>
          <w:sz w:val="24"/>
          <w:szCs w:val="24"/>
          <w:shd w:val="clear" w:color="auto" w:fill="FFFFFF"/>
          <w:rtl/>
        </w:rPr>
        <w:t xml:space="preserve"> כל טענותיו מתמקדות בכך שהתובע הגיש תלונה למשרד לביטחון פנים כנגד השוטר, שטרם בוררה עד תום. </w:t>
      </w:r>
      <w:r w:rsidRPr="00C40E9F">
        <w:rPr>
          <w:rFonts w:ascii="Arial" w:hAnsi="Arial" w:cs="Arial"/>
          <w:i/>
          <w:iCs/>
          <w:color w:val="000000"/>
          <w:sz w:val="24"/>
          <w:szCs w:val="24"/>
          <w:highlight w:val="yellow"/>
          <w:shd w:val="clear" w:color="auto" w:fill="FFFFFF"/>
          <w:rtl/>
        </w:rPr>
        <w:t xml:space="preserve">אין כאן שום טענה שיש בה כדי לפגוע בכלל סבירות המעשה </w:t>
      </w:r>
      <w:proofErr w:type="spellStart"/>
      <w:r w:rsidRPr="00C40E9F">
        <w:rPr>
          <w:rFonts w:ascii="Arial" w:hAnsi="Arial" w:cs="Arial"/>
          <w:i/>
          <w:iCs/>
          <w:color w:val="000000"/>
          <w:sz w:val="24"/>
          <w:szCs w:val="24"/>
          <w:highlight w:val="yellow"/>
          <w:shd w:val="clear" w:color="auto" w:fill="FFFFFF"/>
          <w:rtl/>
        </w:rPr>
        <w:t>המינהלי</w:t>
      </w:r>
      <w:proofErr w:type="spellEnd"/>
      <w:r w:rsidRPr="009113BA">
        <w:rPr>
          <w:rFonts w:ascii="Arial" w:hAnsi="Arial" w:cs="Arial"/>
          <w:i/>
          <w:iCs/>
          <w:color w:val="000000"/>
          <w:sz w:val="24"/>
          <w:szCs w:val="24"/>
          <w:shd w:val="clear" w:color="auto" w:fill="FFFFFF"/>
          <w:rtl/>
        </w:rPr>
        <w:t>.</w:t>
      </w:r>
      <w:r w:rsidRPr="009113BA">
        <w:rPr>
          <w:rFonts w:ascii="Arial" w:hAnsi="Arial" w:cs="Arial"/>
          <w:color w:val="000000"/>
          <w:sz w:val="24"/>
          <w:szCs w:val="24"/>
          <w:shd w:val="clear" w:color="auto" w:fill="FFFFFF"/>
          <w:rtl/>
        </w:rPr>
        <w:t xml:space="preserve"> לפיכך, הרי ממילא שאין לתובע כל טענה להסתמך עליה לעניין אי ההכרה</w:t>
      </w:r>
      <w:r w:rsidRPr="009113BA">
        <w:rPr>
          <w:rFonts w:ascii="Arial" w:hAnsi="Arial" w:cs="Arial"/>
          <w:color w:val="000000"/>
          <w:sz w:val="24"/>
          <w:szCs w:val="24"/>
          <w:shd w:val="clear" w:color="auto" w:fill="FFFFFF"/>
        </w:rPr>
        <w:t>.</w:t>
      </w:r>
      <w:r w:rsidR="00D970B3" w:rsidRPr="009113BA">
        <w:rPr>
          <w:rStyle w:val="apple-converted-space"/>
          <w:rFonts w:ascii="Arial" w:hAnsi="Arial" w:cs="Arial"/>
          <w:color w:val="000000"/>
          <w:sz w:val="24"/>
          <w:szCs w:val="24"/>
          <w:shd w:val="clear" w:color="auto" w:fill="FFFFFF"/>
        </w:rPr>
        <w:t>"</w:t>
      </w:r>
      <w:r w:rsidRPr="009113BA">
        <w:rPr>
          <w:rStyle w:val="apple-converted-space"/>
          <w:rFonts w:ascii="Arial" w:hAnsi="Arial" w:cs="Arial"/>
          <w:color w:val="000000"/>
          <w:sz w:val="24"/>
          <w:szCs w:val="24"/>
          <w:shd w:val="clear" w:color="auto" w:fill="FFFFFF"/>
        </w:rPr>
        <w:t> </w:t>
      </w:r>
    </w:p>
    <w:sectPr w:rsidR="002F28F9" w:rsidRPr="009113BA" w:rsidSect="00680B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4E"/>
    <w:rsid w:val="00016FA4"/>
    <w:rsid w:val="0013034E"/>
    <w:rsid w:val="00140519"/>
    <w:rsid w:val="00190CE9"/>
    <w:rsid w:val="001D786B"/>
    <w:rsid w:val="00247526"/>
    <w:rsid w:val="002F28F9"/>
    <w:rsid w:val="00554E18"/>
    <w:rsid w:val="005A6C8E"/>
    <w:rsid w:val="005D335D"/>
    <w:rsid w:val="005D707B"/>
    <w:rsid w:val="00680BCE"/>
    <w:rsid w:val="006B1391"/>
    <w:rsid w:val="006C7319"/>
    <w:rsid w:val="007D49E2"/>
    <w:rsid w:val="008810C8"/>
    <w:rsid w:val="008D6379"/>
    <w:rsid w:val="009113BA"/>
    <w:rsid w:val="009477E3"/>
    <w:rsid w:val="00A824A8"/>
    <w:rsid w:val="00AB05F3"/>
    <w:rsid w:val="00B55811"/>
    <w:rsid w:val="00B95E85"/>
    <w:rsid w:val="00C40E9F"/>
    <w:rsid w:val="00C5535B"/>
    <w:rsid w:val="00CA2FCB"/>
    <w:rsid w:val="00D006BC"/>
    <w:rsid w:val="00D970B3"/>
    <w:rsid w:val="00DE47F8"/>
    <w:rsid w:val="00FE3E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C2F04-7E99-4752-BD4B-D1220BEB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3034E"/>
    <w:rPr>
      <w:color w:val="0563C1" w:themeColor="hyperlink"/>
      <w:u w:val="single"/>
    </w:rPr>
  </w:style>
  <w:style w:type="character" w:customStyle="1" w:styleId="apple-converted-space">
    <w:name w:val="apple-converted-space"/>
    <w:basedOn w:val="a0"/>
    <w:rsid w:val="002F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idman-adv.com/lawyers114389.html" TargetMode="External"/><Relationship Id="rId4" Type="http://schemas.openxmlformats.org/officeDocument/2006/relationships/hyperlink" Target="http://www.hapraklit.co.il/_uploads/dbsattachedfiles/hokletikonmeodkan.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2496</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2021-02-09T17:08:00Z</dcterms:created>
  <dcterms:modified xsi:type="dcterms:W3CDTF">2021-02-09T17:08:00Z</dcterms:modified>
</cp:coreProperties>
</file>