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AB" w:rsidRDefault="00B006DB" w:rsidP="004947BD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B006DB">
        <w:rPr>
          <w:rFonts w:ascii="David" w:hAnsi="David" w:cs="David"/>
          <w:sz w:val="28"/>
          <w:szCs w:val="28"/>
          <w:u w:val="single"/>
          <w:rtl/>
        </w:rPr>
        <w:t>נימוקים לפרקליטות לשקול ניהול מו"מ וסיום התביעה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</w:p>
    <w:p w:rsidR="00B933AA" w:rsidRPr="00784FDB" w:rsidRDefault="00B933AA" w:rsidP="00B933AA">
      <w:pPr>
        <w:jc w:val="center"/>
        <w:rPr>
          <w:rFonts w:ascii="David" w:hAnsi="David" w:cs="David"/>
          <w:sz w:val="24"/>
          <w:szCs w:val="24"/>
          <w:rtl/>
        </w:rPr>
      </w:pPr>
      <w:r w:rsidRPr="00784FDB">
        <w:rPr>
          <w:rFonts w:ascii="David" w:hAnsi="David" w:cs="David" w:hint="cs"/>
          <w:sz w:val="24"/>
          <w:szCs w:val="24"/>
          <w:rtl/>
        </w:rPr>
        <w:t xml:space="preserve"> </w:t>
      </w:r>
      <w:r w:rsidR="00784FDB" w:rsidRPr="00784FDB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</w:t>
      </w:r>
      <w:r w:rsidR="00784FDB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</w:t>
      </w:r>
      <w:r w:rsidR="00784FDB" w:rsidRPr="00784FDB">
        <w:rPr>
          <w:rFonts w:ascii="David" w:hAnsi="David" w:cs="David" w:hint="cs"/>
          <w:sz w:val="24"/>
          <w:szCs w:val="24"/>
          <w:rtl/>
        </w:rPr>
        <w:t>4.3.2021</w:t>
      </w:r>
      <w:r w:rsidR="00784FDB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487D58" w:rsidRDefault="004947BD" w:rsidP="005D3CAB">
      <w:pPr>
        <w:rPr>
          <w:rFonts w:ascii="David" w:hAnsi="David" w:cs="David"/>
          <w:sz w:val="28"/>
          <w:szCs w:val="28"/>
          <w:u w:val="single"/>
          <w:rtl/>
        </w:rPr>
      </w:pPr>
      <w:r w:rsidRPr="004947BD">
        <w:rPr>
          <w:rFonts w:ascii="David" w:hAnsi="David" w:cs="David" w:hint="cs"/>
          <w:b/>
          <w:bCs/>
          <w:sz w:val="28"/>
          <w:szCs w:val="28"/>
          <w:u w:val="single"/>
          <w:rtl/>
        </w:rPr>
        <w:t>לפני פס"ד בארצי</w:t>
      </w:r>
    </w:p>
    <w:p w:rsidR="00B006DB" w:rsidRDefault="00B006DB" w:rsidP="005B5410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5B5410">
        <w:rPr>
          <w:rFonts w:ascii="David" w:hAnsi="David" w:cs="David" w:hint="cs"/>
          <w:sz w:val="24"/>
          <w:szCs w:val="24"/>
          <w:rtl/>
        </w:rPr>
        <w:t>מדינה כבר הסכימ</w:t>
      </w:r>
      <w:r w:rsidR="002054FE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947BD">
        <w:rPr>
          <w:rFonts w:ascii="David" w:hAnsi="David" w:cs="David" w:hint="cs"/>
          <w:sz w:val="24"/>
          <w:szCs w:val="24"/>
          <w:rtl/>
        </w:rPr>
        <w:t xml:space="preserve">בין כך </w:t>
      </w:r>
      <w:r>
        <w:rPr>
          <w:rFonts w:ascii="David" w:hAnsi="David" w:cs="David" w:hint="cs"/>
          <w:sz w:val="24"/>
          <w:szCs w:val="24"/>
          <w:rtl/>
        </w:rPr>
        <w:t xml:space="preserve">לחזור לאזורי </w:t>
      </w:r>
      <w:r w:rsidR="002054FE">
        <w:rPr>
          <w:rFonts w:ascii="David" w:hAnsi="David" w:cs="David" w:hint="cs"/>
          <w:sz w:val="24"/>
          <w:szCs w:val="24"/>
          <w:rtl/>
        </w:rPr>
        <w:t xml:space="preserve">על מרכיבים מסוימים. </w:t>
      </w:r>
    </w:p>
    <w:p w:rsidR="004947BD" w:rsidRDefault="004947BD" w:rsidP="004947BD">
      <w:pPr>
        <w:pStyle w:val="a3"/>
        <w:rPr>
          <w:rFonts w:ascii="David" w:hAnsi="David" w:cs="David" w:hint="cs"/>
          <w:sz w:val="24"/>
          <w:szCs w:val="24"/>
        </w:rPr>
      </w:pPr>
    </w:p>
    <w:p w:rsidR="00B006DB" w:rsidRPr="004947BD" w:rsidRDefault="004947BD" w:rsidP="004947BD">
      <w:pPr>
        <w:pStyle w:val="a3"/>
        <w:numPr>
          <w:ilvl w:val="0"/>
          <w:numId w:val="1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4947BD">
        <w:rPr>
          <w:rFonts w:ascii="David" w:hAnsi="David" w:cs="David" w:hint="cs"/>
          <w:sz w:val="24"/>
          <w:szCs w:val="24"/>
          <w:rtl/>
        </w:rPr>
        <w:t xml:space="preserve"> קביעה של ה</w:t>
      </w:r>
      <w:r w:rsidR="00B006DB" w:rsidRPr="004947BD">
        <w:rPr>
          <w:rFonts w:ascii="David" w:hAnsi="David" w:cs="David" w:hint="cs"/>
          <w:sz w:val="24"/>
          <w:szCs w:val="24"/>
          <w:rtl/>
        </w:rPr>
        <w:t xml:space="preserve">ארצי </w:t>
      </w:r>
      <w:r w:rsidR="00BF0D20" w:rsidRPr="004947BD">
        <w:rPr>
          <w:rFonts w:ascii="David" w:hAnsi="David" w:cs="David" w:hint="cs"/>
          <w:sz w:val="24"/>
          <w:szCs w:val="24"/>
          <w:rtl/>
        </w:rPr>
        <w:t xml:space="preserve">שאין </w:t>
      </w:r>
      <w:proofErr w:type="spellStart"/>
      <w:r w:rsidR="00BF0D20" w:rsidRPr="004947BD">
        <w:rPr>
          <w:rFonts w:ascii="David" w:hAnsi="David" w:cs="David" w:hint="cs"/>
          <w:sz w:val="24"/>
          <w:szCs w:val="24"/>
          <w:rtl/>
        </w:rPr>
        <w:t>התישנות</w:t>
      </w:r>
      <w:proofErr w:type="spellEnd"/>
      <w:r w:rsidR="00BF0D20" w:rsidRPr="004947BD">
        <w:rPr>
          <w:rFonts w:ascii="David" w:hAnsi="David" w:cs="David" w:hint="cs"/>
          <w:sz w:val="24"/>
          <w:szCs w:val="24"/>
          <w:rtl/>
        </w:rPr>
        <w:t xml:space="preserve"> כי </w:t>
      </w:r>
      <w:r w:rsidRPr="004947BD">
        <w:rPr>
          <w:rFonts w:ascii="David" w:hAnsi="David" w:cs="David" w:hint="cs"/>
          <w:sz w:val="24"/>
          <w:szCs w:val="24"/>
          <w:rtl/>
        </w:rPr>
        <w:t xml:space="preserve">לא </w:t>
      </w:r>
      <w:proofErr w:type="spellStart"/>
      <w:r w:rsidRPr="004947BD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Pr="004947BD">
        <w:rPr>
          <w:rFonts w:ascii="David" w:hAnsi="David" w:cs="David" w:hint="cs"/>
          <w:sz w:val="24"/>
          <w:szCs w:val="24"/>
          <w:rtl/>
        </w:rPr>
        <w:t xml:space="preserve"> כלל החלטת ממונה</w:t>
      </w:r>
      <w:r w:rsidRPr="004947BD">
        <w:rPr>
          <w:rFonts w:ascii="David" w:hAnsi="David" w:cs="David" w:hint="cs"/>
          <w:sz w:val="24"/>
          <w:szCs w:val="24"/>
          <w:rtl/>
        </w:rPr>
        <w:t xml:space="preserve"> ולכן </w:t>
      </w:r>
      <w:r w:rsidR="00B006DB" w:rsidRPr="004947BD">
        <w:rPr>
          <w:rFonts w:ascii="David" w:hAnsi="David" w:cs="David" w:hint="cs"/>
          <w:sz w:val="24"/>
          <w:szCs w:val="24"/>
          <w:rtl/>
        </w:rPr>
        <w:t xml:space="preserve">סעיף 43 לא חל </w:t>
      </w:r>
      <w:r w:rsidR="005D3CAB">
        <w:rPr>
          <w:rFonts w:ascii="David" w:hAnsi="David" w:cs="David" w:hint="cs"/>
          <w:sz w:val="24"/>
          <w:szCs w:val="24"/>
          <w:rtl/>
        </w:rPr>
        <w:t>תהיה קביעה תקדימית עם השלכות כלכליות מרחיקות לכת:</w:t>
      </w:r>
    </w:p>
    <w:p w:rsidR="002054FE" w:rsidRDefault="00B006DB" w:rsidP="004947BD">
      <w:pPr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B006DB">
        <w:rPr>
          <w:rFonts w:ascii="David" w:hAnsi="David" w:cs="David" w:hint="cs"/>
          <w:sz w:val="24"/>
          <w:szCs w:val="24"/>
          <w:rtl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5B5410">
        <w:rPr>
          <w:rFonts w:ascii="David" w:hAnsi="David" w:cs="David" w:hint="cs"/>
          <w:sz w:val="24"/>
          <w:szCs w:val="24"/>
          <w:rtl/>
        </w:rPr>
        <w:t xml:space="preserve">  </w:t>
      </w:r>
      <w:r w:rsidR="00BF0D20">
        <w:rPr>
          <w:rFonts w:ascii="David" w:hAnsi="David" w:cs="David" w:hint="cs"/>
          <w:sz w:val="24"/>
          <w:szCs w:val="24"/>
          <w:rtl/>
        </w:rPr>
        <w:t xml:space="preserve"> </w:t>
      </w:r>
      <w:r w:rsidR="005B5410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>א:</w:t>
      </w:r>
      <w:r w:rsidR="004947BD">
        <w:rPr>
          <w:rFonts w:ascii="David" w:hAnsi="David" w:cs="David" w:hint="cs"/>
          <w:sz w:val="24"/>
          <w:szCs w:val="24"/>
          <w:rtl/>
        </w:rPr>
        <w:t xml:space="preserve"> ת</w:t>
      </w:r>
      <w:r w:rsidRPr="00B006DB">
        <w:rPr>
          <w:rFonts w:ascii="David" w:hAnsi="David" w:cs="David" w:hint="cs"/>
          <w:sz w:val="24"/>
          <w:szCs w:val="24"/>
          <w:rtl/>
        </w:rPr>
        <w:t xml:space="preserve">זעזע את כל המערך </w:t>
      </w:r>
      <w:r w:rsidR="005B5410" w:rsidRPr="00B006DB">
        <w:rPr>
          <w:rFonts w:ascii="David" w:hAnsi="David" w:cs="David" w:hint="cs"/>
          <w:sz w:val="24"/>
          <w:szCs w:val="24"/>
          <w:rtl/>
        </w:rPr>
        <w:t>הקיים</w:t>
      </w:r>
      <w:r w:rsidR="002054FE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B006DB" w:rsidRDefault="002054FE" w:rsidP="004947BD">
      <w:pPr>
        <w:spacing w:after="0" w:line="360" w:lineRule="auto"/>
        <w:ind w:left="1785" w:hanging="1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(כיום הנציבות </w:t>
      </w:r>
      <w:r w:rsidR="004947BD">
        <w:rPr>
          <w:rFonts w:ascii="David" w:hAnsi="David" w:cs="David" w:hint="cs"/>
          <w:sz w:val="24"/>
          <w:szCs w:val="24"/>
          <w:rtl/>
        </w:rPr>
        <w:t>היא ה</w:t>
      </w:r>
      <w:r>
        <w:rPr>
          <w:rFonts w:ascii="David" w:hAnsi="David" w:cs="David" w:hint="cs"/>
          <w:sz w:val="24"/>
          <w:szCs w:val="24"/>
          <w:rtl/>
        </w:rPr>
        <w:t xml:space="preserve">קובעת את הפנסיה </w:t>
      </w:r>
      <w:r w:rsidR="004947BD">
        <w:rPr>
          <w:rFonts w:ascii="David" w:hAnsi="David" w:cs="David" w:hint="cs"/>
          <w:sz w:val="24"/>
          <w:szCs w:val="24"/>
          <w:rtl/>
        </w:rPr>
        <w:t xml:space="preserve">לבעלי </w:t>
      </w:r>
      <w:r w:rsidR="004947BD">
        <w:rPr>
          <w:rFonts w:ascii="David" w:hAnsi="David" w:cs="David" w:hint="cs"/>
          <w:sz w:val="24"/>
          <w:szCs w:val="24"/>
          <w:rtl/>
        </w:rPr>
        <w:t xml:space="preserve">חוזי בכירים </w:t>
      </w:r>
      <w:r>
        <w:rPr>
          <w:rFonts w:ascii="David" w:hAnsi="David" w:cs="David" w:hint="cs"/>
          <w:sz w:val="24"/>
          <w:szCs w:val="24"/>
          <w:rtl/>
        </w:rPr>
        <w:t xml:space="preserve">ולא הממונה. </w:t>
      </w:r>
      <w:r w:rsidR="004947BD">
        <w:rPr>
          <w:rFonts w:ascii="David" w:hAnsi="David" w:cs="David" w:hint="cs"/>
          <w:sz w:val="24"/>
          <w:szCs w:val="24"/>
          <w:rtl/>
        </w:rPr>
        <w:t xml:space="preserve">שינוי </w:t>
      </w:r>
      <w:r>
        <w:rPr>
          <w:rFonts w:ascii="David" w:hAnsi="David" w:cs="David" w:hint="cs"/>
          <w:sz w:val="24"/>
          <w:szCs w:val="24"/>
          <w:rtl/>
        </w:rPr>
        <w:t>יחייב ארגון מחדש של המערכת, לרבות נוהל חדש ושונה</w:t>
      </w:r>
      <w:r w:rsidR="005B5410">
        <w:rPr>
          <w:rFonts w:ascii="David" w:hAnsi="David" w:cs="David" w:hint="cs"/>
          <w:sz w:val="24"/>
          <w:szCs w:val="24"/>
          <w:rtl/>
        </w:rPr>
        <w:t>, הכשרה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במינהל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ובכל משרדי המשלה וכד' וכמובן עלויות גבוהות ביותר)</w:t>
      </w:r>
    </w:p>
    <w:p w:rsidR="004947BD" w:rsidRDefault="00B006DB" w:rsidP="005D3CAB">
      <w:pPr>
        <w:spacing w:after="0" w:line="360" w:lineRule="auto"/>
        <w:ind w:left="1360" w:hanging="100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</w:t>
      </w:r>
      <w:r w:rsidR="005B5410">
        <w:rPr>
          <w:rFonts w:ascii="David" w:hAnsi="David" w:cs="David" w:hint="cs"/>
          <w:sz w:val="24"/>
          <w:szCs w:val="24"/>
          <w:rtl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 ב: פתח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לעירעורים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המוניים (</w:t>
      </w:r>
      <w:r w:rsidR="005D3CAB">
        <w:rPr>
          <w:rFonts w:ascii="David" w:hAnsi="David" w:cs="David" w:hint="cs"/>
          <w:sz w:val="24"/>
          <w:szCs w:val="24"/>
          <w:rtl/>
        </w:rPr>
        <w:t xml:space="preserve">כי </w:t>
      </w:r>
      <w:r>
        <w:rPr>
          <w:rFonts w:ascii="David" w:hAnsi="David" w:cs="David" w:hint="cs"/>
          <w:sz w:val="24"/>
          <w:szCs w:val="24"/>
          <w:rtl/>
        </w:rPr>
        <w:t xml:space="preserve">אין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התישנות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אחרי 60 יום/שנה</w:t>
      </w:r>
      <w:r w:rsidR="005D3CAB">
        <w:rPr>
          <w:rFonts w:ascii="David" w:hAnsi="David" w:cs="David" w:hint="cs"/>
          <w:sz w:val="24"/>
          <w:szCs w:val="24"/>
          <w:rtl/>
        </w:rPr>
        <w:t xml:space="preserve"> על החלטות הפנסיה לבכירים שנקבעו כולם ע"י </w:t>
      </w:r>
      <w:proofErr w:type="spellStart"/>
      <w:r w:rsidR="005D3CAB">
        <w:rPr>
          <w:rFonts w:ascii="David" w:hAnsi="David" w:cs="David" w:hint="cs"/>
          <w:sz w:val="24"/>
          <w:szCs w:val="24"/>
          <w:rtl/>
        </w:rPr>
        <w:t>הנש"מ</w:t>
      </w:r>
      <w:proofErr w:type="spellEnd"/>
      <w:r>
        <w:rPr>
          <w:rFonts w:ascii="David" w:hAnsi="David" w:cs="David" w:hint="cs"/>
          <w:sz w:val="24"/>
          <w:szCs w:val="24"/>
          <w:rtl/>
        </w:rPr>
        <w:t>)</w:t>
      </w:r>
      <w:r w:rsidR="002054FE">
        <w:rPr>
          <w:rFonts w:ascii="David" w:hAnsi="David" w:cs="David" w:hint="cs"/>
          <w:sz w:val="24"/>
          <w:szCs w:val="24"/>
          <w:rtl/>
        </w:rPr>
        <w:t>.</w:t>
      </w:r>
    </w:p>
    <w:p w:rsidR="005D3CAB" w:rsidRPr="005D3CAB" w:rsidRDefault="005D3CAB" w:rsidP="005D3CAB">
      <w:pPr>
        <w:rPr>
          <w:rFonts w:ascii="David" w:hAnsi="David" w:cs="David"/>
          <w:b/>
          <w:bCs/>
          <w:i/>
          <w:iCs/>
          <w:sz w:val="28"/>
          <w:szCs w:val="28"/>
          <w:u w:val="single"/>
          <w:rtl/>
        </w:rPr>
      </w:pPr>
      <w:r w:rsidRPr="005D3CAB">
        <w:rPr>
          <w:rFonts w:ascii="David" w:hAnsi="David" w:cs="David" w:hint="cs"/>
          <w:b/>
          <w:bCs/>
          <w:i/>
          <w:iCs/>
          <w:sz w:val="28"/>
          <w:szCs w:val="28"/>
          <w:u w:val="single"/>
          <w:rtl/>
        </w:rPr>
        <w:t>לפני דיון באזורי</w:t>
      </w:r>
    </w:p>
    <w:p w:rsidR="005D3CAB" w:rsidRDefault="005D3CAB" w:rsidP="00B933AA">
      <w:pPr>
        <w:pStyle w:val="a3"/>
        <w:numPr>
          <w:ilvl w:val="0"/>
          <w:numId w:val="1"/>
        </w:numPr>
        <w:spacing w:after="0" w:line="360" w:lineRule="auto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סיכון לביטול של נוסחת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השיקלול</w:t>
      </w:r>
      <w:proofErr w:type="spellEnd"/>
      <w:r w:rsidR="00B933AA">
        <w:rPr>
          <w:rFonts w:ascii="David" w:hAnsi="David" w:cs="David" w:hint="cs"/>
          <w:sz w:val="24"/>
          <w:szCs w:val="24"/>
          <w:rtl/>
        </w:rPr>
        <w:t xml:space="preserve"> </w:t>
      </w:r>
      <w:r w:rsidR="00F81B4A">
        <w:rPr>
          <w:rFonts w:ascii="David" w:hAnsi="David" w:cs="David" w:hint="cs"/>
          <w:sz w:val="24"/>
          <w:szCs w:val="24"/>
          <w:rtl/>
        </w:rPr>
        <w:t xml:space="preserve">לחוזים של עובדים מעל 35 שנה </w:t>
      </w:r>
      <w:r w:rsidR="00B933AA">
        <w:rPr>
          <w:rFonts w:ascii="David" w:hAnsi="David" w:cs="David" w:hint="cs"/>
          <w:sz w:val="24"/>
          <w:szCs w:val="24"/>
          <w:rtl/>
        </w:rPr>
        <w:t>(לא קיים בחוזה)</w:t>
      </w:r>
      <w:r w:rsidR="00061D12">
        <w:rPr>
          <w:rFonts w:ascii="David" w:hAnsi="David" w:cs="David" w:hint="cs"/>
          <w:sz w:val="24"/>
          <w:szCs w:val="24"/>
          <w:rtl/>
        </w:rPr>
        <w:t>.</w:t>
      </w:r>
    </w:p>
    <w:p w:rsidR="00B933AA" w:rsidRDefault="00B933AA" w:rsidP="00B933AA">
      <w:pPr>
        <w:pStyle w:val="a3"/>
        <w:numPr>
          <w:ilvl w:val="0"/>
          <w:numId w:val="1"/>
        </w:numPr>
        <w:spacing w:after="0" w:line="360" w:lineRule="auto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סיכון לאישוש טענתנו שחוק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 ח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 xml:space="preserve">ל </w:t>
      </w:r>
      <w:r w:rsidR="00D749D1">
        <w:rPr>
          <w:rFonts w:ascii="David" w:hAnsi="David" w:cs="David" w:hint="cs"/>
          <w:sz w:val="24"/>
          <w:szCs w:val="24"/>
          <w:rtl/>
        </w:rPr>
        <w:t>(ו</w:t>
      </w:r>
      <w:r w:rsidR="00061D12">
        <w:rPr>
          <w:rFonts w:ascii="David" w:hAnsi="David" w:cs="David" w:hint="cs"/>
          <w:sz w:val="24"/>
          <w:szCs w:val="24"/>
          <w:rtl/>
        </w:rPr>
        <w:t xml:space="preserve">לכן </w:t>
      </w:r>
      <w:r w:rsidR="00D749D1">
        <w:rPr>
          <w:rFonts w:ascii="David" w:hAnsi="David" w:cs="David" w:hint="cs"/>
          <w:sz w:val="24"/>
          <w:szCs w:val="24"/>
          <w:rtl/>
        </w:rPr>
        <w:t xml:space="preserve">אין הגבלה של 70%) </w:t>
      </w:r>
      <w:r w:rsidR="00F81B4A">
        <w:rPr>
          <w:rFonts w:ascii="David" w:hAnsi="David" w:cs="David" w:hint="cs"/>
          <w:sz w:val="24"/>
          <w:szCs w:val="24"/>
          <w:rtl/>
        </w:rPr>
        <w:t>ולחילופין:</w:t>
      </w:r>
    </w:p>
    <w:p w:rsidR="005D3CAB" w:rsidRPr="005D3CAB" w:rsidRDefault="00B933AA" w:rsidP="00061D12">
      <w:pPr>
        <w:pStyle w:val="a3"/>
        <w:numPr>
          <w:ilvl w:val="0"/>
          <w:numId w:val="1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סיכון שעמדת המדינה תתקבל (שחוק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כן חל על חוזה הבכירים) וכל הפנסי</w:t>
      </w:r>
      <w:r w:rsidR="00D749D1">
        <w:rPr>
          <w:rFonts w:ascii="David" w:hAnsi="David" w:cs="David" w:hint="cs"/>
          <w:sz w:val="24"/>
          <w:szCs w:val="24"/>
          <w:rtl/>
        </w:rPr>
        <w:t>ות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749D1">
        <w:rPr>
          <w:rFonts w:ascii="David" w:hAnsi="David" w:cs="David" w:hint="cs"/>
          <w:sz w:val="24"/>
          <w:szCs w:val="24"/>
          <w:rtl/>
        </w:rPr>
        <w:t xml:space="preserve">צ"ל לפי </w:t>
      </w:r>
      <w:r>
        <w:rPr>
          <w:rFonts w:ascii="David" w:hAnsi="David" w:cs="David" w:hint="cs"/>
          <w:sz w:val="24"/>
          <w:szCs w:val="24"/>
          <w:rtl/>
        </w:rPr>
        <w:t xml:space="preserve">חוק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(משכורת קובעת </w:t>
      </w:r>
      <w:r w:rsidR="00D749D1">
        <w:rPr>
          <w:rFonts w:ascii="David" w:hAnsi="David" w:cs="David" w:hint="cs"/>
          <w:sz w:val="24"/>
          <w:szCs w:val="24"/>
          <w:rtl/>
        </w:rPr>
        <w:t>לכל התקופה= מש</w:t>
      </w:r>
      <w:r>
        <w:rPr>
          <w:rFonts w:ascii="David" w:hAnsi="David" w:cs="David" w:hint="cs"/>
          <w:sz w:val="24"/>
          <w:szCs w:val="24"/>
          <w:rtl/>
        </w:rPr>
        <w:t>כורת אחרונ</w:t>
      </w:r>
      <w:r w:rsidR="00D749D1">
        <w:rPr>
          <w:rFonts w:ascii="David" w:hAnsi="David" w:cs="David" w:hint="cs"/>
          <w:sz w:val="24"/>
          <w:szCs w:val="24"/>
          <w:rtl/>
        </w:rPr>
        <w:t>ה לפי משכורת החוזה</w:t>
      </w:r>
      <w:r w:rsidR="00061D12">
        <w:rPr>
          <w:rFonts w:ascii="David" w:hAnsi="David" w:cs="David" w:hint="cs"/>
          <w:sz w:val="24"/>
          <w:szCs w:val="24"/>
          <w:rtl/>
        </w:rPr>
        <w:t xml:space="preserve"> (סעיף 12 לחוק, -אם אינני טועה))</w:t>
      </w:r>
      <w:r w:rsidR="00D749D1">
        <w:rPr>
          <w:rFonts w:ascii="David" w:hAnsi="David" w:cs="David" w:hint="cs"/>
          <w:sz w:val="24"/>
          <w:szCs w:val="24"/>
          <w:rtl/>
        </w:rPr>
        <w:t>.</w:t>
      </w:r>
    </w:p>
    <w:p w:rsidR="00D749D1" w:rsidRPr="00F81B4A" w:rsidRDefault="00D749D1" w:rsidP="00D749D1">
      <w:pPr>
        <w:pStyle w:val="1"/>
        <w:rPr>
          <w:color w:val="auto"/>
          <w:rtl/>
        </w:rPr>
      </w:pPr>
      <w:r w:rsidRPr="00F81B4A">
        <w:rPr>
          <w:rFonts w:hint="cs"/>
          <w:color w:val="auto"/>
          <w:rtl/>
        </w:rPr>
        <w:t>התממשות כל אחד מהסיכונים הנ"ל יכולים לגרום למדינה עלויות כספיות ניכרות ביותר.</w:t>
      </w:r>
    </w:p>
    <w:p w:rsidR="004947BD" w:rsidRPr="00F81B4A" w:rsidRDefault="00D749D1" w:rsidP="00061D12">
      <w:pPr>
        <w:pStyle w:val="1"/>
        <w:rPr>
          <w:color w:val="auto"/>
          <w:rtl/>
        </w:rPr>
      </w:pPr>
      <w:r w:rsidRPr="00F81B4A">
        <w:rPr>
          <w:rFonts w:hint="cs"/>
          <w:color w:val="auto"/>
          <w:rtl/>
        </w:rPr>
        <w:t xml:space="preserve"> לעומת זאת עלו</w:t>
      </w:r>
      <w:r w:rsidR="00061D12" w:rsidRPr="00F81B4A">
        <w:rPr>
          <w:rFonts w:hint="cs"/>
          <w:color w:val="auto"/>
          <w:rtl/>
        </w:rPr>
        <w:t>ת</w:t>
      </w:r>
      <w:r w:rsidRPr="00F81B4A">
        <w:rPr>
          <w:rFonts w:hint="cs"/>
          <w:color w:val="auto"/>
          <w:rtl/>
        </w:rPr>
        <w:t xml:space="preserve"> </w:t>
      </w:r>
      <w:r w:rsidRPr="00F81B4A">
        <w:rPr>
          <w:rFonts w:hint="cs"/>
          <w:color w:val="auto"/>
          <w:rtl/>
        </w:rPr>
        <w:t xml:space="preserve">תיקון הפנסיה </w:t>
      </w:r>
      <w:r w:rsidRPr="00F81B4A">
        <w:rPr>
          <w:rFonts w:hint="cs"/>
          <w:color w:val="auto"/>
          <w:rtl/>
        </w:rPr>
        <w:t xml:space="preserve">וסיום הפרשה מחוץ לבית הדין </w:t>
      </w:r>
      <w:r w:rsidR="00061D12" w:rsidRPr="00F81B4A">
        <w:rPr>
          <w:rFonts w:hint="cs"/>
          <w:color w:val="auto"/>
          <w:rtl/>
        </w:rPr>
        <w:t xml:space="preserve">היא </w:t>
      </w:r>
      <w:r w:rsidRPr="00F81B4A">
        <w:rPr>
          <w:rFonts w:hint="cs"/>
          <w:color w:val="auto"/>
          <w:rtl/>
        </w:rPr>
        <w:t>יחסית מזערית ממש</w:t>
      </w:r>
      <w:r w:rsidR="00061D12" w:rsidRPr="00F81B4A">
        <w:rPr>
          <w:rFonts w:hint="cs"/>
          <w:color w:val="auto"/>
          <w:rtl/>
        </w:rPr>
        <w:t xml:space="preserve">, </w:t>
      </w:r>
      <w:r w:rsidRPr="00F81B4A">
        <w:rPr>
          <w:rFonts w:hint="cs"/>
          <w:color w:val="auto"/>
          <w:rtl/>
        </w:rPr>
        <w:t>איננה תקדימית</w:t>
      </w:r>
      <w:r w:rsidR="00061D12" w:rsidRPr="00F81B4A">
        <w:rPr>
          <w:rFonts w:hint="cs"/>
          <w:color w:val="auto"/>
          <w:rtl/>
        </w:rPr>
        <w:t xml:space="preserve"> ומנטרלת את </w:t>
      </w:r>
      <w:r w:rsidRPr="00F81B4A">
        <w:rPr>
          <w:rFonts w:hint="cs"/>
          <w:color w:val="auto"/>
          <w:rtl/>
        </w:rPr>
        <w:t>כל הסיכונים הנ"ל</w:t>
      </w:r>
      <w:r w:rsidR="00061D12" w:rsidRPr="00F81B4A">
        <w:rPr>
          <w:rFonts w:hint="cs"/>
          <w:color w:val="auto"/>
          <w:rtl/>
        </w:rPr>
        <w:t xml:space="preserve"> וכמובן חוסכת את העלויות בכסף , זמן ומאמצים של המדינה, הפרקליטות, ובית הדין הנובעות מהמשך </w:t>
      </w:r>
      <w:proofErr w:type="spellStart"/>
      <w:r w:rsidR="00061D12" w:rsidRPr="00F81B4A">
        <w:rPr>
          <w:rFonts w:hint="cs"/>
          <w:color w:val="auto"/>
          <w:rtl/>
        </w:rPr>
        <w:t>ההדיינות</w:t>
      </w:r>
      <w:proofErr w:type="spellEnd"/>
      <w:r w:rsidR="00061D12" w:rsidRPr="00F81B4A">
        <w:rPr>
          <w:rFonts w:hint="cs"/>
          <w:color w:val="auto"/>
          <w:rtl/>
        </w:rPr>
        <w:t xml:space="preserve"> בערכאות.</w:t>
      </w:r>
    </w:p>
    <w:p w:rsidR="002054FE" w:rsidRDefault="002054FE" w:rsidP="002054FE">
      <w:pPr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</w:p>
    <w:p w:rsidR="00B006DB" w:rsidRPr="005B5410" w:rsidRDefault="00B006DB" w:rsidP="004947BD">
      <w:pPr>
        <w:pStyle w:val="a3"/>
        <w:spacing w:line="360" w:lineRule="auto"/>
        <w:rPr>
          <w:rFonts w:ascii="David" w:hAnsi="David" w:cs="David"/>
          <w:sz w:val="24"/>
          <w:szCs w:val="24"/>
        </w:rPr>
      </w:pPr>
    </w:p>
    <w:p w:rsidR="00B006DB" w:rsidRPr="00B006DB" w:rsidRDefault="00B006DB">
      <w:pPr>
        <w:ind w:left="360"/>
        <w:rPr>
          <w:rFonts w:ascii="David" w:hAnsi="David" w:cs="David"/>
          <w:sz w:val="24"/>
          <w:szCs w:val="24"/>
        </w:rPr>
      </w:pPr>
    </w:p>
    <w:sectPr w:rsidR="00B006DB" w:rsidRPr="00B006DB" w:rsidSect="006E74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457EB"/>
    <w:multiLevelType w:val="hybridMultilevel"/>
    <w:tmpl w:val="557CD28A"/>
    <w:lvl w:ilvl="0" w:tplc="ACA00A7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DB"/>
    <w:rsid w:val="00061D12"/>
    <w:rsid w:val="002054FE"/>
    <w:rsid w:val="00487D58"/>
    <w:rsid w:val="004947BD"/>
    <w:rsid w:val="005B5410"/>
    <w:rsid w:val="005D3CAB"/>
    <w:rsid w:val="006E74D7"/>
    <w:rsid w:val="00784FDB"/>
    <w:rsid w:val="00B006DB"/>
    <w:rsid w:val="00B933AA"/>
    <w:rsid w:val="00BF0D20"/>
    <w:rsid w:val="00D749D1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3CCDE-2844-486F-B488-7E6DC83B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94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6D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494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240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dcterms:created xsi:type="dcterms:W3CDTF">2021-03-04T07:37:00Z</dcterms:created>
  <dcterms:modified xsi:type="dcterms:W3CDTF">2021-03-04T12:13:00Z</dcterms:modified>
</cp:coreProperties>
</file>