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w:t>
      </w:r>
      <w:proofErr w:type="spellStart"/>
      <w:r w:rsidRPr="00591BA0">
        <w:rPr>
          <w:b/>
          <w:bCs/>
          <w:rtl/>
          <w:lang w:eastAsia="en-US"/>
        </w:rPr>
        <w:t>קדרי</w:t>
      </w:r>
      <w:proofErr w:type="spellEnd"/>
      <w:r w:rsidRPr="00591BA0">
        <w:rPr>
          <w:b/>
          <w:bCs/>
          <w:rtl/>
          <w:lang w:eastAsia="en-US"/>
        </w:rPr>
        <w:t xml:space="preserve">,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 xml:space="preserve">הממונה על </w:t>
      </w:r>
      <w:proofErr w:type="spellStart"/>
      <w:r w:rsidRPr="00591BA0">
        <w:rPr>
          <w:b/>
          <w:bCs/>
          <w:rtl/>
        </w:rPr>
        <w:t>הגימלאות</w:t>
      </w:r>
      <w:proofErr w:type="spellEnd"/>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bookmarkStart w:id="0" w:name="_GoBack"/>
      <w:bookmarkEnd w:id="0"/>
    </w:p>
    <w:p w:rsidR="00AA4BFC" w:rsidRPr="00591BA0" w:rsidRDefault="00AA4BFC" w:rsidP="00AA4BFC">
      <w:pPr>
        <w:pStyle w:val="40"/>
        <w:tabs>
          <w:tab w:val="clear" w:pos="942"/>
        </w:tabs>
        <w:spacing w:before="0"/>
        <w:ind w:left="2250" w:firstLine="0"/>
        <w:rPr>
          <w:rtl/>
        </w:rPr>
      </w:pPr>
      <w:r w:rsidRPr="00591BA0">
        <w:rPr>
          <w:rFonts w:hint="cs"/>
          <w:rtl/>
        </w:rPr>
        <w:t xml:space="preserve">רחוב </w:t>
      </w:r>
      <w:proofErr w:type="spellStart"/>
      <w:r w:rsidRPr="00591BA0">
        <w:rPr>
          <w:rFonts w:hint="cs"/>
          <w:rtl/>
        </w:rPr>
        <w:t>צאלח</w:t>
      </w:r>
      <w:proofErr w:type="spellEnd"/>
      <w:r w:rsidRPr="00591BA0">
        <w:rPr>
          <w:rFonts w:hint="cs"/>
          <w:rtl/>
        </w:rPr>
        <w:t xml:space="preserve"> א-דין</w:t>
      </w:r>
      <w:r w:rsidRPr="00591BA0">
        <w:rPr>
          <w:rtl/>
        </w:rPr>
        <w:t>, ירושלים</w:t>
      </w:r>
    </w:p>
    <w:p w:rsidR="00AA4BFC" w:rsidRPr="00591BA0" w:rsidRDefault="00AA4BFC" w:rsidP="00743BBB">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w:t>
      </w:r>
      <w:r w:rsidR="00743BBB">
        <w:rPr>
          <w:rFonts w:hint="cs"/>
          <w:b/>
          <w:bCs/>
          <w:u w:val="single"/>
          <w:rtl/>
          <w:lang w:eastAsia="en-US"/>
        </w:rPr>
        <w:t>שיבות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43BBB" w:rsidP="001A61CD">
      <w:pPr>
        <w:pStyle w:val="11"/>
        <w:spacing w:after="120" w:line="360" w:lineRule="auto"/>
        <w:ind w:left="720" w:hanging="669"/>
        <w:jc w:val="center"/>
        <w:rPr>
          <w:b/>
          <w:bCs/>
          <w:sz w:val="36"/>
          <w:szCs w:val="36"/>
          <w:u w:val="single"/>
          <w:rtl/>
        </w:rPr>
      </w:pPr>
      <w:r>
        <w:rPr>
          <w:rFonts w:hint="cs"/>
          <w:b/>
          <w:bCs/>
          <w:sz w:val="36"/>
          <w:szCs w:val="36"/>
          <w:u w:val="single"/>
          <w:rtl/>
        </w:rPr>
        <w:t>תשובה להשלמת טיעון מטעם המשיבות</w:t>
      </w:r>
    </w:p>
    <w:p w:rsidR="005B0AA3" w:rsidRPr="00591BA0" w:rsidRDefault="001A61CD" w:rsidP="003B467F">
      <w:pPr>
        <w:pStyle w:val="a4"/>
        <w:spacing w:after="200" w:line="360" w:lineRule="auto"/>
        <w:jc w:val="both"/>
        <w:rPr>
          <w:rFonts w:cs="David"/>
          <w:rtl/>
        </w:rPr>
      </w:pPr>
      <w:r>
        <w:rPr>
          <w:rFonts w:cs="David" w:hint="cs"/>
          <w:rtl/>
        </w:rPr>
        <w:t xml:space="preserve">בהמשך </w:t>
      </w:r>
      <w:r w:rsidR="00036909">
        <w:rPr>
          <w:rFonts w:cs="David" w:hint="cs"/>
          <w:rtl/>
        </w:rPr>
        <w:t xml:space="preserve">להשלמת הטיעון מטעם </w:t>
      </w:r>
      <w:r w:rsidR="003B467F">
        <w:rPr>
          <w:rFonts w:cs="David" w:hint="cs"/>
          <w:rtl/>
        </w:rPr>
        <w:t>המשיבות ("השלמת הטיעון")</w:t>
      </w:r>
      <w:r w:rsidR="005F2C3E">
        <w:rPr>
          <w:rFonts w:cs="David" w:hint="cs"/>
          <w:rtl/>
        </w:rPr>
        <w:t>, ו</w:t>
      </w:r>
      <w:r w:rsidR="005B0AA3" w:rsidRPr="00591BA0">
        <w:rPr>
          <w:rFonts w:cs="David"/>
          <w:rtl/>
        </w:rPr>
        <w:t>להחלטת בית הדין הנכבד</w:t>
      </w:r>
      <w:r w:rsidR="005F2C3E">
        <w:rPr>
          <w:rFonts w:cs="David" w:hint="cs"/>
          <w:rtl/>
        </w:rPr>
        <w:t xml:space="preserve"> מיום </w:t>
      </w:r>
      <w:r w:rsidR="00036909">
        <w:rPr>
          <w:rFonts w:cs="David" w:hint="cs"/>
          <w:rtl/>
        </w:rPr>
        <w:t>08.02</w:t>
      </w:r>
      <w:r w:rsidR="005F2C3E">
        <w:rPr>
          <w:rFonts w:cs="David" w:hint="cs"/>
          <w:rtl/>
        </w:rPr>
        <w:t>.2021</w:t>
      </w:r>
      <w:r w:rsidR="00036909">
        <w:rPr>
          <w:rFonts w:cs="David" w:hint="cs"/>
          <w:rtl/>
        </w:rPr>
        <w:t>, מתכבד המערער להשיב להשלמת הטיעון</w:t>
      </w:r>
      <w:r w:rsidR="005F2C3E">
        <w:rPr>
          <w:rFonts w:cs="David" w:hint="cs"/>
          <w:rtl/>
        </w:rPr>
        <w:t>, כמפורט להלן:</w:t>
      </w:r>
      <w:r w:rsidR="005B0AA3" w:rsidRPr="00591BA0">
        <w:rPr>
          <w:rFonts w:cs="David" w:hint="cs"/>
          <w:rtl/>
        </w:rPr>
        <w:t xml:space="preserve"> </w:t>
      </w:r>
    </w:p>
    <w:p w:rsidR="00036909" w:rsidRDefault="00243547" w:rsidP="00DB422F">
      <w:pPr>
        <w:numPr>
          <w:ilvl w:val="0"/>
          <w:numId w:val="1"/>
        </w:numPr>
        <w:tabs>
          <w:tab w:val="left" w:pos="566"/>
        </w:tabs>
        <w:spacing w:after="200" w:line="360" w:lineRule="auto"/>
        <w:ind w:left="566" w:hanging="540"/>
        <w:jc w:val="both"/>
        <w:rPr>
          <w:rFonts w:cs="David"/>
        </w:rPr>
      </w:pPr>
      <w:r>
        <w:rPr>
          <w:rFonts w:cs="David" w:hint="cs"/>
          <w:rtl/>
        </w:rPr>
        <w:t xml:space="preserve">המערער יבקש להזכיר, בראשית הדברים, כי אנו עוסקים </w:t>
      </w:r>
      <w:r w:rsidR="00DD74C8">
        <w:rPr>
          <w:rFonts w:cs="David" w:hint="cs"/>
          <w:rtl/>
        </w:rPr>
        <w:t xml:space="preserve">בדחייה על הסף של תביעה שהגיש המערער. </w:t>
      </w:r>
      <w:r w:rsidR="00DD74C8" w:rsidRPr="00DD74C8">
        <w:rPr>
          <w:rFonts w:cs="David" w:hint="cs"/>
          <w:b/>
          <w:bCs/>
          <w:rtl/>
        </w:rPr>
        <w:t>השאלות העומדות על הפרק הן שאלות הנוגעות להליכים של דחייה על הסף ולא להליכים העיקריים בתיק.</w:t>
      </w:r>
      <w:r w:rsidR="00DD74C8">
        <w:rPr>
          <w:rFonts w:cs="David" w:hint="cs"/>
          <w:rtl/>
        </w:rPr>
        <w:t xml:space="preserve"> בהתאם, וככל שיש שאלה שראויה לדיון, וככל שהתשובה עליה אינה חד-משמעית לרעתו של המערער, יש לקבל את טענותיו ואת הערעור.</w:t>
      </w:r>
    </w:p>
    <w:p w:rsidR="00DD74C8" w:rsidRDefault="00DD74C8" w:rsidP="00DB422F">
      <w:pPr>
        <w:numPr>
          <w:ilvl w:val="0"/>
          <w:numId w:val="1"/>
        </w:numPr>
        <w:tabs>
          <w:tab w:val="left" w:pos="566"/>
        </w:tabs>
        <w:spacing w:after="200" w:line="360" w:lineRule="auto"/>
        <w:ind w:left="566" w:hanging="540"/>
        <w:jc w:val="both"/>
        <w:rPr>
          <w:rFonts w:cs="David"/>
        </w:rPr>
      </w:pPr>
      <w:r>
        <w:rPr>
          <w:rFonts w:cs="David" w:hint="cs"/>
          <w:rtl/>
        </w:rPr>
        <w:t xml:space="preserve">עיקר המחלוקת, העולה מהשלמת הטיעון, נוגעת לשאלה מי קבע את נוסחת החישוב של </w:t>
      </w:r>
      <w:proofErr w:type="spellStart"/>
      <w:r>
        <w:rPr>
          <w:rFonts w:cs="David" w:hint="cs"/>
          <w:rtl/>
        </w:rPr>
        <w:t>הגימלה</w:t>
      </w:r>
      <w:proofErr w:type="spellEnd"/>
      <w:r>
        <w:rPr>
          <w:rFonts w:cs="David" w:hint="cs"/>
          <w:rtl/>
        </w:rPr>
        <w:t xml:space="preserve">. לשיטת המשיבות, הסמכות </w:t>
      </w:r>
      <w:r w:rsidR="003E31CD">
        <w:rPr>
          <w:rFonts w:cs="David" w:hint="cs"/>
          <w:rtl/>
        </w:rPr>
        <w:t xml:space="preserve">בעניין זה נתונה </w:t>
      </w:r>
      <w:proofErr w:type="spellStart"/>
      <w:r w:rsidR="003E31CD">
        <w:rPr>
          <w:rFonts w:cs="David" w:hint="cs"/>
          <w:rtl/>
        </w:rPr>
        <w:t>למינהל</w:t>
      </w:r>
      <w:proofErr w:type="spellEnd"/>
      <w:r w:rsidR="003E31CD">
        <w:rPr>
          <w:rFonts w:cs="David" w:hint="cs"/>
          <w:rtl/>
        </w:rPr>
        <w:t xml:space="preserve"> </w:t>
      </w:r>
      <w:proofErr w:type="spellStart"/>
      <w:r w:rsidR="003E31CD">
        <w:rPr>
          <w:rFonts w:cs="David" w:hint="cs"/>
          <w:rtl/>
        </w:rPr>
        <w:t>הגימלאות</w:t>
      </w:r>
      <w:proofErr w:type="spellEnd"/>
      <w:r w:rsidR="003E31CD">
        <w:rPr>
          <w:rFonts w:cs="David" w:hint="cs"/>
          <w:rtl/>
        </w:rPr>
        <w:t>, ובהתאם היה על המערער להגיש ערעור בהתאם להוראות סעיף 43 לחוק שירות המדינה (</w:t>
      </w:r>
      <w:proofErr w:type="spellStart"/>
      <w:r w:rsidR="003E31CD">
        <w:rPr>
          <w:rFonts w:cs="David" w:hint="cs"/>
          <w:rtl/>
        </w:rPr>
        <w:t>גימלאות</w:t>
      </w:r>
      <w:proofErr w:type="spellEnd"/>
      <w:r w:rsidR="003E31CD">
        <w:rPr>
          <w:rFonts w:cs="David" w:hint="cs"/>
          <w:rtl/>
        </w:rPr>
        <w:t xml:space="preserve">). </w:t>
      </w:r>
    </w:p>
    <w:p w:rsidR="003E31CD" w:rsidRDefault="003E31CD" w:rsidP="003E31CD">
      <w:pPr>
        <w:tabs>
          <w:tab w:val="left" w:pos="566"/>
        </w:tabs>
        <w:spacing w:after="200" w:line="360" w:lineRule="auto"/>
        <w:ind w:left="566"/>
        <w:jc w:val="both"/>
        <w:rPr>
          <w:rFonts w:cs="David"/>
          <w:rtl/>
        </w:rPr>
      </w:pPr>
      <w:r>
        <w:rPr>
          <w:rFonts w:cs="David" w:hint="cs"/>
          <w:rtl/>
        </w:rPr>
        <w:t>בית הדין הנכבד העלה, במהלך הדיון האחרון בערעור שבכותרת, את האפשרות שמדובר בהחלטה שניתנה על ידי נציבות שירות המדינה. בהתאם לאפשרות זאת, יכול המערער להגיש את תביעתו, נגד נוסחת החישוב, במסגרת תקופת ההתיישנות הכללית (7 שנים).</w:t>
      </w:r>
    </w:p>
    <w:p w:rsidR="004D710B" w:rsidRDefault="003E31CD" w:rsidP="004D710B">
      <w:pPr>
        <w:numPr>
          <w:ilvl w:val="0"/>
          <w:numId w:val="1"/>
        </w:numPr>
        <w:tabs>
          <w:tab w:val="left" w:pos="566"/>
        </w:tabs>
        <w:spacing w:after="200" w:line="360" w:lineRule="auto"/>
        <w:ind w:left="566" w:hanging="540"/>
        <w:jc w:val="both"/>
        <w:rPr>
          <w:rFonts w:cs="David"/>
        </w:rPr>
      </w:pPr>
      <w:r w:rsidRPr="004D710B">
        <w:rPr>
          <w:rFonts w:cs="David" w:hint="cs"/>
          <w:rtl/>
        </w:rPr>
        <w:t xml:space="preserve">כפי שנפרט להלן, </w:t>
      </w:r>
      <w:r w:rsidR="004D710B" w:rsidRPr="004D710B">
        <w:rPr>
          <w:rFonts w:cs="David" w:hint="cs"/>
          <w:rtl/>
        </w:rPr>
        <w:t xml:space="preserve">התנהלות המשיבות מלמדת באופן חד-משמעי כי הסמכות בעניין חישוב </w:t>
      </w:r>
      <w:proofErr w:type="spellStart"/>
      <w:r w:rsidR="004D710B" w:rsidRPr="004D710B">
        <w:rPr>
          <w:rFonts w:cs="David" w:hint="cs"/>
          <w:rtl/>
        </w:rPr>
        <w:t>גימלתו</w:t>
      </w:r>
      <w:proofErr w:type="spellEnd"/>
      <w:r w:rsidR="004D710B" w:rsidRPr="004D710B">
        <w:rPr>
          <w:rFonts w:cs="David" w:hint="cs"/>
          <w:rtl/>
        </w:rPr>
        <w:t xml:space="preserve"> של המערער </w:t>
      </w:r>
      <w:proofErr w:type="spellStart"/>
      <w:r w:rsidR="004D710B" w:rsidRPr="004D710B">
        <w:rPr>
          <w:rFonts w:cs="David" w:hint="cs"/>
          <w:rtl/>
        </w:rPr>
        <w:t>היתה</w:t>
      </w:r>
      <w:proofErr w:type="spellEnd"/>
      <w:r w:rsidR="004D710B" w:rsidRPr="004D710B">
        <w:rPr>
          <w:rFonts w:cs="David" w:hint="cs"/>
          <w:rtl/>
        </w:rPr>
        <w:t xml:space="preserve"> נתונה לנציבות שירות המדינה, בין היתר בהתחשב בעובדות שלהלן: </w:t>
      </w:r>
    </w:p>
    <w:p w:rsidR="004D710B" w:rsidRPr="004D710B" w:rsidRDefault="004D710B" w:rsidP="004D710B">
      <w:pPr>
        <w:tabs>
          <w:tab w:val="left" w:pos="566"/>
        </w:tabs>
        <w:spacing w:after="200" w:line="360" w:lineRule="auto"/>
        <w:ind w:left="566"/>
        <w:jc w:val="both"/>
        <w:rPr>
          <w:rFonts w:cs="David"/>
          <w:b/>
          <w:bCs/>
          <w:rtl/>
        </w:rPr>
      </w:pPr>
      <w:r w:rsidRPr="004D710B">
        <w:rPr>
          <w:rFonts w:cs="David" w:hint="cs"/>
          <w:b/>
          <w:bCs/>
          <w:rtl/>
        </w:rPr>
        <w:t xml:space="preserve">(1) הנציבות ביצעה את החישוב בפועל; </w:t>
      </w:r>
    </w:p>
    <w:p w:rsidR="004D710B" w:rsidRPr="004D710B" w:rsidRDefault="004D710B" w:rsidP="004D710B">
      <w:pPr>
        <w:tabs>
          <w:tab w:val="left" w:pos="566"/>
        </w:tabs>
        <w:spacing w:after="200" w:line="360" w:lineRule="auto"/>
        <w:ind w:left="566"/>
        <w:jc w:val="both"/>
        <w:rPr>
          <w:rFonts w:cs="David"/>
          <w:b/>
          <w:bCs/>
          <w:rtl/>
        </w:rPr>
      </w:pPr>
      <w:r w:rsidRPr="004D710B">
        <w:rPr>
          <w:rFonts w:cs="David" w:hint="cs"/>
          <w:b/>
          <w:bCs/>
          <w:rtl/>
        </w:rPr>
        <w:t xml:space="preserve">(2) הנציבות הורתה </w:t>
      </w:r>
      <w:proofErr w:type="spellStart"/>
      <w:r w:rsidRPr="004D710B">
        <w:rPr>
          <w:rFonts w:cs="David" w:hint="cs"/>
          <w:b/>
          <w:bCs/>
          <w:rtl/>
        </w:rPr>
        <w:t>למינהל</w:t>
      </w:r>
      <w:proofErr w:type="spellEnd"/>
      <w:r w:rsidRPr="004D710B">
        <w:rPr>
          <w:rFonts w:cs="David" w:hint="cs"/>
          <w:b/>
          <w:bCs/>
          <w:rtl/>
        </w:rPr>
        <w:t xml:space="preserve"> </w:t>
      </w:r>
      <w:proofErr w:type="spellStart"/>
      <w:r w:rsidRPr="004D710B">
        <w:rPr>
          <w:rFonts w:cs="David" w:hint="cs"/>
          <w:b/>
          <w:bCs/>
          <w:rtl/>
        </w:rPr>
        <w:t>הגימלאות</w:t>
      </w:r>
      <w:proofErr w:type="spellEnd"/>
      <w:r w:rsidRPr="004D710B">
        <w:rPr>
          <w:rFonts w:cs="David" w:hint="cs"/>
          <w:b/>
          <w:bCs/>
          <w:rtl/>
        </w:rPr>
        <w:t xml:space="preserve"> כיצד לחשב את </w:t>
      </w:r>
      <w:proofErr w:type="spellStart"/>
      <w:r w:rsidRPr="004D710B">
        <w:rPr>
          <w:rFonts w:cs="David" w:hint="cs"/>
          <w:b/>
          <w:bCs/>
          <w:rtl/>
        </w:rPr>
        <w:t>הגימלה</w:t>
      </w:r>
      <w:proofErr w:type="spellEnd"/>
      <w:r w:rsidRPr="004D710B">
        <w:rPr>
          <w:rFonts w:cs="David" w:hint="cs"/>
          <w:b/>
          <w:bCs/>
          <w:rtl/>
        </w:rPr>
        <w:t xml:space="preserve">; </w:t>
      </w:r>
    </w:p>
    <w:p w:rsidR="004D710B" w:rsidRPr="004D710B" w:rsidRDefault="004D710B" w:rsidP="004D710B">
      <w:pPr>
        <w:tabs>
          <w:tab w:val="left" w:pos="566"/>
        </w:tabs>
        <w:spacing w:after="200" w:line="360" w:lineRule="auto"/>
        <w:ind w:left="566"/>
        <w:jc w:val="both"/>
        <w:rPr>
          <w:rFonts w:cs="David"/>
          <w:b/>
          <w:bCs/>
          <w:rtl/>
        </w:rPr>
      </w:pPr>
      <w:r w:rsidRPr="004D710B">
        <w:rPr>
          <w:rFonts w:cs="David" w:hint="cs"/>
          <w:b/>
          <w:bCs/>
          <w:rtl/>
        </w:rPr>
        <w:lastRenderedPageBreak/>
        <w:t xml:space="preserve">(3) </w:t>
      </w:r>
      <w:proofErr w:type="spellStart"/>
      <w:r w:rsidRPr="004D710B">
        <w:rPr>
          <w:rFonts w:cs="David" w:hint="cs"/>
          <w:b/>
          <w:bCs/>
          <w:rtl/>
        </w:rPr>
        <w:t>מינהל</w:t>
      </w:r>
      <w:proofErr w:type="spellEnd"/>
      <w:r w:rsidRPr="004D710B">
        <w:rPr>
          <w:rFonts w:cs="David" w:hint="cs"/>
          <w:b/>
          <w:bCs/>
          <w:rtl/>
        </w:rPr>
        <w:t xml:space="preserve"> </w:t>
      </w:r>
      <w:proofErr w:type="spellStart"/>
      <w:r w:rsidRPr="004D710B">
        <w:rPr>
          <w:rFonts w:cs="David" w:hint="cs"/>
          <w:b/>
          <w:bCs/>
          <w:rtl/>
        </w:rPr>
        <w:t>הגימלאות</w:t>
      </w:r>
      <w:proofErr w:type="spellEnd"/>
      <w:r w:rsidRPr="004D710B">
        <w:rPr>
          <w:rFonts w:cs="David" w:hint="cs"/>
          <w:b/>
          <w:bCs/>
          <w:rtl/>
        </w:rPr>
        <w:t xml:space="preserve"> הפנה את המערער לנציבות שירות המדינה כאשר המערער פנה </w:t>
      </w:r>
      <w:proofErr w:type="spellStart"/>
      <w:r w:rsidRPr="004D710B">
        <w:rPr>
          <w:rFonts w:cs="David" w:hint="cs"/>
          <w:b/>
          <w:bCs/>
          <w:rtl/>
        </w:rPr>
        <w:t>למינהל</w:t>
      </w:r>
      <w:proofErr w:type="spellEnd"/>
      <w:r w:rsidRPr="004D710B">
        <w:rPr>
          <w:rFonts w:cs="David" w:hint="cs"/>
          <w:b/>
          <w:bCs/>
          <w:rtl/>
        </w:rPr>
        <w:t xml:space="preserve"> בטענות על דרך חישוב </w:t>
      </w:r>
      <w:proofErr w:type="spellStart"/>
      <w:r w:rsidRPr="004D710B">
        <w:rPr>
          <w:rFonts w:cs="David" w:hint="cs"/>
          <w:b/>
          <w:bCs/>
          <w:rtl/>
        </w:rPr>
        <w:t>הגימלה</w:t>
      </w:r>
      <w:proofErr w:type="spellEnd"/>
      <w:r w:rsidRPr="004D710B">
        <w:rPr>
          <w:rFonts w:cs="David" w:hint="cs"/>
          <w:b/>
          <w:bCs/>
          <w:rtl/>
        </w:rPr>
        <w:t xml:space="preserve">; </w:t>
      </w:r>
    </w:p>
    <w:p w:rsidR="003E31CD" w:rsidRPr="004D710B" w:rsidRDefault="004D710B" w:rsidP="004D710B">
      <w:pPr>
        <w:tabs>
          <w:tab w:val="left" w:pos="566"/>
        </w:tabs>
        <w:spacing w:after="200" w:line="360" w:lineRule="auto"/>
        <w:ind w:left="566"/>
        <w:jc w:val="both"/>
        <w:rPr>
          <w:rFonts w:cs="David"/>
          <w:b/>
          <w:bCs/>
        </w:rPr>
      </w:pPr>
      <w:r w:rsidRPr="004D710B">
        <w:rPr>
          <w:rFonts w:cs="David" w:hint="cs"/>
          <w:b/>
          <w:bCs/>
          <w:rtl/>
        </w:rPr>
        <w:t xml:space="preserve">(4) הנציבות היא שענתה למערער בפועל על טענותיו ביחס לחישוב </w:t>
      </w:r>
      <w:proofErr w:type="spellStart"/>
      <w:r w:rsidRPr="004D710B">
        <w:rPr>
          <w:rFonts w:cs="David" w:hint="cs"/>
          <w:b/>
          <w:bCs/>
          <w:rtl/>
        </w:rPr>
        <w:t>הגימלה</w:t>
      </w:r>
      <w:proofErr w:type="spellEnd"/>
      <w:r w:rsidRPr="004D710B">
        <w:rPr>
          <w:rFonts w:cs="David" w:hint="cs"/>
          <w:b/>
          <w:bCs/>
          <w:rtl/>
        </w:rPr>
        <w:t>.</w:t>
      </w:r>
    </w:p>
    <w:p w:rsidR="004D710B" w:rsidRDefault="004D710B" w:rsidP="00DB422F">
      <w:pPr>
        <w:numPr>
          <w:ilvl w:val="0"/>
          <w:numId w:val="1"/>
        </w:numPr>
        <w:tabs>
          <w:tab w:val="left" w:pos="566"/>
        </w:tabs>
        <w:spacing w:after="200" w:line="360" w:lineRule="auto"/>
        <w:ind w:left="566" w:hanging="540"/>
        <w:jc w:val="both"/>
        <w:rPr>
          <w:rFonts w:cs="David"/>
        </w:rPr>
      </w:pPr>
      <w:r>
        <w:rPr>
          <w:rFonts w:cs="David" w:hint="cs"/>
          <w:rtl/>
        </w:rPr>
        <w:t xml:space="preserve">בנסיבות אלה, וכפי שנוסיף ונפרט להלן, הניסיון של המשיבות להציג תמונה שונה בפני בית הדין הנכבד אינו ראוי ונגוע בחוסר תום לב, ומעבר לכך </w:t>
      </w:r>
      <w:r>
        <w:rPr>
          <w:rFonts w:cs="David"/>
          <w:rtl/>
        </w:rPr>
        <w:t>–</w:t>
      </w:r>
      <w:r>
        <w:rPr>
          <w:rFonts w:cs="David" w:hint="cs"/>
          <w:rtl/>
        </w:rPr>
        <w:t xml:space="preserve"> אין המשיבות יכולות לטעון כי מדובר בהליך המתאים לדחייה על הסף, אלא לכל היותר מדובר בשאלות הדורשות ליבון ובירור במסגרת של דיון בתביעה העיקרית בבית הדין קמא.</w:t>
      </w:r>
    </w:p>
    <w:p w:rsidR="004D710B" w:rsidRDefault="004D710B" w:rsidP="00C15510">
      <w:pPr>
        <w:numPr>
          <w:ilvl w:val="0"/>
          <w:numId w:val="1"/>
        </w:numPr>
        <w:tabs>
          <w:tab w:val="left" w:pos="566"/>
        </w:tabs>
        <w:spacing w:after="200" w:line="360" w:lineRule="auto"/>
        <w:ind w:left="566" w:hanging="540"/>
        <w:jc w:val="both"/>
        <w:rPr>
          <w:rFonts w:cs="David"/>
        </w:rPr>
      </w:pPr>
      <w:r>
        <w:rPr>
          <w:rFonts w:cs="David" w:hint="cs"/>
          <w:rtl/>
        </w:rPr>
        <w:t xml:space="preserve">לטעמנו, </w:t>
      </w:r>
      <w:r w:rsidR="00C15510">
        <w:rPr>
          <w:rFonts w:cs="David" w:hint="cs"/>
          <w:rtl/>
        </w:rPr>
        <w:t xml:space="preserve">שני המסמכים המרכזיים העומדים על הפרק, על מנת לבחון את השאלה מי החליט על נוסחת החישוב, הן אישור </w:t>
      </w:r>
      <w:proofErr w:type="spellStart"/>
      <w:r w:rsidR="00C15510" w:rsidRPr="00C15510">
        <w:rPr>
          <w:rFonts w:cs="David" w:hint="cs"/>
          <w:rtl/>
        </w:rPr>
        <w:t>אישור</w:t>
      </w:r>
      <w:proofErr w:type="spellEnd"/>
      <w:r w:rsidR="00C15510" w:rsidRPr="00C15510">
        <w:rPr>
          <w:rFonts w:cs="David" w:hint="cs"/>
          <w:rtl/>
        </w:rPr>
        <w:t xml:space="preserve"> </w:t>
      </w:r>
      <w:proofErr w:type="spellStart"/>
      <w:r w:rsidR="00C15510" w:rsidRPr="00C15510">
        <w:rPr>
          <w:rFonts w:cs="David" w:hint="cs"/>
          <w:rtl/>
        </w:rPr>
        <w:t>נש"מ</w:t>
      </w:r>
      <w:proofErr w:type="spellEnd"/>
      <w:r w:rsidR="00C15510" w:rsidRPr="00C15510">
        <w:rPr>
          <w:rFonts w:cs="David" w:hint="cs"/>
          <w:rtl/>
        </w:rPr>
        <w:t xml:space="preserve"> מיום 21.8.2012 </w:t>
      </w:r>
      <w:r w:rsidR="00C15510">
        <w:rPr>
          <w:rFonts w:cs="David" w:hint="cs"/>
          <w:rtl/>
        </w:rPr>
        <w:t xml:space="preserve">(שנשלח בפועל </w:t>
      </w:r>
      <w:proofErr w:type="spellStart"/>
      <w:r w:rsidR="00C15510">
        <w:rPr>
          <w:rFonts w:cs="David" w:hint="cs"/>
          <w:rtl/>
        </w:rPr>
        <w:t>למינהל</w:t>
      </w:r>
      <w:proofErr w:type="spellEnd"/>
      <w:r w:rsidR="00C15510">
        <w:rPr>
          <w:rFonts w:cs="David" w:hint="cs"/>
          <w:rtl/>
        </w:rPr>
        <w:t xml:space="preserve"> </w:t>
      </w:r>
      <w:proofErr w:type="spellStart"/>
      <w:r w:rsidR="00C15510">
        <w:rPr>
          <w:rFonts w:cs="David" w:hint="cs"/>
          <w:rtl/>
        </w:rPr>
        <w:t>הגימלאות</w:t>
      </w:r>
      <w:proofErr w:type="spellEnd"/>
      <w:r w:rsidR="00C15510">
        <w:rPr>
          <w:rFonts w:cs="David" w:hint="cs"/>
          <w:rtl/>
        </w:rPr>
        <w:t xml:space="preserve"> ביום 03.12.2012) </w:t>
      </w:r>
      <w:r w:rsidR="00C15510" w:rsidRPr="00C15510">
        <w:rPr>
          <w:rFonts w:cs="David" w:hint="cs"/>
          <w:rtl/>
        </w:rPr>
        <w:t>ומכתבו של המערער</w:t>
      </w:r>
      <w:r w:rsidR="00C15510">
        <w:rPr>
          <w:rFonts w:cs="David" w:hint="cs"/>
          <w:rtl/>
        </w:rPr>
        <w:t xml:space="preserve"> לנציבות שירות המדינה</w:t>
      </w:r>
      <w:r w:rsidR="00C15510" w:rsidRPr="00C15510">
        <w:rPr>
          <w:rFonts w:cs="David" w:hint="cs"/>
          <w:rtl/>
        </w:rPr>
        <w:t xml:space="preserve"> מיום 8.1.2013</w:t>
      </w:r>
      <w:r w:rsidR="00C15510">
        <w:rPr>
          <w:rFonts w:cs="David" w:hint="cs"/>
          <w:rtl/>
        </w:rPr>
        <w:t xml:space="preserve">. </w:t>
      </w:r>
    </w:p>
    <w:p w:rsidR="00C15510" w:rsidRPr="00C15510" w:rsidRDefault="00C15510" w:rsidP="00C15510">
      <w:pPr>
        <w:numPr>
          <w:ilvl w:val="0"/>
          <w:numId w:val="1"/>
        </w:numPr>
        <w:tabs>
          <w:tab w:val="left" w:pos="566"/>
        </w:tabs>
        <w:spacing w:after="200" w:line="360" w:lineRule="auto"/>
        <w:ind w:left="566" w:hanging="540"/>
        <w:jc w:val="both"/>
        <w:rPr>
          <w:rFonts w:cs="David"/>
        </w:rPr>
      </w:pPr>
      <w:r>
        <w:rPr>
          <w:rFonts w:cs="David" w:hint="cs"/>
          <w:rtl/>
        </w:rPr>
        <w:t>המשיבות, במסגרת השלמת הטיעון שהגישו, מתייחסות לשני מסמכים אלה, ועל כן נבקש להבהיר את האמור בהם ולחדד את הטענות בהקשר שלעיל:</w:t>
      </w:r>
    </w:p>
    <w:p w:rsidR="001B35CE" w:rsidRDefault="00743BBB" w:rsidP="003B467F">
      <w:pPr>
        <w:numPr>
          <w:ilvl w:val="1"/>
          <w:numId w:val="1"/>
        </w:numPr>
        <w:tabs>
          <w:tab w:val="clear" w:pos="792"/>
          <w:tab w:val="left" w:pos="1214"/>
        </w:tabs>
        <w:spacing w:after="200" w:line="360" w:lineRule="auto"/>
        <w:ind w:left="1214" w:hanging="612"/>
        <w:jc w:val="both"/>
        <w:rPr>
          <w:rFonts w:cs="David"/>
        </w:rPr>
      </w:pPr>
      <w:r>
        <w:rPr>
          <w:rFonts w:cs="David" w:hint="cs"/>
          <w:rtl/>
        </w:rPr>
        <w:t xml:space="preserve">בסעיף 2 להשלמת הטיעון </w:t>
      </w:r>
      <w:r w:rsidR="003B467F">
        <w:rPr>
          <w:rFonts w:cs="David" w:hint="cs"/>
          <w:rtl/>
        </w:rPr>
        <w:t>כתבו המשיבות</w:t>
      </w:r>
      <w:r>
        <w:rPr>
          <w:rFonts w:cs="David" w:hint="cs"/>
          <w:rtl/>
        </w:rPr>
        <w:t xml:space="preserve">, בשוגג, כי אישור </w:t>
      </w:r>
      <w:proofErr w:type="spellStart"/>
      <w:r>
        <w:rPr>
          <w:rFonts w:cs="David" w:hint="cs"/>
          <w:rtl/>
        </w:rPr>
        <w:t>נש"מ</w:t>
      </w:r>
      <w:proofErr w:type="spellEnd"/>
      <w:r>
        <w:rPr>
          <w:rFonts w:cs="David" w:hint="cs"/>
          <w:rtl/>
        </w:rPr>
        <w:t xml:space="preserve"> הובא לידיעתו של המערער "</w:t>
      </w:r>
      <w:r>
        <w:rPr>
          <w:rFonts w:cs="David" w:hint="cs"/>
          <w:i/>
          <w:iCs/>
          <w:rtl/>
        </w:rPr>
        <w:t>ביום 3.12.2012 באמצעות הפקס..."</w:t>
      </w:r>
      <w:r>
        <w:rPr>
          <w:rFonts w:cs="David" w:hint="cs"/>
          <w:rtl/>
        </w:rPr>
        <w:t xml:space="preserve">. </w:t>
      </w:r>
      <w:r w:rsidR="003B467F">
        <w:rPr>
          <w:rFonts w:cs="David" w:hint="cs"/>
          <w:rtl/>
        </w:rPr>
        <w:t xml:space="preserve">בהמשך מפנות המשיבות למכתבו של המערער מיום 8.1.2013. </w:t>
      </w:r>
    </w:p>
    <w:p w:rsidR="003B467F" w:rsidRDefault="003B467F" w:rsidP="003B467F">
      <w:pPr>
        <w:numPr>
          <w:ilvl w:val="1"/>
          <w:numId w:val="1"/>
        </w:numPr>
        <w:tabs>
          <w:tab w:val="clear" w:pos="792"/>
          <w:tab w:val="left" w:pos="1214"/>
        </w:tabs>
        <w:spacing w:after="200" w:line="360" w:lineRule="auto"/>
        <w:ind w:left="1214" w:hanging="612"/>
        <w:jc w:val="both"/>
        <w:rPr>
          <w:rFonts w:cs="David"/>
        </w:rPr>
      </w:pPr>
      <w:r w:rsidRPr="00E241BF">
        <w:rPr>
          <w:rFonts w:cs="David" w:hint="cs"/>
          <w:u w:val="single"/>
          <w:rtl/>
        </w:rPr>
        <w:t>ראשית</w:t>
      </w:r>
      <w:r>
        <w:rPr>
          <w:rFonts w:cs="David" w:hint="cs"/>
          <w:rtl/>
        </w:rPr>
        <w:t xml:space="preserve">, וכאמור לעיל, המשיבות אינן מדייקות שכן המערער לא טען שהוא זה שקיבל את אישור </w:t>
      </w:r>
      <w:proofErr w:type="spellStart"/>
      <w:r>
        <w:rPr>
          <w:rFonts w:cs="David" w:hint="cs"/>
          <w:rtl/>
        </w:rPr>
        <w:t>נש"מ</w:t>
      </w:r>
      <w:proofErr w:type="spellEnd"/>
      <w:r>
        <w:rPr>
          <w:rFonts w:cs="David" w:hint="cs"/>
          <w:rtl/>
        </w:rPr>
        <w:t xml:space="preserve"> באמצעות פקסימיליה, אלא שהאישור נשלח באמצעות הפקסימיליה </w:t>
      </w:r>
      <w:proofErr w:type="spellStart"/>
      <w:r>
        <w:rPr>
          <w:rFonts w:cs="David" w:hint="cs"/>
          <w:rtl/>
        </w:rPr>
        <w:t>למינהל</w:t>
      </w:r>
      <w:proofErr w:type="spellEnd"/>
      <w:r>
        <w:rPr>
          <w:rFonts w:cs="David" w:hint="cs"/>
          <w:rtl/>
        </w:rPr>
        <w:t xml:space="preserve"> </w:t>
      </w:r>
      <w:proofErr w:type="spellStart"/>
      <w:r>
        <w:rPr>
          <w:rFonts w:cs="David" w:hint="cs"/>
          <w:rtl/>
        </w:rPr>
        <w:t>הגימלאות</w:t>
      </w:r>
      <w:proofErr w:type="spellEnd"/>
      <w:r>
        <w:rPr>
          <w:rFonts w:cs="David" w:hint="cs"/>
          <w:rtl/>
        </w:rPr>
        <w:t xml:space="preserve"> רק ביום 3.12.2012 וכי הוא קיבל אותו </w:t>
      </w:r>
      <w:r>
        <w:rPr>
          <w:rFonts w:cs="David"/>
          <w:rtl/>
        </w:rPr>
        <w:t>–</w:t>
      </w:r>
      <w:r>
        <w:rPr>
          <w:rFonts w:cs="David" w:hint="cs"/>
          <w:rtl/>
        </w:rPr>
        <w:t xml:space="preserve"> "</w:t>
      </w:r>
      <w:r w:rsidRPr="003B467F">
        <w:rPr>
          <w:rFonts w:cs="David" w:hint="cs"/>
          <w:i/>
          <w:iCs/>
          <w:rtl/>
        </w:rPr>
        <w:t xml:space="preserve">בימים אלו לבקשתי ממנהל </w:t>
      </w:r>
      <w:proofErr w:type="spellStart"/>
      <w:r w:rsidRPr="003B467F">
        <w:rPr>
          <w:rFonts w:cs="David" w:hint="cs"/>
          <w:i/>
          <w:iCs/>
          <w:rtl/>
        </w:rPr>
        <w:t>הגימלאות</w:t>
      </w:r>
      <w:proofErr w:type="spellEnd"/>
      <w:r>
        <w:rPr>
          <w:rFonts w:cs="David" w:hint="cs"/>
          <w:rtl/>
        </w:rPr>
        <w:t xml:space="preserve">". </w:t>
      </w:r>
    </w:p>
    <w:p w:rsidR="003B467F" w:rsidRPr="003B467F" w:rsidRDefault="003B467F" w:rsidP="003B467F">
      <w:pPr>
        <w:tabs>
          <w:tab w:val="left" w:pos="1214"/>
        </w:tabs>
        <w:spacing w:after="200" w:line="360" w:lineRule="auto"/>
        <w:ind w:left="602"/>
        <w:jc w:val="both"/>
        <w:rPr>
          <w:rFonts w:cs="David"/>
          <w:i/>
          <w:iCs/>
        </w:rPr>
      </w:pPr>
      <w:r w:rsidRPr="003B467F">
        <w:rPr>
          <w:rFonts w:cs="David" w:hint="cs"/>
          <w:i/>
          <w:iCs/>
          <w:rtl/>
        </w:rPr>
        <w:t>**</w:t>
      </w:r>
      <w:r w:rsidRPr="003B467F">
        <w:rPr>
          <w:rFonts w:cs="David"/>
          <w:i/>
          <w:iCs/>
          <w:rtl/>
        </w:rPr>
        <w:tab/>
      </w:r>
      <w:r w:rsidRPr="003B467F">
        <w:rPr>
          <w:rFonts w:cs="David" w:hint="cs"/>
          <w:i/>
          <w:iCs/>
          <w:rtl/>
        </w:rPr>
        <w:t>למען הנוחות, המכתב מצורף כנספח 1 לתשובה זאת.</w:t>
      </w:r>
    </w:p>
    <w:p w:rsidR="003B467F" w:rsidRDefault="00E241BF" w:rsidP="003B467F">
      <w:pPr>
        <w:numPr>
          <w:ilvl w:val="1"/>
          <w:numId w:val="1"/>
        </w:numPr>
        <w:tabs>
          <w:tab w:val="clear" w:pos="792"/>
          <w:tab w:val="left" w:pos="1214"/>
        </w:tabs>
        <w:spacing w:after="200" w:line="360" w:lineRule="auto"/>
        <w:ind w:left="1214" w:hanging="612"/>
        <w:jc w:val="both"/>
        <w:rPr>
          <w:rFonts w:cs="David"/>
        </w:rPr>
      </w:pPr>
      <w:r w:rsidRPr="00E241BF">
        <w:rPr>
          <w:b/>
          <w:bCs/>
          <w:noProof/>
          <w:u w:val="single"/>
          <w:rtl/>
          <w:lang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516890</wp:posOffset>
            </wp:positionV>
            <wp:extent cx="5286375" cy="516800"/>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6375" cy="516800"/>
                    </a:xfrm>
                    <a:prstGeom prst="rect">
                      <a:avLst/>
                    </a:prstGeom>
                    <a:noFill/>
                    <a:ln>
                      <a:noFill/>
                    </a:ln>
                  </pic:spPr>
                </pic:pic>
              </a:graphicData>
            </a:graphic>
          </wp:anchor>
        </w:drawing>
      </w:r>
      <w:r w:rsidR="003B467F" w:rsidRPr="00E241BF">
        <w:rPr>
          <w:rFonts w:cs="David" w:hint="cs"/>
          <w:u w:val="single"/>
          <w:rtl/>
        </w:rPr>
        <w:t>שנית</w:t>
      </w:r>
      <w:r w:rsidR="003B467F">
        <w:rPr>
          <w:rFonts w:cs="David" w:hint="cs"/>
          <w:rtl/>
        </w:rPr>
        <w:t xml:space="preserve">, מכתבו של המערער מגלה בדיוק מיהו הגורם אליו הופנה המערער לצורך קבלת תשובה על נוסחת החישוב של </w:t>
      </w:r>
      <w:proofErr w:type="spellStart"/>
      <w:r w:rsidR="003B467F">
        <w:rPr>
          <w:rFonts w:cs="David" w:hint="cs"/>
          <w:rtl/>
        </w:rPr>
        <w:t>הגימלה</w:t>
      </w:r>
      <w:proofErr w:type="spellEnd"/>
      <w:r w:rsidR="003B467F">
        <w:rPr>
          <w:rFonts w:cs="David" w:hint="cs"/>
          <w:rtl/>
        </w:rPr>
        <w:t>. בשל חשיבות הדברים נביא אותם ככתבם וכלשונם:</w:t>
      </w:r>
    </w:p>
    <w:p w:rsidR="001B35CE" w:rsidRDefault="001B35CE" w:rsidP="00111E77">
      <w:pPr>
        <w:pStyle w:val="22"/>
        <w:tabs>
          <w:tab w:val="center" w:pos="-2268"/>
          <w:tab w:val="left" w:pos="631"/>
        </w:tabs>
        <w:spacing w:before="120"/>
        <w:ind w:left="0" w:right="0" w:firstLine="0"/>
        <w:rPr>
          <w:b/>
          <w:bCs/>
          <w:noProof w:val="0"/>
          <w:rtl/>
        </w:rPr>
      </w:pPr>
    </w:p>
    <w:p w:rsidR="00DD74C8" w:rsidRDefault="00DD74C8" w:rsidP="00E241BF">
      <w:pPr>
        <w:tabs>
          <w:tab w:val="left" w:pos="1214"/>
        </w:tabs>
        <w:spacing w:after="200" w:line="360" w:lineRule="auto"/>
        <w:ind w:left="1214"/>
        <w:jc w:val="both"/>
        <w:rPr>
          <w:rFonts w:cs="David"/>
          <w:rtl/>
        </w:rPr>
      </w:pPr>
    </w:p>
    <w:p w:rsidR="00E241BF" w:rsidRPr="00E241BF" w:rsidRDefault="00E241BF" w:rsidP="00E241BF">
      <w:pPr>
        <w:tabs>
          <w:tab w:val="left" w:pos="1214"/>
        </w:tabs>
        <w:spacing w:after="200" w:line="360" w:lineRule="auto"/>
        <w:ind w:left="1214"/>
        <w:jc w:val="both"/>
        <w:rPr>
          <w:rFonts w:cs="David"/>
          <w:b/>
          <w:bCs/>
        </w:rPr>
      </w:pPr>
      <w:r>
        <w:rPr>
          <w:rFonts w:cs="David" w:hint="cs"/>
          <w:rtl/>
        </w:rPr>
        <w:t xml:space="preserve">כלומר, </w:t>
      </w:r>
      <w:r>
        <w:rPr>
          <w:rFonts w:cs="David" w:hint="cs"/>
          <w:b/>
          <w:bCs/>
          <w:rtl/>
        </w:rPr>
        <w:t xml:space="preserve">המערער פנה </w:t>
      </w:r>
      <w:proofErr w:type="spellStart"/>
      <w:r>
        <w:rPr>
          <w:rFonts w:cs="David" w:hint="cs"/>
          <w:b/>
          <w:bCs/>
          <w:rtl/>
        </w:rPr>
        <w:t>למינהל</w:t>
      </w:r>
      <w:proofErr w:type="spellEnd"/>
      <w:r>
        <w:rPr>
          <w:rFonts w:cs="David" w:hint="cs"/>
          <w:b/>
          <w:bCs/>
          <w:rtl/>
        </w:rPr>
        <w:t xml:space="preserve"> </w:t>
      </w:r>
      <w:proofErr w:type="spellStart"/>
      <w:r>
        <w:rPr>
          <w:rFonts w:cs="David" w:hint="cs"/>
          <w:b/>
          <w:bCs/>
          <w:rtl/>
        </w:rPr>
        <w:t>הגימלאות</w:t>
      </w:r>
      <w:proofErr w:type="spellEnd"/>
      <w:r>
        <w:rPr>
          <w:rFonts w:cs="David" w:hint="cs"/>
          <w:b/>
          <w:bCs/>
          <w:rtl/>
        </w:rPr>
        <w:t xml:space="preserve"> על מנת לברר כיצד בוצע חישוב </w:t>
      </w:r>
      <w:proofErr w:type="spellStart"/>
      <w:r>
        <w:rPr>
          <w:rFonts w:cs="David" w:hint="cs"/>
          <w:b/>
          <w:bCs/>
          <w:rtl/>
        </w:rPr>
        <w:t>גימלתו</w:t>
      </w:r>
      <w:proofErr w:type="spellEnd"/>
      <w:r>
        <w:rPr>
          <w:rFonts w:cs="David" w:hint="cs"/>
          <w:b/>
          <w:bCs/>
          <w:rtl/>
        </w:rPr>
        <w:t xml:space="preserve">, </w:t>
      </w:r>
      <w:proofErr w:type="spellStart"/>
      <w:r w:rsidRPr="00C15510">
        <w:rPr>
          <w:rFonts w:cs="David" w:hint="cs"/>
          <w:b/>
          <w:bCs/>
          <w:u w:val="single"/>
          <w:rtl/>
        </w:rPr>
        <w:t>ומינהל</w:t>
      </w:r>
      <w:proofErr w:type="spellEnd"/>
      <w:r w:rsidRPr="00C15510">
        <w:rPr>
          <w:rFonts w:cs="David" w:hint="cs"/>
          <w:b/>
          <w:bCs/>
          <w:u w:val="single"/>
          <w:rtl/>
        </w:rPr>
        <w:t xml:space="preserve"> </w:t>
      </w:r>
      <w:proofErr w:type="spellStart"/>
      <w:r w:rsidRPr="00C15510">
        <w:rPr>
          <w:rFonts w:cs="David" w:hint="cs"/>
          <w:b/>
          <w:bCs/>
          <w:u w:val="single"/>
          <w:rtl/>
        </w:rPr>
        <w:t>הגימלאות</w:t>
      </w:r>
      <w:proofErr w:type="spellEnd"/>
      <w:r w:rsidRPr="00C15510">
        <w:rPr>
          <w:rFonts w:cs="David" w:hint="cs"/>
          <w:b/>
          <w:bCs/>
          <w:u w:val="single"/>
          <w:rtl/>
        </w:rPr>
        <w:t xml:space="preserve"> הפנה אותו לנציבות שירות המדינה</w:t>
      </w:r>
      <w:r>
        <w:rPr>
          <w:rFonts w:cs="David" w:hint="cs"/>
          <w:b/>
          <w:bCs/>
          <w:rtl/>
        </w:rPr>
        <w:t>, אליה פנה המערער בהתאם להנחיות הנציבות.</w:t>
      </w:r>
    </w:p>
    <w:p w:rsidR="00E241BF" w:rsidRDefault="00E241BF" w:rsidP="00E241BF">
      <w:pPr>
        <w:tabs>
          <w:tab w:val="left" w:pos="1214"/>
        </w:tabs>
        <w:spacing w:after="200" w:line="360" w:lineRule="auto"/>
        <w:ind w:left="1214"/>
        <w:jc w:val="both"/>
        <w:rPr>
          <w:rFonts w:cs="David"/>
        </w:rPr>
      </w:pPr>
      <w:r>
        <w:rPr>
          <w:rFonts w:cs="David" w:hint="cs"/>
          <w:rtl/>
        </w:rPr>
        <w:t>זאת ועוד. מכתבו של המערער תומך בטענותיו כי נאמר לו במפורש למצות את ענייניו מול הנציבות ולא למהר ולהגיש ערעור.</w:t>
      </w:r>
      <w:r w:rsidR="00C15510">
        <w:rPr>
          <w:rFonts w:cs="David" w:hint="cs"/>
          <w:rtl/>
        </w:rPr>
        <w:t xml:space="preserve"> </w:t>
      </w:r>
      <w:r w:rsidR="00C15510" w:rsidRPr="00C15510">
        <w:rPr>
          <w:rFonts w:cs="David" w:hint="cs"/>
          <w:b/>
          <w:bCs/>
          <w:rtl/>
        </w:rPr>
        <w:t xml:space="preserve">אף בכך יש לחזק את טענותיו של המערער כי הוצג בפניו שהוא לא נדרש להגיש ערעור </w:t>
      </w:r>
      <w:proofErr w:type="spellStart"/>
      <w:r w:rsidR="00C15510" w:rsidRPr="00C15510">
        <w:rPr>
          <w:rFonts w:cs="David" w:hint="cs"/>
          <w:b/>
          <w:bCs/>
          <w:rtl/>
        </w:rPr>
        <w:t>גימלאות</w:t>
      </w:r>
      <w:proofErr w:type="spellEnd"/>
      <w:r w:rsidR="00C15510" w:rsidRPr="00C15510">
        <w:rPr>
          <w:rFonts w:cs="David" w:hint="cs"/>
          <w:b/>
          <w:bCs/>
          <w:rtl/>
        </w:rPr>
        <w:t>, אלא לנהל הליכים מול נציבות שירות המדינה</w:t>
      </w:r>
      <w:r w:rsidR="00C15510">
        <w:rPr>
          <w:rFonts w:cs="David" w:hint="cs"/>
          <w:rtl/>
        </w:rPr>
        <w:t>.</w:t>
      </w:r>
    </w:p>
    <w:p w:rsidR="00E241BF" w:rsidRPr="00C15510" w:rsidRDefault="00E241BF" w:rsidP="00E241BF">
      <w:pPr>
        <w:numPr>
          <w:ilvl w:val="1"/>
          <w:numId w:val="1"/>
        </w:numPr>
        <w:tabs>
          <w:tab w:val="clear" w:pos="792"/>
          <w:tab w:val="left" w:pos="1214"/>
        </w:tabs>
        <w:spacing w:after="200" w:line="360" w:lineRule="auto"/>
        <w:ind w:left="1214" w:hanging="612"/>
        <w:jc w:val="both"/>
        <w:rPr>
          <w:rFonts w:cs="David"/>
          <w:b/>
          <w:bCs/>
        </w:rPr>
      </w:pPr>
      <w:r>
        <w:rPr>
          <w:rFonts w:cs="David" w:hint="cs"/>
          <w:u w:val="single"/>
          <w:rtl/>
        </w:rPr>
        <w:t>שלישית</w:t>
      </w:r>
      <w:r>
        <w:rPr>
          <w:rFonts w:cs="David" w:hint="cs"/>
          <w:rtl/>
        </w:rPr>
        <w:t xml:space="preserve">, אישור </w:t>
      </w:r>
      <w:proofErr w:type="spellStart"/>
      <w:r>
        <w:rPr>
          <w:rFonts w:cs="David" w:hint="cs"/>
          <w:rtl/>
        </w:rPr>
        <w:t>הנש</w:t>
      </w:r>
      <w:r w:rsidR="00100CC1">
        <w:rPr>
          <w:rFonts w:cs="David" w:hint="cs"/>
          <w:rtl/>
        </w:rPr>
        <w:t>"מ</w:t>
      </w:r>
      <w:proofErr w:type="spellEnd"/>
      <w:r w:rsidR="00100CC1">
        <w:rPr>
          <w:rFonts w:cs="David" w:hint="cs"/>
          <w:rtl/>
        </w:rPr>
        <w:t xml:space="preserve"> מיום 21.8.2012 </w:t>
      </w:r>
      <w:r w:rsidR="00100CC1" w:rsidRPr="00C15510">
        <w:rPr>
          <w:rFonts w:cs="David" w:hint="cs"/>
          <w:b/>
          <w:bCs/>
          <w:u w:val="single"/>
          <w:rtl/>
        </w:rPr>
        <w:t>קובע</w:t>
      </w:r>
      <w:r w:rsidR="00100CC1" w:rsidRPr="00C15510">
        <w:rPr>
          <w:rFonts w:cs="David" w:hint="cs"/>
          <w:b/>
          <w:bCs/>
          <w:rtl/>
        </w:rPr>
        <w:t xml:space="preserve"> את נוסחת החישוב של </w:t>
      </w:r>
      <w:proofErr w:type="spellStart"/>
      <w:r w:rsidR="00100CC1" w:rsidRPr="00C15510">
        <w:rPr>
          <w:rFonts w:cs="David" w:hint="cs"/>
          <w:b/>
          <w:bCs/>
          <w:rtl/>
        </w:rPr>
        <w:t>הגימלה</w:t>
      </w:r>
      <w:proofErr w:type="spellEnd"/>
      <w:r w:rsidR="00100CC1" w:rsidRPr="00C15510">
        <w:rPr>
          <w:rFonts w:cs="David" w:hint="cs"/>
          <w:b/>
          <w:bCs/>
          <w:rtl/>
        </w:rPr>
        <w:t xml:space="preserve"> המגיעה למערער.</w:t>
      </w:r>
    </w:p>
    <w:p w:rsidR="00100CC1" w:rsidRDefault="00C15510" w:rsidP="00100CC1">
      <w:pPr>
        <w:tabs>
          <w:tab w:val="left" w:pos="1214"/>
        </w:tabs>
        <w:spacing w:after="200" w:line="360" w:lineRule="auto"/>
        <w:ind w:left="1214"/>
        <w:jc w:val="both"/>
        <w:rPr>
          <w:rFonts w:cs="David"/>
          <w:rtl/>
        </w:rPr>
      </w:pPr>
      <w:r>
        <w:rPr>
          <w:rFonts w:cs="David" w:hint="cs"/>
          <w:rtl/>
        </w:rPr>
        <w:lastRenderedPageBreak/>
        <w:t xml:space="preserve">ודוק - </w:t>
      </w:r>
      <w:r w:rsidR="00100CC1" w:rsidRPr="00100CC1">
        <w:rPr>
          <w:rFonts w:cs="David" w:hint="cs"/>
          <w:rtl/>
        </w:rPr>
        <w:t xml:space="preserve">כעולה מלשון האישור, </w:t>
      </w:r>
      <w:r w:rsidR="00100CC1" w:rsidRPr="00C15510">
        <w:rPr>
          <w:rFonts w:cs="David" w:hint="cs"/>
          <w:b/>
          <w:bCs/>
          <w:rtl/>
        </w:rPr>
        <w:t xml:space="preserve">אין מדובר בהמלצה או באישור לחישוב שביצע </w:t>
      </w:r>
      <w:proofErr w:type="spellStart"/>
      <w:r w:rsidR="00100CC1" w:rsidRPr="00C15510">
        <w:rPr>
          <w:rFonts w:cs="David" w:hint="cs"/>
          <w:b/>
          <w:bCs/>
          <w:rtl/>
        </w:rPr>
        <w:t>מינהל</w:t>
      </w:r>
      <w:proofErr w:type="spellEnd"/>
      <w:r w:rsidR="00100CC1" w:rsidRPr="00C15510">
        <w:rPr>
          <w:rFonts w:cs="David" w:hint="cs"/>
          <w:b/>
          <w:bCs/>
          <w:rtl/>
        </w:rPr>
        <w:t xml:space="preserve"> </w:t>
      </w:r>
      <w:proofErr w:type="spellStart"/>
      <w:r w:rsidR="00100CC1" w:rsidRPr="00C15510">
        <w:rPr>
          <w:rFonts w:cs="David" w:hint="cs"/>
          <w:b/>
          <w:bCs/>
          <w:rtl/>
        </w:rPr>
        <w:t>הגימלאות</w:t>
      </w:r>
      <w:proofErr w:type="spellEnd"/>
      <w:r w:rsidR="00100CC1" w:rsidRPr="00C15510">
        <w:rPr>
          <w:rFonts w:cs="David" w:hint="cs"/>
          <w:b/>
          <w:bCs/>
          <w:rtl/>
        </w:rPr>
        <w:t xml:space="preserve">, אלא בהנחיה של נציבות שירות המדינה כיצד יש לחשב את </w:t>
      </w:r>
      <w:proofErr w:type="spellStart"/>
      <w:r w:rsidR="00100CC1" w:rsidRPr="00C15510">
        <w:rPr>
          <w:rFonts w:cs="David" w:hint="cs"/>
          <w:b/>
          <w:bCs/>
          <w:rtl/>
        </w:rPr>
        <w:t>גימלתו</w:t>
      </w:r>
      <w:proofErr w:type="spellEnd"/>
      <w:r w:rsidR="00100CC1" w:rsidRPr="00C15510">
        <w:rPr>
          <w:rFonts w:cs="David" w:hint="cs"/>
          <w:b/>
          <w:bCs/>
          <w:rtl/>
        </w:rPr>
        <w:t xml:space="preserve"> של המערער</w:t>
      </w:r>
      <w:r w:rsidR="00100CC1">
        <w:rPr>
          <w:rFonts w:cs="David" w:hint="cs"/>
          <w:rtl/>
        </w:rPr>
        <w:t>.</w:t>
      </w:r>
    </w:p>
    <w:p w:rsidR="00100CC1" w:rsidRDefault="00100CC1" w:rsidP="00100CC1">
      <w:pPr>
        <w:tabs>
          <w:tab w:val="left" w:pos="1214"/>
        </w:tabs>
        <w:spacing w:line="360" w:lineRule="auto"/>
        <w:ind w:left="1214"/>
        <w:jc w:val="both"/>
        <w:rPr>
          <w:rFonts w:cs="David"/>
          <w:rtl/>
        </w:rPr>
      </w:pPr>
      <w:r>
        <w:rPr>
          <w:rFonts w:cs="David" w:hint="cs"/>
          <w:rtl/>
        </w:rPr>
        <w:t xml:space="preserve">ראו את הרישא של האישור: </w:t>
      </w:r>
    </w:p>
    <w:p w:rsidR="00100CC1" w:rsidRPr="00100CC1" w:rsidRDefault="00100CC1" w:rsidP="00100CC1">
      <w:pPr>
        <w:tabs>
          <w:tab w:val="left" w:pos="1214"/>
        </w:tabs>
        <w:spacing w:after="200" w:line="360" w:lineRule="auto"/>
        <w:ind w:left="1214"/>
        <w:jc w:val="both"/>
        <w:rPr>
          <w:rFonts w:cs="David"/>
        </w:rPr>
      </w:pPr>
      <w:r w:rsidRPr="00100CC1">
        <w:rPr>
          <w:rFonts w:cs="David"/>
          <w:noProof/>
          <w:rtl/>
          <w:lang w:eastAsia="en-US"/>
        </w:rPr>
        <w:drawing>
          <wp:inline distT="0" distB="0" distL="0" distR="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243547" w:rsidRDefault="00243547" w:rsidP="00243547">
      <w:pPr>
        <w:tabs>
          <w:tab w:val="left" w:pos="1214"/>
        </w:tabs>
        <w:spacing w:line="360" w:lineRule="auto"/>
        <w:ind w:left="1214"/>
        <w:jc w:val="both"/>
        <w:rPr>
          <w:rFonts w:cs="David"/>
          <w:rtl/>
        </w:rPr>
      </w:pPr>
      <w:r>
        <w:rPr>
          <w:rFonts w:cs="David" w:hint="cs"/>
          <w:rtl/>
        </w:rPr>
        <w:t>ראו גם סעיף 4 לאישור:</w:t>
      </w:r>
    </w:p>
    <w:p w:rsidR="00243547" w:rsidRDefault="00243547" w:rsidP="00243547">
      <w:pPr>
        <w:tabs>
          <w:tab w:val="left" w:pos="1214"/>
        </w:tabs>
        <w:spacing w:line="360" w:lineRule="auto"/>
        <w:ind w:left="1214"/>
        <w:jc w:val="both"/>
        <w:rPr>
          <w:rFonts w:cs="David"/>
          <w:rtl/>
        </w:rPr>
      </w:pPr>
      <w:r w:rsidRPr="00243547">
        <w:rPr>
          <w:rFonts w:cs="David"/>
          <w:noProof/>
          <w:rtl/>
          <w:lang w:eastAsia="en-US"/>
        </w:rPr>
        <w:drawing>
          <wp:inline distT="0" distB="0" distL="0" distR="0">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DD74C8" w:rsidRPr="003B467F" w:rsidRDefault="00DD74C8" w:rsidP="00DD74C8">
      <w:pPr>
        <w:tabs>
          <w:tab w:val="left" w:pos="1214"/>
        </w:tabs>
        <w:spacing w:after="200" w:line="360" w:lineRule="auto"/>
        <w:ind w:left="602"/>
        <w:jc w:val="both"/>
        <w:rPr>
          <w:rFonts w:cs="David"/>
          <w:i/>
          <w:iCs/>
        </w:rPr>
      </w:pPr>
      <w:r w:rsidRPr="003B467F">
        <w:rPr>
          <w:rFonts w:cs="David" w:hint="cs"/>
          <w:i/>
          <w:iCs/>
          <w:rtl/>
        </w:rPr>
        <w:t>**</w:t>
      </w:r>
      <w:r w:rsidRPr="003B467F">
        <w:rPr>
          <w:rFonts w:cs="David"/>
          <w:i/>
          <w:iCs/>
          <w:rtl/>
        </w:rPr>
        <w:tab/>
      </w:r>
      <w:r w:rsidRPr="003B467F">
        <w:rPr>
          <w:rFonts w:cs="David" w:hint="cs"/>
          <w:i/>
          <w:iCs/>
          <w:rtl/>
        </w:rPr>
        <w:t xml:space="preserve">למען הנוחות, </w:t>
      </w:r>
      <w:r>
        <w:rPr>
          <w:rFonts w:cs="David" w:hint="cs"/>
          <w:i/>
          <w:iCs/>
          <w:rtl/>
        </w:rPr>
        <w:t xml:space="preserve">אישור </w:t>
      </w:r>
      <w:proofErr w:type="spellStart"/>
      <w:r>
        <w:rPr>
          <w:rFonts w:cs="David" w:hint="cs"/>
          <w:i/>
          <w:iCs/>
          <w:rtl/>
        </w:rPr>
        <w:t>נש"מ</w:t>
      </w:r>
      <w:proofErr w:type="spellEnd"/>
      <w:r w:rsidRPr="003B467F">
        <w:rPr>
          <w:rFonts w:cs="David" w:hint="cs"/>
          <w:i/>
          <w:iCs/>
          <w:rtl/>
        </w:rPr>
        <w:t xml:space="preserve"> מצורף כנספח </w:t>
      </w:r>
      <w:r>
        <w:rPr>
          <w:rFonts w:cs="David" w:hint="cs"/>
          <w:i/>
          <w:iCs/>
          <w:rtl/>
        </w:rPr>
        <w:t>2</w:t>
      </w:r>
      <w:r w:rsidRPr="003B467F">
        <w:rPr>
          <w:rFonts w:cs="David" w:hint="cs"/>
          <w:i/>
          <w:iCs/>
          <w:rtl/>
        </w:rPr>
        <w:t xml:space="preserve"> לתשובה זאת.</w:t>
      </w:r>
    </w:p>
    <w:p w:rsidR="00243547" w:rsidRDefault="00243547" w:rsidP="00243547">
      <w:pPr>
        <w:numPr>
          <w:ilvl w:val="1"/>
          <w:numId w:val="1"/>
        </w:numPr>
        <w:tabs>
          <w:tab w:val="clear" w:pos="792"/>
          <w:tab w:val="left" w:pos="1214"/>
        </w:tabs>
        <w:spacing w:after="200" w:line="360" w:lineRule="auto"/>
        <w:ind w:left="1214" w:hanging="612"/>
        <w:jc w:val="both"/>
        <w:rPr>
          <w:rFonts w:cs="David"/>
        </w:rPr>
      </w:pPr>
      <w:r>
        <w:rPr>
          <w:rFonts w:cs="David" w:hint="cs"/>
          <w:rtl/>
        </w:rPr>
        <w:t xml:space="preserve">מהאמור לעיל עולה בבירור כי </w:t>
      </w:r>
      <w:r>
        <w:rPr>
          <w:rFonts w:cs="David"/>
          <w:rtl/>
        </w:rPr>
        <w:t>–</w:t>
      </w:r>
      <w:r>
        <w:rPr>
          <w:rFonts w:cs="David" w:hint="cs"/>
          <w:rtl/>
        </w:rPr>
        <w:t xml:space="preserve"> </w:t>
      </w:r>
    </w:p>
    <w:p w:rsidR="00243547" w:rsidRPr="00243547" w:rsidRDefault="00243547" w:rsidP="00243547">
      <w:pPr>
        <w:pStyle w:val="af0"/>
        <w:numPr>
          <w:ilvl w:val="0"/>
          <w:numId w:val="15"/>
        </w:numPr>
        <w:tabs>
          <w:tab w:val="left" w:pos="1214"/>
        </w:tabs>
        <w:spacing w:after="200" w:line="360" w:lineRule="auto"/>
        <w:contextualSpacing w:val="0"/>
        <w:jc w:val="both"/>
        <w:rPr>
          <w:rFonts w:cs="David"/>
          <w:sz w:val="24"/>
          <w:szCs w:val="24"/>
        </w:rPr>
      </w:pPr>
      <w:r w:rsidRPr="00243547">
        <w:rPr>
          <w:rFonts w:cs="David" w:hint="cs"/>
          <w:b/>
          <w:bCs/>
          <w:sz w:val="24"/>
          <w:szCs w:val="24"/>
          <w:rtl/>
        </w:rPr>
        <w:t xml:space="preserve">נציבות שירות המדינה קבעה את נוסחת החישוב והנחתה את </w:t>
      </w:r>
      <w:proofErr w:type="spellStart"/>
      <w:r w:rsidRPr="00243547">
        <w:rPr>
          <w:rFonts w:cs="David" w:hint="cs"/>
          <w:b/>
          <w:bCs/>
          <w:sz w:val="24"/>
          <w:szCs w:val="24"/>
          <w:rtl/>
        </w:rPr>
        <w:t>מינהל</w:t>
      </w:r>
      <w:proofErr w:type="spellEnd"/>
      <w:r w:rsidRPr="00243547">
        <w:rPr>
          <w:rFonts w:cs="David" w:hint="cs"/>
          <w:b/>
          <w:bCs/>
          <w:sz w:val="24"/>
          <w:szCs w:val="24"/>
          <w:rtl/>
        </w:rPr>
        <w:t xml:space="preserve"> </w:t>
      </w:r>
      <w:proofErr w:type="spellStart"/>
      <w:r w:rsidRPr="00243547">
        <w:rPr>
          <w:rFonts w:cs="David" w:hint="cs"/>
          <w:b/>
          <w:bCs/>
          <w:sz w:val="24"/>
          <w:szCs w:val="24"/>
          <w:rtl/>
        </w:rPr>
        <w:t>הגימלאות</w:t>
      </w:r>
      <w:proofErr w:type="spellEnd"/>
      <w:r w:rsidRPr="00243547">
        <w:rPr>
          <w:rFonts w:cs="David" w:hint="cs"/>
          <w:b/>
          <w:bCs/>
          <w:sz w:val="24"/>
          <w:szCs w:val="24"/>
          <w:rtl/>
        </w:rPr>
        <w:t xml:space="preserve"> כיצד לחשב את </w:t>
      </w:r>
      <w:proofErr w:type="spellStart"/>
      <w:r w:rsidRPr="00243547">
        <w:rPr>
          <w:rFonts w:cs="David" w:hint="cs"/>
          <w:b/>
          <w:bCs/>
          <w:sz w:val="24"/>
          <w:szCs w:val="24"/>
          <w:rtl/>
        </w:rPr>
        <w:t>גימלתו</w:t>
      </w:r>
      <w:proofErr w:type="spellEnd"/>
      <w:r w:rsidRPr="00243547">
        <w:rPr>
          <w:rFonts w:cs="David" w:hint="cs"/>
          <w:b/>
          <w:bCs/>
          <w:sz w:val="24"/>
          <w:szCs w:val="24"/>
          <w:rtl/>
        </w:rPr>
        <w:t xml:space="preserve"> של המערער.</w:t>
      </w:r>
    </w:p>
    <w:p w:rsidR="00243547" w:rsidRPr="00243547" w:rsidRDefault="00243547" w:rsidP="00243547">
      <w:pPr>
        <w:pStyle w:val="af0"/>
        <w:numPr>
          <w:ilvl w:val="0"/>
          <w:numId w:val="15"/>
        </w:numPr>
        <w:tabs>
          <w:tab w:val="left" w:pos="1214"/>
        </w:tabs>
        <w:spacing w:after="200" w:line="360" w:lineRule="auto"/>
        <w:contextualSpacing w:val="0"/>
        <w:jc w:val="both"/>
        <w:rPr>
          <w:rFonts w:cs="David"/>
          <w:sz w:val="24"/>
          <w:szCs w:val="24"/>
        </w:rPr>
      </w:pPr>
      <w:r w:rsidRPr="00243547">
        <w:rPr>
          <w:rFonts w:cs="David" w:hint="cs"/>
          <w:b/>
          <w:bCs/>
          <w:sz w:val="24"/>
          <w:szCs w:val="24"/>
          <w:rtl/>
        </w:rPr>
        <w:t xml:space="preserve">אישור זה הוצג למערער כאשר פנה </w:t>
      </w:r>
      <w:proofErr w:type="spellStart"/>
      <w:r w:rsidRPr="00243547">
        <w:rPr>
          <w:rFonts w:cs="David" w:hint="cs"/>
          <w:b/>
          <w:bCs/>
          <w:sz w:val="24"/>
          <w:szCs w:val="24"/>
          <w:rtl/>
        </w:rPr>
        <w:t>למינהל</w:t>
      </w:r>
      <w:proofErr w:type="spellEnd"/>
      <w:r w:rsidRPr="00243547">
        <w:rPr>
          <w:rFonts w:cs="David" w:hint="cs"/>
          <w:b/>
          <w:bCs/>
          <w:sz w:val="24"/>
          <w:szCs w:val="24"/>
          <w:rtl/>
        </w:rPr>
        <w:t xml:space="preserve"> </w:t>
      </w:r>
      <w:proofErr w:type="spellStart"/>
      <w:r w:rsidRPr="00243547">
        <w:rPr>
          <w:rFonts w:cs="David" w:hint="cs"/>
          <w:b/>
          <w:bCs/>
          <w:sz w:val="24"/>
          <w:szCs w:val="24"/>
          <w:rtl/>
        </w:rPr>
        <w:t>הגימלאות</w:t>
      </w:r>
      <w:proofErr w:type="spellEnd"/>
      <w:r w:rsidRPr="00243547">
        <w:rPr>
          <w:rFonts w:cs="David" w:hint="cs"/>
          <w:b/>
          <w:bCs/>
          <w:sz w:val="24"/>
          <w:szCs w:val="24"/>
          <w:rtl/>
        </w:rPr>
        <w:t xml:space="preserve">, </w:t>
      </w:r>
      <w:proofErr w:type="spellStart"/>
      <w:r w:rsidRPr="00243547">
        <w:rPr>
          <w:rFonts w:cs="David" w:hint="cs"/>
          <w:b/>
          <w:bCs/>
          <w:sz w:val="24"/>
          <w:szCs w:val="24"/>
          <w:rtl/>
        </w:rPr>
        <w:t>וממינהל</w:t>
      </w:r>
      <w:proofErr w:type="spellEnd"/>
      <w:r w:rsidRPr="00243547">
        <w:rPr>
          <w:rFonts w:cs="David" w:hint="cs"/>
          <w:b/>
          <w:bCs/>
          <w:sz w:val="24"/>
          <w:szCs w:val="24"/>
          <w:rtl/>
        </w:rPr>
        <w:t xml:space="preserve"> </w:t>
      </w:r>
      <w:proofErr w:type="spellStart"/>
      <w:r w:rsidRPr="00243547">
        <w:rPr>
          <w:rFonts w:cs="David" w:hint="cs"/>
          <w:b/>
          <w:bCs/>
          <w:sz w:val="24"/>
          <w:szCs w:val="24"/>
          <w:rtl/>
        </w:rPr>
        <w:t>הגימלאות</w:t>
      </w:r>
      <w:proofErr w:type="spellEnd"/>
      <w:r w:rsidRPr="00243547">
        <w:rPr>
          <w:rFonts w:cs="David" w:hint="cs"/>
          <w:b/>
          <w:bCs/>
          <w:sz w:val="24"/>
          <w:szCs w:val="24"/>
          <w:rtl/>
        </w:rPr>
        <w:t xml:space="preserve"> נאמר לו במפורש לפנות לנציבות שירות המדינה בעניין נוסחת החישוב, וכך עשה.</w:t>
      </w:r>
    </w:p>
    <w:p w:rsidR="00243547" w:rsidRPr="00C15510" w:rsidRDefault="00243547" w:rsidP="00C15510">
      <w:pPr>
        <w:tabs>
          <w:tab w:val="left" w:pos="1214"/>
        </w:tabs>
        <w:spacing w:after="200" w:line="360" w:lineRule="auto"/>
        <w:ind w:left="1214"/>
        <w:jc w:val="both"/>
        <w:rPr>
          <w:rFonts w:cs="David"/>
        </w:rPr>
      </w:pPr>
      <w:r w:rsidRPr="00C15510">
        <w:rPr>
          <w:rFonts w:cs="David" w:hint="cs"/>
          <w:rtl/>
        </w:rPr>
        <w:t>כידוע, המשך הדיונים נעשה גם הוא מול נציבות שירות המדינה, כמי שקבעה את נוסחת החישוב</w:t>
      </w:r>
      <w:r w:rsidR="000C0186">
        <w:rPr>
          <w:rFonts w:cs="David" w:hint="cs"/>
          <w:rtl/>
        </w:rPr>
        <w:t>, ובעניין זה נוסיף ונפרט להלן</w:t>
      </w:r>
      <w:r w:rsidRPr="00C15510">
        <w:rPr>
          <w:rFonts w:cs="David" w:hint="cs"/>
          <w:rtl/>
        </w:rPr>
        <w:t>.</w:t>
      </w:r>
    </w:p>
    <w:p w:rsidR="000C0186" w:rsidRDefault="000C0186" w:rsidP="00C15510">
      <w:pPr>
        <w:numPr>
          <w:ilvl w:val="0"/>
          <w:numId w:val="1"/>
        </w:numPr>
        <w:tabs>
          <w:tab w:val="left" w:pos="566"/>
        </w:tabs>
        <w:spacing w:after="200" w:line="360" w:lineRule="auto"/>
        <w:ind w:left="566" w:hanging="540"/>
        <w:jc w:val="both"/>
        <w:rPr>
          <w:rFonts w:cs="David"/>
        </w:rPr>
      </w:pPr>
      <w:r>
        <w:rPr>
          <w:rFonts w:cs="David" w:hint="cs"/>
          <w:rtl/>
        </w:rPr>
        <w:t xml:space="preserve">קראנו בעיון את טענותיה של המדינה בעניין חלוקת הסמכויות בין המשרד והנציבות </w:t>
      </w:r>
      <w:r>
        <w:rPr>
          <w:rFonts w:cs="David"/>
          <w:rtl/>
        </w:rPr>
        <w:t>–</w:t>
      </w:r>
      <w:r>
        <w:rPr>
          <w:rFonts w:cs="David" w:hint="cs"/>
          <w:rtl/>
        </w:rPr>
        <w:t xml:space="preserve"> הקובעות את תנאי ההעסקה והפרישה; וסמכות </w:t>
      </w:r>
      <w:proofErr w:type="spellStart"/>
      <w:r>
        <w:rPr>
          <w:rFonts w:cs="David" w:hint="cs"/>
          <w:rtl/>
        </w:rPr>
        <w:t>מינהל</w:t>
      </w:r>
      <w:proofErr w:type="spellEnd"/>
      <w:r>
        <w:rPr>
          <w:rFonts w:cs="David" w:hint="cs"/>
          <w:rtl/>
        </w:rPr>
        <w:t xml:space="preserve"> </w:t>
      </w:r>
      <w:proofErr w:type="spellStart"/>
      <w:r>
        <w:rPr>
          <w:rFonts w:cs="David" w:hint="cs"/>
          <w:rtl/>
        </w:rPr>
        <w:t>הגימלאות</w:t>
      </w:r>
      <w:proofErr w:type="spellEnd"/>
      <w:r>
        <w:rPr>
          <w:rFonts w:cs="David" w:hint="cs"/>
          <w:rtl/>
        </w:rPr>
        <w:t xml:space="preserve"> </w:t>
      </w:r>
      <w:r>
        <w:rPr>
          <w:rFonts w:cs="David"/>
          <w:rtl/>
        </w:rPr>
        <w:t>–</w:t>
      </w:r>
      <w:r>
        <w:rPr>
          <w:rFonts w:cs="David" w:hint="cs"/>
          <w:rtl/>
        </w:rPr>
        <w:t xml:space="preserve"> לחישוב </w:t>
      </w:r>
      <w:proofErr w:type="spellStart"/>
      <w:r>
        <w:rPr>
          <w:rFonts w:cs="David" w:hint="cs"/>
          <w:rtl/>
        </w:rPr>
        <w:t>הגימלה</w:t>
      </w:r>
      <w:proofErr w:type="spellEnd"/>
      <w:r>
        <w:rPr>
          <w:rFonts w:cs="David" w:hint="cs"/>
          <w:rtl/>
        </w:rPr>
        <w:t xml:space="preserve"> בהתאם לתנאי החוזה ובהתבסס על נתוני השכר והדרגה ערב הפרישה (סעיף 6 להשלמת הטיעון).</w:t>
      </w:r>
    </w:p>
    <w:p w:rsidR="000C0186" w:rsidRDefault="000C0186" w:rsidP="000C0186">
      <w:pPr>
        <w:tabs>
          <w:tab w:val="left" w:pos="566"/>
        </w:tabs>
        <w:spacing w:after="200" w:line="360" w:lineRule="auto"/>
        <w:ind w:left="566"/>
        <w:jc w:val="both"/>
        <w:rPr>
          <w:rFonts w:cs="David"/>
        </w:rPr>
      </w:pPr>
      <w:r>
        <w:rPr>
          <w:rFonts w:cs="David" w:hint="cs"/>
          <w:rt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0C0186" w:rsidRDefault="000C0186" w:rsidP="000C0186">
      <w:pPr>
        <w:numPr>
          <w:ilvl w:val="1"/>
          <w:numId w:val="1"/>
        </w:numPr>
        <w:tabs>
          <w:tab w:val="clear" w:pos="792"/>
          <w:tab w:val="left" w:pos="1214"/>
        </w:tabs>
        <w:spacing w:after="200" w:line="360" w:lineRule="auto"/>
        <w:ind w:left="1214" w:hanging="612"/>
        <w:jc w:val="both"/>
        <w:rPr>
          <w:rFonts w:cs="David"/>
        </w:rPr>
      </w:pPr>
      <w:r>
        <w:rPr>
          <w:rFonts w:cs="David" w:hint="cs"/>
          <w:rtl/>
        </w:rPr>
        <w:t>סיכום הדיון נושא את הכותרת "</w:t>
      </w:r>
      <w:r w:rsidRPr="000C0186">
        <w:rPr>
          <w:rFonts w:cs="David" w:hint="cs"/>
          <w:b/>
          <w:bCs/>
          <w:i/>
          <w:iCs/>
          <w:rtl/>
        </w:rPr>
        <w:t xml:space="preserve">שיטת חישוב </w:t>
      </w:r>
      <w:proofErr w:type="spellStart"/>
      <w:r w:rsidRPr="000C0186">
        <w:rPr>
          <w:rFonts w:cs="David" w:hint="cs"/>
          <w:b/>
          <w:bCs/>
          <w:i/>
          <w:iCs/>
          <w:rtl/>
        </w:rPr>
        <w:t>הגימלה</w:t>
      </w:r>
      <w:proofErr w:type="spellEnd"/>
      <w:r w:rsidRPr="000C0186">
        <w:rPr>
          <w:rFonts w:cs="David" w:hint="cs"/>
          <w:b/>
          <w:bCs/>
          <w:i/>
          <w:iCs/>
          <w:rtl/>
        </w:rPr>
        <w:t xml:space="preserve"> של מר שמעון הכסטר</w:t>
      </w:r>
      <w:r w:rsidRPr="000C0186">
        <w:rPr>
          <w:rFonts w:cs="David" w:hint="cs"/>
          <w:rtl/>
        </w:rPr>
        <w:t>"</w:t>
      </w:r>
      <w:r>
        <w:rPr>
          <w:rFonts w:cs="David" w:hint="cs"/>
          <w:b/>
          <w:bCs/>
          <w:rtl/>
        </w:rPr>
        <w:t xml:space="preserve">. </w:t>
      </w:r>
      <w:r>
        <w:rPr>
          <w:rFonts w:cs="David" w:hint="cs"/>
          <w:rtl/>
        </w:rPr>
        <w:t xml:space="preserve">בהתאם, ואם היה ממש בטענות המשיבות, היינו מצפים לראות כי הדיון מנוהל על ידי </w:t>
      </w:r>
      <w:proofErr w:type="spellStart"/>
      <w:r>
        <w:rPr>
          <w:rFonts w:cs="David" w:hint="cs"/>
          <w:rtl/>
        </w:rPr>
        <w:t>מינהל</w:t>
      </w:r>
      <w:proofErr w:type="spellEnd"/>
      <w:r>
        <w:rPr>
          <w:rFonts w:cs="David" w:hint="cs"/>
          <w:rtl/>
        </w:rPr>
        <w:t xml:space="preserve"> </w:t>
      </w:r>
      <w:proofErr w:type="spellStart"/>
      <w:r>
        <w:rPr>
          <w:rFonts w:cs="David" w:hint="cs"/>
          <w:rtl/>
        </w:rPr>
        <w:t>הגימלאות</w:t>
      </w:r>
      <w:proofErr w:type="spellEnd"/>
      <w:r>
        <w:rPr>
          <w:rFonts w:cs="David" w:hint="cs"/>
          <w:rtl/>
        </w:rPr>
        <w:t xml:space="preserve">, או לכל הפחות </w:t>
      </w:r>
      <w:r>
        <w:rPr>
          <w:rFonts w:cs="David"/>
          <w:rtl/>
        </w:rPr>
        <w:t>–</w:t>
      </w:r>
      <w:r>
        <w:rPr>
          <w:rFonts w:cs="David" w:hint="cs"/>
          <w:rtl/>
        </w:rPr>
        <w:t xml:space="preserve"> לראות נציג </w:t>
      </w:r>
      <w:proofErr w:type="spellStart"/>
      <w:r>
        <w:rPr>
          <w:rFonts w:cs="David" w:hint="cs"/>
          <w:rtl/>
        </w:rPr>
        <w:t>המינהל</w:t>
      </w:r>
      <w:proofErr w:type="spellEnd"/>
      <w:r>
        <w:rPr>
          <w:rFonts w:cs="David" w:hint="cs"/>
          <w:rtl/>
        </w:rPr>
        <w:t xml:space="preserve"> משתתף בדיון כאמור.</w:t>
      </w:r>
    </w:p>
    <w:p w:rsidR="005F6BCB" w:rsidRDefault="000C0186" w:rsidP="005F6BCB">
      <w:pPr>
        <w:numPr>
          <w:ilvl w:val="1"/>
          <w:numId w:val="1"/>
        </w:numPr>
        <w:tabs>
          <w:tab w:val="clear" w:pos="792"/>
          <w:tab w:val="left" w:pos="1214"/>
        </w:tabs>
        <w:spacing w:after="200" w:line="360" w:lineRule="auto"/>
        <w:ind w:left="1214" w:hanging="612"/>
        <w:jc w:val="both"/>
        <w:rPr>
          <w:rFonts w:cs="David"/>
        </w:rPr>
      </w:pPr>
      <w:r>
        <w:rPr>
          <w:rFonts w:cs="David" w:hint="cs"/>
          <w:rtl/>
        </w:rPr>
        <w:t xml:space="preserve">עיון ברשימת המשתתפים מלמד כי בדיון </w:t>
      </w:r>
      <w:r>
        <w:rPr>
          <w:rFonts w:cs="David" w:hint="cs"/>
          <w:b/>
          <w:bCs/>
          <w:rtl/>
        </w:rPr>
        <w:t xml:space="preserve">לא היה נוכח נציג של </w:t>
      </w:r>
      <w:proofErr w:type="spellStart"/>
      <w:r>
        <w:rPr>
          <w:rFonts w:cs="David" w:hint="cs"/>
          <w:b/>
          <w:bCs/>
          <w:rtl/>
        </w:rPr>
        <w:t>מינהל</w:t>
      </w:r>
      <w:proofErr w:type="spellEnd"/>
      <w:r>
        <w:rPr>
          <w:rFonts w:cs="David" w:hint="cs"/>
          <w:b/>
          <w:bCs/>
          <w:rtl/>
        </w:rPr>
        <w:t xml:space="preserve"> </w:t>
      </w:r>
      <w:proofErr w:type="spellStart"/>
      <w:r>
        <w:rPr>
          <w:rFonts w:cs="David" w:hint="cs"/>
          <w:b/>
          <w:bCs/>
          <w:rtl/>
        </w:rPr>
        <w:t>הגימלאות</w:t>
      </w:r>
      <w:proofErr w:type="spellEnd"/>
      <w:r>
        <w:rPr>
          <w:rFonts w:cs="David" w:hint="cs"/>
          <w:b/>
          <w:bCs/>
          <w:rtl/>
        </w:rPr>
        <w:t xml:space="preserve">. </w:t>
      </w:r>
      <w:r>
        <w:rPr>
          <w:rFonts w:cs="David" w:hint="cs"/>
          <w:rtl/>
        </w:rPr>
        <w:t xml:space="preserve">הדיון התקיים בנוכחות נציג נציבות, מר ציון לוי, נציגת משרד האוצר ונציגת החשב הכללי. </w:t>
      </w:r>
      <w:r w:rsidR="005F6BCB" w:rsidRPr="005F6BCB">
        <w:rPr>
          <w:rFonts w:cs="David" w:hint="cs"/>
          <w:b/>
          <w:bCs/>
          <w:rtl/>
        </w:rPr>
        <w:t xml:space="preserve">לשיטת המשיבות, אם כן, כי מי שקבע וקובע את נוסחת חישוב </w:t>
      </w:r>
      <w:proofErr w:type="spellStart"/>
      <w:r w:rsidR="005F6BCB" w:rsidRPr="005F6BCB">
        <w:rPr>
          <w:rFonts w:cs="David" w:hint="cs"/>
          <w:b/>
          <w:bCs/>
          <w:rtl/>
        </w:rPr>
        <w:t>הגימלה</w:t>
      </w:r>
      <w:proofErr w:type="spellEnd"/>
      <w:r w:rsidR="005F6BCB" w:rsidRPr="005F6BCB">
        <w:rPr>
          <w:rFonts w:cs="David" w:hint="cs"/>
          <w:b/>
          <w:bCs/>
          <w:rtl/>
        </w:rPr>
        <w:t xml:space="preserve"> הם </w:t>
      </w:r>
      <w:r w:rsidR="005F6BCB">
        <w:rPr>
          <w:rFonts w:cs="David" w:hint="cs"/>
          <w:b/>
          <w:bCs/>
          <w:rtl/>
        </w:rPr>
        <w:t>ה</w:t>
      </w:r>
      <w:r w:rsidR="005F6BCB" w:rsidRPr="005F6BCB">
        <w:rPr>
          <w:rFonts w:cs="David" w:hint="cs"/>
          <w:b/>
          <w:bCs/>
          <w:rtl/>
        </w:rPr>
        <w:t>נציבות</w:t>
      </w:r>
      <w:r w:rsidR="005F6BCB">
        <w:rPr>
          <w:rFonts w:cs="David" w:hint="cs"/>
          <w:b/>
          <w:bCs/>
          <w:rtl/>
        </w:rPr>
        <w:t xml:space="preserve"> והמשרד</w:t>
      </w:r>
      <w:r w:rsidR="005F6BCB">
        <w:rPr>
          <w:rFonts w:cs="David" w:hint="cs"/>
          <w:rtl/>
        </w:rPr>
        <w:t xml:space="preserve">, שאם לא כן </w:t>
      </w:r>
      <w:r w:rsidR="005F6BCB">
        <w:rPr>
          <w:rFonts w:cs="David"/>
          <w:rtl/>
        </w:rPr>
        <w:t>–</w:t>
      </w:r>
      <w:r w:rsidR="005F6BCB">
        <w:rPr>
          <w:rFonts w:cs="David" w:hint="cs"/>
          <w:rtl/>
        </w:rPr>
        <w:t xml:space="preserve"> </w:t>
      </w:r>
      <w:proofErr w:type="spellStart"/>
      <w:r w:rsidR="005F6BCB">
        <w:rPr>
          <w:rFonts w:cs="David" w:hint="cs"/>
          <w:rtl/>
        </w:rPr>
        <w:t>מינהל</w:t>
      </w:r>
      <w:proofErr w:type="spellEnd"/>
      <w:r w:rsidR="005F6BCB">
        <w:rPr>
          <w:rFonts w:cs="David" w:hint="cs"/>
          <w:rtl/>
        </w:rPr>
        <w:t xml:space="preserve"> </w:t>
      </w:r>
      <w:proofErr w:type="spellStart"/>
      <w:r w:rsidR="005F6BCB">
        <w:rPr>
          <w:rFonts w:cs="David" w:hint="cs"/>
          <w:rtl/>
        </w:rPr>
        <w:t>הגימלאות</w:t>
      </w:r>
      <w:proofErr w:type="spellEnd"/>
      <w:r w:rsidR="005F6BCB">
        <w:rPr>
          <w:rFonts w:cs="David" w:hint="cs"/>
          <w:rtl/>
        </w:rPr>
        <w:t xml:space="preserve"> היה מנהל את הדיון או לכל הפחות נוכח בה.</w:t>
      </w:r>
    </w:p>
    <w:p w:rsidR="000C0186" w:rsidRDefault="005F6BCB" w:rsidP="005F6BCB">
      <w:pPr>
        <w:tabs>
          <w:tab w:val="left" w:pos="1214"/>
        </w:tabs>
        <w:spacing w:after="200" w:line="360" w:lineRule="auto"/>
        <w:ind w:left="1214"/>
        <w:jc w:val="both"/>
        <w:rPr>
          <w:rFonts w:cs="David"/>
          <w:b/>
          <w:bCs/>
          <w:rtl/>
        </w:rPr>
      </w:pPr>
      <w:r w:rsidRPr="005F6BCB">
        <w:rPr>
          <w:rFonts w:cs="David" w:hint="cs"/>
          <w:b/>
          <w:bCs/>
          <w:rtl/>
        </w:rPr>
        <w:t xml:space="preserve">היעדרו הזועק של </w:t>
      </w:r>
      <w:proofErr w:type="spellStart"/>
      <w:r w:rsidRPr="005F6BCB">
        <w:rPr>
          <w:rFonts w:cs="David" w:hint="cs"/>
          <w:b/>
          <w:bCs/>
          <w:rtl/>
        </w:rPr>
        <w:t>מינהל</w:t>
      </w:r>
      <w:proofErr w:type="spellEnd"/>
      <w:r w:rsidRPr="005F6BCB">
        <w:rPr>
          <w:rFonts w:cs="David" w:hint="cs"/>
          <w:b/>
          <w:bCs/>
          <w:rtl/>
        </w:rPr>
        <w:t xml:space="preserve"> </w:t>
      </w:r>
      <w:proofErr w:type="spellStart"/>
      <w:r w:rsidRPr="005F6BCB">
        <w:rPr>
          <w:rFonts w:cs="David" w:hint="cs"/>
          <w:b/>
          <w:bCs/>
          <w:rtl/>
        </w:rPr>
        <w:t>הגימלאות</w:t>
      </w:r>
      <w:proofErr w:type="spellEnd"/>
      <w:r w:rsidRPr="005F6BCB">
        <w:rPr>
          <w:rFonts w:cs="David" w:hint="cs"/>
          <w:b/>
          <w:bCs/>
          <w:rtl/>
        </w:rPr>
        <w:t xml:space="preserve"> מהדיון מלמד כי </w:t>
      </w:r>
      <w:proofErr w:type="spellStart"/>
      <w:r w:rsidRPr="005F6BCB">
        <w:rPr>
          <w:rFonts w:cs="David" w:hint="cs"/>
          <w:b/>
          <w:bCs/>
          <w:rtl/>
        </w:rPr>
        <w:t>המינהל</w:t>
      </w:r>
      <w:proofErr w:type="spellEnd"/>
      <w:r w:rsidRPr="005F6BCB">
        <w:rPr>
          <w:rFonts w:cs="David" w:hint="cs"/>
          <w:b/>
          <w:bCs/>
          <w:rtl/>
        </w:rPr>
        <w:t xml:space="preserve"> פעל בעניין זה בהתאם להנחיות הנציבות והמשרד.  </w:t>
      </w:r>
    </w:p>
    <w:p w:rsidR="005F6BCB" w:rsidRPr="003B467F" w:rsidRDefault="005F6BCB" w:rsidP="005F6BCB">
      <w:pPr>
        <w:tabs>
          <w:tab w:val="left" w:pos="1214"/>
        </w:tabs>
        <w:spacing w:after="200" w:line="360" w:lineRule="auto"/>
        <w:ind w:left="602"/>
        <w:jc w:val="both"/>
        <w:rPr>
          <w:rFonts w:cs="David"/>
          <w:i/>
          <w:iCs/>
        </w:rPr>
      </w:pPr>
      <w:r w:rsidRPr="003B467F">
        <w:rPr>
          <w:rFonts w:cs="David" w:hint="cs"/>
          <w:i/>
          <w:iCs/>
          <w:rtl/>
        </w:rPr>
        <w:lastRenderedPageBreak/>
        <w:t>**</w:t>
      </w:r>
      <w:r w:rsidRPr="003B467F">
        <w:rPr>
          <w:rFonts w:cs="David"/>
          <w:i/>
          <w:iCs/>
          <w:rtl/>
        </w:rPr>
        <w:tab/>
      </w:r>
      <w:r w:rsidRPr="003B467F">
        <w:rPr>
          <w:rFonts w:cs="David" w:hint="cs"/>
          <w:i/>
          <w:iCs/>
          <w:rtl/>
        </w:rPr>
        <w:t xml:space="preserve">למען הנוחות, </w:t>
      </w:r>
      <w:r>
        <w:rPr>
          <w:rFonts w:cs="David" w:hint="cs"/>
          <w:i/>
          <w:iCs/>
          <w:rtl/>
        </w:rPr>
        <w:t>סיכום הדיון</w:t>
      </w:r>
      <w:r w:rsidRPr="003B467F">
        <w:rPr>
          <w:rFonts w:cs="David" w:hint="cs"/>
          <w:i/>
          <w:iCs/>
          <w:rtl/>
        </w:rPr>
        <w:t xml:space="preserve"> מצורף כנספח </w:t>
      </w:r>
      <w:r>
        <w:rPr>
          <w:rFonts w:cs="David" w:hint="cs"/>
          <w:i/>
          <w:iCs/>
          <w:rtl/>
        </w:rPr>
        <w:t>3</w:t>
      </w:r>
      <w:r w:rsidRPr="003B467F">
        <w:rPr>
          <w:rFonts w:cs="David" w:hint="cs"/>
          <w:i/>
          <w:iCs/>
          <w:rtl/>
        </w:rPr>
        <w:t xml:space="preserve"> לתשובה זאת.</w:t>
      </w:r>
    </w:p>
    <w:p w:rsidR="005F6BCB" w:rsidRDefault="005F6BCB" w:rsidP="005F6BCB">
      <w:pPr>
        <w:numPr>
          <w:ilvl w:val="1"/>
          <w:numId w:val="1"/>
        </w:numPr>
        <w:tabs>
          <w:tab w:val="clear" w:pos="792"/>
          <w:tab w:val="left" w:pos="1214"/>
        </w:tabs>
        <w:spacing w:after="200" w:line="360" w:lineRule="auto"/>
        <w:ind w:left="1214" w:hanging="612"/>
        <w:jc w:val="both"/>
        <w:rPr>
          <w:rFonts w:cs="David"/>
        </w:rPr>
      </w:pPr>
      <w:r>
        <w:rPr>
          <w:rFonts w:cs="David" w:hint="cs"/>
          <w:rtl/>
        </w:rPr>
        <w:t xml:space="preserve">יתרה מכך, בסיכום הדיון קובע מר לוי </w:t>
      </w:r>
      <w:r>
        <w:rPr>
          <w:rFonts w:cs="David"/>
          <w:rtl/>
        </w:rPr>
        <w:t>–</w:t>
      </w:r>
      <w:r>
        <w:rPr>
          <w:rFonts w:cs="David" w:hint="cs"/>
          <w:rtl/>
        </w:rPr>
        <w:t xml:space="preserve"> "</w:t>
      </w:r>
      <w:r w:rsidRPr="005F6BCB">
        <w:rPr>
          <w:rFonts w:cs="David" w:hint="cs"/>
          <w:b/>
          <w:bCs/>
          <w:i/>
          <w:iCs/>
          <w:rtl/>
        </w:rPr>
        <w:t>ההחלטה היא לא שלי בלבד</w:t>
      </w:r>
      <w:r>
        <w:rPr>
          <w:rFonts w:cs="David" w:hint="cs"/>
          <w:rtl/>
        </w:rPr>
        <w:t xml:space="preserve">". ובמשתמע </w:t>
      </w:r>
      <w:r>
        <w:rPr>
          <w:rFonts w:cs="David"/>
          <w:rtl/>
        </w:rPr>
        <w:t>–</w:t>
      </w:r>
      <w:r>
        <w:rPr>
          <w:rFonts w:cs="David" w:hint="cs"/>
          <w:rtl/>
        </w:rPr>
        <w:t xml:space="preserve"> </w:t>
      </w:r>
      <w:r w:rsidRPr="005F6BCB">
        <w:rPr>
          <w:rFonts w:cs="David" w:hint="cs"/>
          <w:b/>
          <w:bCs/>
          <w:rtl/>
        </w:rPr>
        <w:t xml:space="preserve">ההחלטה היא גם של מר ציון לוי, מנהל אגף בכיר לפרישה </w:t>
      </w:r>
      <w:proofErr w:type="spellStart"/>
      <w:r w:rsidRPr="005F6BCB">
        <w:rPr>
          <w:rFonts w:cs="David" w:hint="cs"/>
          <w:b/>
          <w:bCs/>
          <w:rtl/>
        </w:rPr>
        <w:t>וגימלאות</w:t>
      </w:r>
      <w:proofErr w:type="spellEnd"/>
      <w:r w:rsidRPr="005F6BCB">
        <w:rPr>
          <w:rFonts w:cs="David" w:hint="cs"/>
          <w:b/>
          <w:bCs/>
          <w:rtl/>
        </w:rPr>
        <w:t xml:space="preserve"> בנציבות</w:t>
      </w:r>
      <w:r>
        <w:rPr>
          <w:rFonts w:cs="David" w:hint="cs"/>
          <w:rtl/>
        </w:rPr>
        <w:t xml:space="preserve">. </w:t>
      </w:r>
    </w:p>
    <w:p w:rsidR="005F6BCB" w:rsidRDefault="005F6BCB" w:rsidP="005F6BCB">
      <w:pPr>
        <w:numPr>
          <w:ilvl w:val="1"/>
          <w:numId w:val="1"/>
        </w:numPr>
        <w:tabs>
          <w:tab w:val="clear" w:pos="792"/>
          <w:tab w:val="left" w:pos="1214"/>
        </w:tabs>
        <w:spacing w:after="200" w:line="360" w:lineRule="auto"/>
        <w:ind w:left="1214" w:hanging="612"/>
        <w:jc w:val="both"/>
        <w:rPr>
          <w:rFonts w:cs="David"/>
        </w:rPr>
      </w:pPr>
      <w:r>
        <w:rPr>
          <w:rFonts w:cs="David" w:hint="cs"/>
          <w:rtl/>
        </w:rPr>
        <w:t>בשולי הדברים נשוב ונפנה את בית הדין הנכבד להתחייבות של מר ציון לוי כי הדרגה תתוקן בכפוף לתנאי החוזה. המערער עדיין ממתין לתיקון כאמור.</w:t>
      </w:r>
    </w:p>
    <w:p w:rsidR="00243547" w:rsidRPr="003D0037" w:rsidRDefault="00C15510" w:rsidP="00C15510">
      <w:pPr>
        <w:numPr>
          <w:ilvl w:val="0"/>
          <w:numId w:val="1"/>
        </w:numPr>
        <w:tabs>
          <w:tab w:val="left" w:pos="566"/>
        </w:tabs>
        <w:spacing w:after="200" w:line="360" w:lineRule="auto"/>
        <w:ind w:left="566" w:hanging="540"/>
        <w:jc w:val="both"/>
        <w:rPr>
          <w:rFonts w:cs="David"/>
        </w:rPr>
      </w:pPr>
      <w:r>
        <w:rPr>
          <w:rFonts w:cs="David" w:hint="cs"/>
          <w:rtl/>
        </w:rPr>
        <w:t>המערער יוסיף ויבהיר כי ייתכן ש</w:t>
      </w:r>
      <w:r w:rsidR="00243547">
        <w:rPr>
          <w:rFonts w:cs="David" w:hint="cs"/>
          <w:rtl/>
        </w:rPr>
        <w:t>טענותיה של המדינה בדבר הסמכות לחישוב</w:t>
      </w:r>
      <w:r>
        <w:rPr>
          <w:rFonts w:cs="David" w:hint="cs"/>
          <w:rtl/>
        </w:rPr>
        <w:t xml:space="preserve"> </w:t>
      </w:r>
      <w:proofErr w:type="spellStart"/>
      <w:r>
        <w:rPr>
          <w:rFonts w:cs="David" w:hint="cs"/>
          <w:rtl/>
        </w:rPr>
        <w:t>הגימלה</w:t>
      </w:r>
      <w:proofErr w:type="spellEnd"/>
      <w:r w:rsidR="00243547">
        <w:rPr>
          <w:rFonts w:cs="David" w:hint="cs"/>
          <w:rtl/>
        </w:rPr>
        <w:t xml:space="preserve"> או מעמדה של הנציבות בעניין החישוב </w:t>
      </w:r>
      <w:r>
        <w:rPr>
          <w:rFonts w:cs="David" w:hint="cs"/>
          <w:rtl/>
        </w:rPr>
        <w:t>ראויות</w:t>
      </w:r>
      <w:r w:rsidR="00243547">
        <w:rPr>
          <w:rFonts w:cs="David" w:hint="cs"/>
          <w:rtl/>
        </w:rPr>
        <w:t xml:space="preserve"> לדיון וייתכן שלאו, נוכח העמדה שהציגה למערער בזמן אמת</w:t>
      </w:r>
      <w:r>
        <w:rPr>
          <w:rFonts w:cs="David" w:hint="cs"/>
          <w:rtl/>
        </w:rPr>
        <w:t xml:space="preserve"> וחובות תום הלב וההגינות המנהלית החלות עליה</w:t>
      </w:r>
      <w:r w:rsidR="00243547">
        <w:rPr>
          <w:rFonts w:cs="David" w:hint="cs"/>
          <w:rtl/>
        </w:rPr>
        <w:t xml:space="preserve">. דבר אחד ברור </w:t>
      </w:r>
      <w:r w:rsidR="00243547">
        <w:rPr>
          <w:rFonts w:cs="David"/>
          <w:rtl/>
        </w:rPr>
        <w:t>–</w:t>
      </w:r>
      <w:r w:rsidR="00243547">
        <w:rPr>
          <w:rFonts w:cs="David" w:hint="cs"/>
          <w:rtl/>
        </w:rPr>
        <w:t xml:space="preserve"> </w:t>
      </w:r>
      <w:r w:rsidR="00243547">
        <w:rPr>
          <w:rFonts w:cs="David" w:hint="cs"/>
          <w:b/>
          <w:bCs/>
          <w:rtl/>
        </w:rPr>
        <w:t xml:space="preserve">אין מדובר בטענות המצדיקות דחייה על הסף של התביעה, אלא </w:t>
      </w:r>
      <w:r>
        <w:rPr>
          <w:rFonts w:cs="David" w:hint="cs"/>
          <w:b/>
          <w:bCs/>
          <w:rtl/>
        </w:rPr>
        <w:t xml:space="preserve">לכל היותר </w:t>
      </w:r>
      <w:r w:rsidR="00243547">
        <w:rPr>
          <w:rFonts w:cs="David" w:hint="cs"/>
          <w:b/>
          <w:bCs/>
          <w:rtl/>
        </w:rPr>
        <w:t>טענות הראויות להתברר במסגרת התביעה בבית הדין קמא.</w:t>
      </w:r>
    </w:p>
    <w:p w:rsidR="003D0037" w:rsidRPr="003D0037" w:rsidRDefault="003D0037" w:rsidP="003D0037">
      <w:pPr>
        <w:tabs>
          <w:tab w:val="left" w:pos="566"/>
        </w:tabs>
        <w:spacing w:after="200" w:line="360" w:lineRule="auto"/>
        <w:ind w:left="566"/>
        <w:jc w:val="both"/>
        <w:rPr>
          <w:rFonts w:cs="David"/>
        </w:rPr>
      </w:pPr>
      <w:r w:rsidRPr="003D0037">
        <w:rPr>
          <w:rFonts w:cs="David" w:hint="cs"/>
          <w:rtl/>
        </w:rPr>
        <w:t xml:space="preserve">נדגיש כי </w:t>
      </w:r>
      <w:r w:rsidRPr="003D0037">
        <w:rPr>
          <w:rFonts w:cs="David" w:hint="cs"/>
          <w:b/>
          <w:bCs/>
          <w:rtl/>
        </w:rPr>
        <w:t xml:space="preserve">המדינה </w:t>
      </w:r>
      <w:r w:rsidRPr="003D0037">
        <w:rPr>
          <w:rFonts w:cs="David" w:hint="cs"/>
          <w:b/>
          <w:bCs/>
          <w:u w:val="single"/>
          <w:rtl/>
        </w:rPr>
        <w:t>לא</w:t>
      </w:r>
      <w:r w:rsidRPr="003D0037">
        <w:rPr>
          <w:rFonts w:cs="David" w:hint="cs"/>
          <w:b/>
          <w:bCs/>
          <w:rtl/>
        </w:rPr>
        <w:t xml:space="preserve"> הציגה נוהל פנימי ו/או מסמך אחר המציג את חלוקת הסמכויות בין הממונה על </w:t>
      </w:r>
      <w:proofErr w:type="spellStart"/>
      <w:r w:rsidRPr="003D0037">
        <w:rPr>
          <w:rFonts w:cs="David" w:hint="cs"/>
          <w:b/>
          <w:bCs/>
          <w:rtl/>
        </w:rPr>
        <w:t>הגימלאות</w:t>
      </w:r>
      <w:proofErr w:type="spellEnd"/>
      <w:r w:rsidRPr="003D0037">
        <w:rPr>
          <w:rFonts w:cs="David" w:hint="cs"/>
          <w:b/>
          <w:bCs/>
          <w:rtl/>
        </w:rPr>
        <w:t xml:space="preserve"> לנציבות שירות המדינה ולמשרד המעסיק את העובד</w:t>
      </w:r>
      <w:r w:rsidRPr="003D0037">
        <w:rPr>
          <w:rFonts w:cs="David" w:hint="cs"/>
          <w:rtl/>
        </w:rPr>
        <w:t>, ועל כן טענותיה בעניין זה אינן ברורות ואינן יושבות על קרקע מוצקה.</w:t>
      </w:r>
    </w:p>
    <w:p w:rsidR="003D0037" w:rsidRDefault="00EC4BD8" w:rsidP="007664B8">
      <w:pPr>
        <w:numPr>
          <w:ilvl w:val="0"/>
          <w:numId w:val="1"/>
        </w:numPr>
        <w:tabs>
          <w:tab w:val="left" w:pos="566"/>
        </w:tabs>
        <w:spacing w:after="200" w:line="360" w:lineRule="auto"/>
        <w:ind w:left="566" w:hanging="540"/>
        <w:jc w:val="both"/>
        <w:rPr>
          <w:rFonts w:cs="David"/>
        </w:rPr>
      </w:pPr>
      <w:r w:rsidRPr="003D0037">
        <w:rPr>
          <w:rFonts w:cs="David" w:hint="cs"/>
          <w:u w:val="single"/>
          <w:rtl/>
        </w:rPr>
        <w:t>לסיכום</w:t>
      </w:r>
      <w:r w:rsidRPr="003D0037">
        <w:rPr>
          <w:rFonts w:cs="David" w:hint="cs"/>
          <w:rtl/>
        </w:rPr>
        <w:t xml:space="preserve"> </w:t>
      </w:r>
      <w:r w:rsidRPr="003D0037">
        <w:rPr>
          <w:rFonts w:cs="David"/>
          <w:rtl/>
        </w:rPr>
        <w:t>–</w:t>
      </w:r>
      <w:r w:rsidR="003D0037" w:rsidRPr="003D0037">
        <w:rPr>
          <w:rFonts w:cs="David" w:hint="cs"/>
          <w:rtl/>
        </w:rPr>
        <w:t xml:space="preserve"> </w:t>
      </w:r>
      <w:r w:rsidR="003D0037" w:rsidRPr="007664B8">
        <w:rPr>
          <w:rFonts w:cs="David" w:hint="cs"/>
          <w:b/>
          <w:bCs/>
          <w:rtl/>
        </w:rPr>
        <w:t xml:space="preserve">נוסחת החישוב של </w:t>
      </w:r>
      <w:proofErr w:type="spellStart"/>
      <w:r w:rsidR="003D0037" w:rsidRPr="007664B8">
        <w:rPr>
          <w:rFonts w:cs="David" w:hint="cs"/>
          <w:b/>
          <w:bCs/>
          <w:rtl/>
        </w:rPr>
        <w:t>הגימלה</w:t>
      </w:r>
      <w:proofErr w:type="spellEnd"/>
      <w:r w:rsidR="003D0037" w:rsidRPr="007664B8">
        <w:rPr>
          <w:rFonts w:cs="David" w:hint="cs"/>
          <w:b/>
          <w:bCs/>
          <w:rtl/>
        </w:rPr>
        <w:t xml:space="preserve"> בוצעה בפועל על ידי נציבות שירות המדינה, וזכות התקיפה המשפטית של ההחלטה היא בהתאם לכללי ההתיישנות. קרי </w:t>
      </w:r>
      <w:r w:rsidR="003D0037" w:rsidRPr="007664B8">
        <w:rPr>
          <w:rFonts w:cs="David"/>
          <w:b/>
          <w:bCs/>
          <w:rtl/>
        </w:rPr>
        <w:t>–</w:t>
      </w:r>
      <w:r w:rsidR="003D0037" w:rsidRPr="007664B8">
        <w:rPr>
          <w:rFonts w:cs="David" w:hint="cs"/>
          <w:b/>
          <w:bCs/>
          <w:rtl/>
        </w:rPr>
        <w:t xml:space="preserve"> שבע שנים ממועד קבלת ההחלטה אצל המערער.</w:t>
      </w:r>
    </w:p>
    <w:p w:rsidR="007664B8" w:rsidRPr="007664B8" w:rsidRDefault="00EC4BD8" w:rsidP="007664B8">
      <w:pPr>
        <w:numPr>
          <w:ilvl w:val="0"/>
          <w:numId w:val="1"/>
        </w:numPr>
        <w:tabs>
          <w:tab w:val="left" w:pos="566"/>
        </w:tabs>
        <w:spacing w:after="200" w:line="360" w:lineRule="auto"/>
        <w:ind w:left="566" w:hanging="540"/>
        <w:jc w:val="both"/>
        <w:rPr>
          <w:rFonts w:cs="David"/>
        </w:rPr>
      </w:pPr>
      <w:r w:rsidRPr="007664B8">
        <w:rPr>
          <w:rFonts w:cs="David" w:hint="cs"/>
          <w:rtl/>
        </w:rPr>
        <w:t xml:space="preserve">בטרם נסיים נבקש להבהיר כי </w:t>
      </w:r>
      <w:r w:rsidR="007664B8" w:rsidRPr="007664B8">
        <w:rPr>
          <w:rFonts w:cs="David"/>
          <w:rtl/>
        </w:rPr>
        <w:t>–</w:t>
      </w:r>
    </w:p>
    <w:p w:rsidR="005F6BCB" w:rsidRDefault="00EC4BD8" w:rsidP="007664B8">
      <w:pPr>
        <w:pStyle w:val="af0"/>
        <w:numPr>
          <w:ilvl w:val="0"/>
          <w:numId w:val="16"/>
        </w:numPr>
        <w:tabs>
          <w:tab w:val="left" w:pos="566"/>
        </w:tabs>
        <w:spacing w:after="200" w:line="360" w:lineRule="auto"/>
        <w:contextualSpacing w:val="0"/>
        <w:jc w:val="both"/>
        <w:rPr>
          <w:rFonts w:cs="David"/>
          <w:sz w:val="24"/>
          <w:szCs w:val="24"/>
        </w:rPr>
      </w:pPr>
      <w:r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7664B8" w:rsidRPr="007664B8" w:rsidRDefault="007664B8" w:rsidP="007664B8">
      <w:pPr>
        <w:pStyle w:val="af0"/>
        <w:numPr>
          <w:ilvl w:val="0"/>
          <w:numId w:val="16"/>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בהתאם למפורט לעיל.</w:t>
      </w:r>
    </w:p>
    <w:p w:rsidR="001B35CE" w:rsidRPr="007664B8" w:rsidRDefault="001B35CE" w:rsidP="00243547">
      <w:pPr>
        <w:pStyle w:val="22"/>
        <w:tabs>
          <w:tab w:val="center" w:pos="-2268"/>
          <w:tab w:val="left" w:pos="631"/>
        </w:tabs>
        <w:spacing w:before="120"/>
        <w:ind w:left="0" w:right="0" w:firstLine="0"/>
        <w:rPr>
          <w:noProof w:val="0"/>
          <w:sz w:val="24"/>
          <w:rtl/>
        </w:rPr>
      </w:pPr>
    </w:p>
    <w:p w:rsidR="00EC4BD8" w:rsidRPr="00EC4BD8" w:rsidRDefault="003D0037" w:rsidP="003D0037">
      <w:pPr>
        <w:pStyle w:val="22"/>
        <w:tabs>
          <w:tab w:val="center" w:pos="-2268"/>
          <w:tab w:val="left" w:pos="584"/>
        </w:tabs>
        <w:spacing w:before="120" w:line="360" w:lineRule="auto"/>
        <w:ind w:left="0" w:right="0" w:firstLine="0"/>
        <w:rPr>
          <w:b/>
          <w:bCs/>
          <w:noProof w:val="0"/>
          <w:sz w:val="24"/>
          <w:rtl/>
        </w:rPr>
      </w:pPr>
      <w:r>
        <w:rPr>
          <w:b/>
          <w:bCs/>
          <w:noProof w:val="0"/>
          <w:sz w:val="24"/>
          <w:rtl/>
        </w:rPr>
        <w:tab/>
      </w:r>
      <w:r w:rsidR="00EC4BD8">
        <w:rPr>
          <w:rFonts w:hint="cs"/>
          <w:b/>
          <w:bCs/>
          <w:noProof w:val="0"/>
          <w:sz w:val="24"/>
          <w:rtl/>
        </w:rPr>
        <w:t>על כן מתבקש בית הדין הנכבד לקבל את הערעור, בהתאם לעמדה שהציג המערער במסגרת הדיונים שהתקיימו בבית הדין הנכבד</w:t>
      </w:r>
      <w:r>
        <w:rPr>
          <w:rFonts w:hint="cs"/>
          <w:b/>
          <w:bCs/>
          <w:noProof w:val="0"/>
          <w:sz w:val="24"/>
          <w:rtl/>
        </w:rPr>
        <w:t xml:space="preserve"> ביחס לרכיבי התביעה עליהם עומד המערער.</w:t>
      </w:r>
    </w:p>
    <w:p w:rsidR="001B35CE" w:rsidRDefault="001B35CE" w:rsidP="00111E77">
      <w:pPr>
        <w:pStyle w:val="22"/>
        <w:tabs>
          <w:tab w:val="center" w:pos="-2268"/>
          <w:tab w:val="left" w:pos="631"/>
        </w:tabs>
        <w:spacing w:before="120"/>
        <w:ind w:left="0" w:right="0" w:firstLine="0"/>
        <w:rPr>
          <w:b/>
          <w:bCs/>
          <w:noProof w:val="0"/>
          <w:rtl/>
        </w:rPr>
      </w:pPr>
    </w:p>
    <w:p w:rsidR="003D0037" w:rsidRDefault="003D0037" w:rsidP="00111E77">
      <w:pPr>
        <w:pStyle w:val="22"/>
        <w:tabs>
          <w:tab w:val="center" w:pos="-2268"/>
          <w:tab w:val="left" w:pos="631"/>
        </w:tabs>
        <w:spacing w:before="120"/>
        <w:ind w:left="0" w:right="0" w:firstLine="0"/>
        <w:rPr>
          <w:b/>
          <w:bCs/>
          <w:noProof w:val="0"/>
          <w:rtl/>
        </w:rPr>
      </w:pPr>
    </w:p>
    <w:p w:rsidR="00111E77" w:rsidRDefault="00111E77" w:rsidP="00036909">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sidR="00036909">
        <w:rPr>
          <w:rFonts w:hint="cs"/>
          <w:b/>
          <w:bCs/>
          <w:noProof w:val="0"/>
          <w:rtl/>
        </w:rPr>
        <w:t>22</w:t>
      </w:r>
      <w:r w:rsidRPr="00591BA0">
        <w:rPr>
          <w:b/>
          <w:bCs/>
          <w:noProof w:val="0"/>
          <w:rtl/>
        </w:rPr>
        <w:t xml:space="preserve"> </w:t>
      </w:r>
      <w:r w:rsidRPr="00591BA0">
        <w:rPr>
          <w:rFonts w:hint="eastAsia"/>
          <w:b/>
          <w:bCs/>
          <w:noProof w:val="0"/>
          <w:rtl/>
        </w:rPr>
        <w:t>ב</w:t>
      </w:r>
      <w:r w:rsidR="00036909">
        <w:rPr>
          <w:rFonts w:hint="cs"/>
          <w:b/>
          <w:bCs/>
          <w:noProof w:val="0"/>
          <w:rtl/>
        </w:rPr>
        <w:t>פברואר</w:t>
      </w:r>
      <w:r w:rsidRPr="00591BA0">
        <w:rPr>
          <w:b/>
          <w:bCs/>
          <w:noProof w:val="0"/>
          <w:rtl/>
        </w:rPr>
        <w:t xml:space="preserve"> 202</w:t>
      </w:r>
      <w:r w:rsidR="00FA3040">
        <w:rPr>
          <w:rFonts w:hint="cs"/>
          <w:b/>
          <w:bCs/>
          <w:noProof w:val="0"/>
          <w:rtl/>
        </w:rPr>
        <w:t>1</w:t>
      </w:r>
      <w:r w:rsidRPr="00591BA0">
        <w:rPr>
          <w:b/>
          <w:bCs/>
          <w:noProof w:val="0"/>
          <w:rtl/>
        </w:rPr>
        <w:t>.</w:t>
      </w:r>
    </w:p>
    <w:p w:rsidR="00FA3040" w:rsidRPr="00591BA0" w:rsidRDefault="00FA3040" w:rsidP="00FA3040">
      <w:pPr>
        <w:pStyle w:val="22"/>
        <w:tabs>
          <w:tab w:val="center" w:pos="-2268"/>
          <w:tab w:val="left" w:pos="631"/>
        </w:tabs>
        <w:spacing w:before="120"/>
        <w:ind w:left="0" w:right="0" w:firstLine="0"/>
        <w:rPr>
          <w:b/>
          <w:bCs/>
          <w:noProof w:val="0"/>
          <w:rtl/>
        </w:rPr>
      </w:pPr>
    </w:p>
    <w:p w:rsidR="00111E77" w:rsidRPr="00591BA0" w:rsidRDefault="00111E77" w:rsidP="00391641">
      <w:pPr>
        <w:pStyle w:val="2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391641">
      <w:pPr>
        <w:pStyle w:val="2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391641">
      <w:pPr>
        <w:pStyle w:val="2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sectPr w:rsidR="00111E77" w:rsidRPr="00591BA0" w:rsidSect="00834CC8">
      <w:headerReference w:type="even" r:id="rId11"/>
      <w:headerReference w:type="default" r:id="rId12"/>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C07" w:rsidRDefault="00C70C07">
      <w:r>
        <w:separator/>
      </w:r>
    </w:p>
  </w:endnote>
  <w:endnote w:type="continuationSeparator" w:id="0">
    <w:p w:rsidR="00C70C07" w:rsidRDefault="00C7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C07" w:rsidRDefault="00C70C07">
      <w:r>
        <w:separator/>
      </w:r>
    </w:p>
  </w:footnote>
  <w:footnote w:type="continuationSeparator" w:id="0">
    <w:p w:rsidR="00C70C07" w:rsidRDefault="00C70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370AE5">
      <w:rPr>
        <w:rStyle w:val="ac"/>
        <w:noProof/>
        <w:rtl/>
      </w:rPr>
      <w:t>3</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2"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83D37DB"/>
    <w:multiLevelType w:val="hybridMultilevel"/>
    <w:tmpl w:val="3E3606A6"/>
    <w:lvl w:ilvl="0" w:tplc="AF92249E">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6"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0"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B4729D5"/>
    <w:multiLevelType w:val="hybridMultilevel"/>
    <w:tmpl w:val="45788DD6"/>
    <w:lvl w:ilvl="0" w:tplc="BB067D2A">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2"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3" w15:restartNumberingAfterBreak="0">
    <w:nsid w:val="5DCF1431"/>
    <w:multiLevelType w:val="hybridMultilevel"/>
    <w:tmpl w:val="10F616E6"/>
    <w:lvl w:ilvl="0" w:tplc="F1422606">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4"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10"/>
  </w:num>
  <w:num w:numId="2">
    <w:abstractNumId w:val="2"/>
  </w:num>
  <w:num w:numId="3">
    <w:abstractNumId w:val="15"/>
  </w:num>
  <w:num w:numId="4">
    <w:abstractNumId w:val="8"/>
  </w:num>
  <w:num w:numId="5">
    <w:abstractNumId w:val="3"/>
  </w:num>
  <w:num w:numId="6">
    <w:abstractNumId w:val="14"/>
  </w:num>
  <w:num w:numId="7">
    <w:abstractNumId w:val="0"/>
  </w:num>
  <w:num w:numId="8">
    <w:abstractNumId w:val="9"/>
  </w:num>
  <w:num w:numId="9">
    <w:abstractNumId w:val="6"/>
  </w:num>
  <w:num w:numId="10">
    <w:abstractNumId w:val="4"/>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6CB7"/>
    <w:rsid w:val="000075A9"/>
    <w:rsid w:val="000117DD"/>
    <w:rsid w:val="0001738D"/>
    <w:rsid w:val="00021172"/>
    <w:rsid w:val="00021B25"/>
    <w:rsid w:val="00026909"/>
    <w:rsid w:val="000316EA"/>
    <w:rsid w:val="00034FF4"/>
    <w:rsid w:val="000354CC"/>
    <w:rsid w:val="00036909"/>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23AE"/>
    <w:rsid w:val="00093CA2"/>
    <w:rsid w:val="000947BF"/>
    <w:rsid w:val="00094868"/>
    <w:rsid w:val="0009486D"/>
    <w:rsid w:val="00094919"/>
    <w:rsid w:val="000A186D"/>
    <w:rsid w:val="000A29AB"/>
    <w:rsid w:val="000A34D5"/>
    <w:rsid w:val="000A3B87"/>
    <w:rsid w:val="000A76F3"/>
    <w:rsid w:val="000B20AC"/>
    <w:rsid w:val="000B2E51"/>
    <w:rsid w:val="000B480C"/>
    <w:rsid w:val="000B56AB"/>
    <w:rsid w:val="000B6FEB"/>
    <w:rsid w:val="000C0186"/>
    <w:rsid w:val="000C2393"/>
    <w:rsid w:val="000D0471"/>
    <w:rsid w:val="000D04D6"/>
    <w:rsid w:val="000D2DB0"/>
    <w:rsid w:val="000D6E0C"/>
    <w:rsid w:val="000E1EA5"/>
    <w:rsid w:val="000E2BCE"/>
    <w:rsid w:val="000E3AA3"/>
    <w:rsid w:val="000E4F5B"/>
    <w:rsid w:val="000E6472"/>
    <w:rsid w:val="000E68D8"/>
    <w:rsid w:val="000E73E3"/>
    <w:rsid w:val="000F33AE"/>
    <w:rsid w:val="000F3CD9"/>
    <w:rsid w:val="000F458D"/>
    <w:rsid w:val="000F6345"/>
    <w:rsid w:val="00100933"/>
    <w:rsid w:val="00100CC1"/>
    <w:rsid w:val="001075EC"/>
    <w:rsid w:val="00107887"/>
    <w:rsid w:val="00111E77"/>
    <w:rsid w:val="00112840"/>
    <w:rsid w:val="00113F7A"/>
    <w:rsid w:val="00114707"/>
    <w:rsid w:val="001170AA"/>
    <w:rsid w:val="00120EED"/>
    <w:rsid w:val="00121400"/>
    <w:rsid w:val="001216CF"/>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61CD"/>
    <w:rsid w:val="001A7C68"/>
    <w:rsid w:val="001B0526"/>
    <w:rsid w:val="001B0E0D"/>
    <w:rsid w:val="001B1104"/>
    <w:rsid w:val="001B21E4"/>
    <w:rsid w:val="001B35CE"/>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3547"/>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2EBB"/>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5F31"/>
    <w:rsid w:val="002D7E20"/>
    <w:rsid w:val="002E04F3"/>
    <w:rsid w:val="002E0CB3"/>
    <w:rsid w:val="002E0E44"/>
    <w:rsid w:val="002E2E0E"/>
    <w:rsid w:val="002E3A53"/>
    <w:rsid w:val="002E4E20"/>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0AE5"/>
    <w:rsid w:val="003715D5"/>
    <w:rsid w:val="003765AA"/>
    <w:rsid w:val="003766B4"/>
    <w:rsid w:val="00383382"/>
    <w:rsid w:val="003865E9"/>
    <w:rsid w:val="003905E5"/>
    <w:rsid w:val="0039100F"/>
    <w:rsid w:val="0039162B"/>
    <w:rsid w:val="00391641"/>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467F"/>
    <w:rsid w:val="003B5FF5"/>
    <w:rsid w:val="003B6C0C"/>
    <w:rsid w:val="003C2148"/>
    <w:rsid w:val="003D0037"/>
    <w:rsid w:val="003D096D"/>
    <w:rsid w:val="003D0FC2"/>
    <w:rsid w:val="003D1997"/>
    <w:rsid w:val="003D24EB"/>
    <w:rsid w:val="003D350E"/>
    <w:rsid w:val="003D3A1B"/>
    <w:rsid w:val="003D49C9"/>
    <w:rsid w:val="003D6F86"/>
    <w:rsid w:val="003D7E09"/>
    <w:rsid w:val="003D7F8B"/>
    <w:rsid w:val="003E0852"/>
    <w:rsid w:val="003E31CD"/>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0E5D"/>
    <w:rsid w:val="00441213"/>
    <w:rsid w:val="00442D10"/>
    <w:rsid w:val="00442D58"/>
    <w:rsid w:val="00442FD1"/>
    <w:rsid w:val="0044763B"/>
    <w:rsid w:val="004477BE"/>
    <w:rsid w:val="004513E5"/>
    <w:rsid w:val="00451BF7"/>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10B"/>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40D7"/>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51E8"/>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2C3E"/>
    <w:rsid w:val="005F3041"/>
    <w:rsid w:val="005F4293"/>
    <w:rsid w:val="005F4D25"/>
    <w:rsid w:val="005F6500"/>
    <w:rsid w:val="005F6BCB"/>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88D"/>
    <w:rsid w:val="007119FB"/>
    <w:rsid w:val="00712DA0"/>
    <w:rsid w:val="00713F69"/>
    <w:rsid w:val="00716815"/>
    <w:rsid w:val="0071685F"/>
    <w:rsid w:val="007172BD"/>
    <w:rsid w:val="007178EC"/>
    <w:rsid w:val="00721470"/>
    <w:rsid w:val="00722B5B"/>
    <w:rsid w:val="00726756"/>
    <w:rsid w:val="00727C38"/>
    <w:rsid w:val="00730EF4"/>
    <w:rsid w:val="0073109B"/>
    <w:rsid w:val="0073389D"/>
    <w:rsid w:val="00737F2D"/>
    <w:rsid w:val="00741204"/>
    <w:rsid w:val="00742FEB"/>
    <w:rsid w:val="00743BBB"/>
    <w:rsid w:val="00746414"/>
    <w:rsid w:val="0074668B"/>
    <w:rsid w:val="00746887"/>
    <w:rsid w:val="007478C0"/>
    <w:rsid w:val="007502FB"/>
    <w:rsid w:val="007525B9"/>
    <w:rsid w:val="007533B2"/>
    <w:rsid w:val="0076067F"/>
    <w:rsid w:val="00762F3B"/>
    <w:rsid w:val="00763B13"/>
    <w:rsid w:val="00764A6A"/>
    <w:rsid w:val="007664B8"/>
    <w:rsid w:val="00767AE5"/>
    <w:rsid w:val="00771425"/>
    <w:rsid w:val="0078574C"/>
    <w:rsid w:val="0078605A"/>
    <w:rsid w:val="00794A53"/>
    <w:rsid w:val="007965C8"/>
    <w:rsid w:val="007A204F"/>
    <w:rsid w:val="007A2912"/>
    <w:rsid w:val="007A2F87"/>
    <w:rsid w:val="007A4548"/>
    <w:rsid w:val="007A660E"/>
    <w:rsid w:val="007B1E48"/>
    <w:rsid w:val="007B3EED"/>
    <w:rsid w:val="007B44A5"/>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9F0"/>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48A1"/>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8F76E0"/>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35871"/>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6CB"/>
    <w:rsid w:val="00BF5EB8"/>
    <w:rsid w:val="00C00281"/>
    <w:rsid w:val="00C00B4D"/>
    <w:rsid w:val="00C01CE5"/>
    <w:rsid w:val="00C029C5"/>
    <w:rsid w:val="00C030A9"/>
    <w:rsid w:val="00C03C6A"/>
    <w:rsid w:val="00C043D5"/>
    <w:rsid w:val="00C0656C"/>
    <w:rsid w:val="00C107E9"/>
    <w:rsid w:val="00C145FB"/>
    <w:rsid w:val="00C14753"/>
    <w:rsid w:val="00C15510"/>
    <w:rsid w:val="00C1588C"/>
    <w:rsid w:val="00C159E8"/>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67A63"/>
    <w:rsid w:val="00C70C07"/>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4579"/>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422F"/>
    <w:rsid w:val="00DB6A63"/>
    <w:rsid w:val="00DB7112"/>
    <w:rsid w:val="00DC077C"/>
    <w:rsid w:val="00DC132A"/>
    <w:rsid w:val="00DC14E2"/>
    <w:rsid w:val="00DC34C3"/>
    <w:rsid w:val="00DC452A"/>
    <w:rsid w:val="00DC6713"/>
    <w:rsid w:val="00DD7205"/>
    <w:rsid w:val="00DD7305"/>
    <w:rsid w:val="00DD74C8"/>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41BF"/>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3EE7"/>
    <w:rsid w:val="00E948FB"/>
    <w:rsid w:val="00E953DE"/>
    <w:rsid w:val="00E974F5"/>
    <w:rsid w:val="00EA0756"/>
    <w:rsid w:val="00EB06C7"/>
    <w:rsid w:val="00EB3925"/>
    <w:rsid w:val="00EB3F2E"/>
    <w:rsid w:val="00EB764F"/>
    <w:rsid w:val="00EB7DEA"/>
    <w:rsid w:val="00EC132D"/>
    <w:rsid w:val="00EC4280"/>
    <w:rsid w:val="00EC4BD8"/>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5D05"/>
    <w:rsid w:val="00EE626C"/>
    <w:rsid w:val="00EE6F2E"/>
    <w:rsid w:val="00EF1C17"/>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7AC"/>
    <w:rsid w:val="00FA2BB7"/>
    <w:rsid w:val="00FA3040"/>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938101160">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FE1C5-51C4-40EA-996F-1745F470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1155</Words>
  <Characters>5779</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2020-12-30T10:56:00Z</cp:lastPrinted>
  <dcterms:created xsi:type="dcterms:W3CDTF">2021-02-16T10:26:00Z</dcterms:created>
  <dcterms:modified xsi:type="dcterms:W3CDTF">2021-02-16T10:26:00Z</dcterms:modified>
</cp:coreProperties>
</file>