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D16" w:rsidRDefault="00502D16" w:rsidP="004424C3">
      <w:pPr>
        <w:jc w:val="center"/>
        <w:rPr>
          <w:b/>
          <w:bCs/>
          <w:i/>
          <w:iCs/>
          <w:sz w:val="24"/>
          <w:szCs w:val="24"/>
          <w:u w:val="single"/>
          <w:rtl/>
        </w:rPr>
      </w:pPr>
      <w:r w:rsidRPr="00551693">
        <w:rPr>
          <w:rFonts w:hint="cs"/>
          <w:b/>
          <w:bCs/>
          <w:i/>
          <w:iCs/>
          <w:sz w:val="24"/>
          <w:szCs w:val="24"/>
          <w:u w:val="single"/>
          <w:rtl/>
        </w:rPr>
        <w:t>הערות לפסה"ד בית הדין האזורי לעבודה</w:t>
      </w:r>
      <w:r w:rsidRPr="004424C3">
        <w:rPr>
          <w:rFonts w:hint="cs"/>
          <w:b/>
          <w:bCs/>
          <w:i/>
          <w:iCs/>
          <w:sz w:val="24"/>
          <w:szCs w:val="24"/>
          <w:rtl/>
        </w:rPr>
        <w:t xml:space="preserve">  </w:t>
      </w:r>
      <w:r w:rsidRPr="00551693">
        <w:rPr>
          <w:rFonts w:hint="cs"/>
          <w:b/>
          <w:bCs/>
          <w:i/>
          <w:iCs/>
          <w:sz w:val="24"/>
          <w:szCs w:val="24"/>
          <w:u w:val="single"/>
          <w:rtl/>
        </w:rPr>
        <w:t xml:space="preserve"> סע"ש 6928-10-19</w:t>
      </w:r>
      <w:r w:rsidRPr="004424C3">
        <w:rPr>
          <w:rFonts w:hint="cs"/>
          <w:b/>
          <w:bCs/>
          <w:i/>
          <w:iCs/>
          <w:sz w:val="24"/>
          <w:szCs w:val="24"/>
          <w:rtl/>
        </w:rPr>
        <w:t xml:space="preserve">   </w:t>
      </w:r>
      <w:r w:rsidRPr="00551693">
        <w:rPr>
          <w:rFonts w:hint="cs"/>
          <w:b/>
          <w:bCs/>
          <w:i/>
          <w:iCs/>
          <w:sz w:val="24"/>
          <w:szCs w:val="24"/>
          <w:u w:val="single"/>
          <w:rtl/>
        </w:rPr>
        <w:t>מיום 31.5.2020</w:t>
      </w:r>
    </w:p>
    <w:p w:rsidR="00502D16" w:rsidRPr="00020EB5" w:rsidRDefault="00502D16" w:rsidP="00502D16">
      <w:pPr>
        <w:jc w:val="right"/>
        <w:rPr>
          <w:b/>
          <w:bCs/>
          <w:i/>
          <w:iCs/>
          <w:sz w:val="24"/>
          <w:szCs w:val="24"/>
          <w:u w:val="single"/>
          <w:rtl/>
        </w:rPr>
      </w:pPr>
    </w:p>
    <w:p w:rsidR="00502D16" w:rsidRPr="00020EB5" w:rsidRDefault="00502D16" w:rsidP="00502D16">
      <w:pPr>
        <w:jc w:val="both"/>
        <w:rPr>
          <w:b/>
          <w:bCs/>
          <w:sz w:val="24"/>
          <w:szCs w:val="24"/>
          <w:u w:val="single"/>
          <w:rtl/>
        </w:rPr>
      </w:pPr>
      <w:r w:rsidRPr="00020EB5">
        <w:rPr>
          <w:rFonts w:hint="cs"/>
          <w:b/>
          <w:bCs/>
          <w:sz w:val="24"/>
          <w:szCs w:val="24"/>
          <w:u w:val="single"/>
          <w:rtl/>
        </w:rPr>
        <w:t>א: התביעה להפרת חוזה הבכירים</w:t>
      </w:r>
    </w:p>
    <w:p w:rsidR="00502D16" w:rsidRDefault="00502D16" w:rsidP="00502D16">
      <w:pPr>
        <w:pStyle w:val="a3"/>
        <w:numPr>
          <w:ilvl w:val="0"/>
          <w:numId w:val="1"/>
        </w:numPr>
        <w:ind w:left="84"/>
        <w:jc w:val="both"/>
      </w:pPr>
      <w:r>
        <w:rPr>
          <w:rFonts w:hint="cs"/>
          <w:b/>
          <w:bCs/>
          <w:u w:val="single"/>
          <w:rtl/>
        </w:rPr>
        <w:t xml:space="preserve">איזון בין זכות גישה לערכאות - </w:t>
      </w:r>
      <w:r w:rsidRPr="008B6031">
        <w:rPr>
          <w:rFonts w:hint="cs"/>
          <w:b/>
          <w:bCs/>
          <w:u w:val="single"/>
          <w:rtl/>
        </w:rPr>
        <w:t>התישנות</w:t>
      </w:r>
      <w:r w:rsidRPr="008B6031">
        <w:rPr>
          <w:rFonts w:hint="cs"/>
          <w:u w:val="single"/>
          <w:rtl/>
        </w:rPr>
        <w:t xml:space="preserve"> </w:t>
      </w:r>
      <w:r w:rsidRPr="008B6031">
        <w:rPr>
          <w:rFonts w:hint="cs"/>
          <w:b/>
          <w:bCs/>
          <w:u w:val="single"/>
          <w:rtl/>
        </w:rPr>
        <w:t>ושיהוי</w:t>
      </w:r>
    </w:p>
    <w:p w:rsidR="00502D16" w:rsidRPr="00502D16" w:rsidRDefault="00502D16" w:rsidP="00502D16">
      <w:pPr>
        <w:pStyle w:val="a3"/>
        <w:ind w:left="84"/>
        <w:jc w:val="both"/>
        <w:rPr>
          <w:rFonts w:cs="David"/>
          <w:sz w:val="24"/>
          <w:szCs w:val="24"/>
          <w:rtl/>
        </w:rPr>
      </w:pPr>
      <w:r w:rsidRPr="00502D16">
        <w:rPr>
          <w:rFonts w:cs="David" w:hint="cs"/>
          <w:sz w:val="24"/>
          <w:szCs w:val="24"/>
          <w:rtl/>
        </w:rPr>
        <w:t xml:space="preserve">בפיסקה הראשונה לדיון המשפטי בפסה"ד (פיסקה 19) </w:t>
      </w:r>
      <w:r w:rsidRPr="00502D16">
        <w:rPr>
          <w:rFonts w:cs="David"/>
          <w:sz w:val="24"/>
          <w:szCs w:val="24"/>
          <w:rtl/>
        </w:rPr>
        <w:t>–</w:t>
      </w:r>
      <w:r w:rsidRPr="00502D16">
        <w:rPr>
          <w:rFonts w:cs="David" w:hint="cs"/>
          <w:sz w:val="24"/>
          <w:szCs w:val="24"/>
          <w:rtl/>
        </w:rPr>
        <w:t xml:space="preserve">מאשר בית הדין ומכיר בחובתו לנקוט "משנה זהירות" במתן סעד של דחיה על הסף וכי "על בית-המשפט להכריע בסוגיה </w:t>
      </w:r>
      <w:r w:rsidRPr="00502D16">
        <w:rPr>
          <w:rFonts w:cs="David" w:hint="cs"/>
          <w:b/>
          <w:bCs/>
          <w:sz w:val="24"/>
          <w:szCs w:val="24"/>
          <w:rtl/>
        </w:rPr>
        <w:t>תוך עריכת איזון</w:t>
      </w:r>
      <w:r w:rsidRPr="00502D16">
        <w:rPr>
          <w:rFonts w:cs="David" w:hint="cs"/>
          <w:sz w:val="24"/>
          <w:szCs w:val="24"/>
          <w:rtl/>
        </w:rPr>
        <w:t xml:space="preserve"> בין זכות התובע לגישה לערכאות כזכות בעלת אופי חוקתי לבין התכלית והטעמים שבבסיס מוסד ההתיישנו</w:t>
      </w:r>
      <w:r w:rsidRPr="00502D16">
        <w:rPr>
          <w:rFonts w:cs="David" w:hint="eastAsia"/>
          <w:sz w:val="24"/>
          <w:szCs w:val="24"/>
          <w:rtl/>
        </w:rPr>
        <w:t>ת</w:t>
      </w:r>
      <w:r w:rsidRPr="00502D16">
        <w:rPr>
          <w:rFonts w:cs="David" w:hint="cs"/>
          <w:sz w:val="24"/>
          <w:szCs w:val="24"/>
          <w:rtl/>
        </w:rPr>
        <w:t>",</w:t>
      </w:r>
    </w:p>
    <w:p w:rsidR="00502D16" w:rsidRPr="00502D16" w:rsidRDefault="00502D16" w:rsidP="00502D16">
      <w:pPr>
        <w:jc w:val="both"/>
        <w:rPr>
          <w:rFonts w:cs="David"/>
          <w:sz w:val="24"/>
          <w:szCs w:val="24"/>
          <w:rtl/>
        </w:rPr>
      </w:pPr>
      <w:r w:rsidRPr="00502D16">
        <w:rPr>
          <w:rFonts w:cs="David" w:hint="cs"/>
          <w:sz w:val="24"/>
          <w:szCs w:val="24"/>
          <w:rtl/>
        </w:rPr>
        <w:t>כבר מקריאת הקטע השני באותה פיסקה עולה שאפילו אם היה בסיס לטיעונים על התיישנו</w:t>
      </w:r>
      <w:r w:rsidRPr="00502D16">
        <w:rPr>
          <w:rFonts w:cs="David" w:hint="eastAsia"/>
          <w:sz w:val="24"/>
          <w:szCs w:val="24"/>
          <w:rtl/>
        </w:rPr>
        <w:t>ת</w:t>
      </w:r>
      <w:r w:rsidRPr="00502D16">
        <w:rPr>
          <w:rFonts w:cs="David" w:hint="cs"/>
          <w:sz w:val="24"/>
          <w:szCs w:val="24"/>
          <w:rtl/>
        </w:rPr>
        <w:t xml:space="preserve"> ושיהוי, בית הדין עצמו, מנסח סידרה של נימוקים להגשת עירעור על החלטתו לדחית התביעה על הסף ולו רק על בסיס של חוסר איזון קיצוני בין "הזכות בעלת אופי חוקתי" שלי כתובע  לבין הנקודות שבית הדין מציין, כנקודות המצדיקות עקרונית את ההחלטה על דחיה על הסף: </w:t>
      </w:r>
    </w:p>
    <w:p w:rsidR="00502D16" w:rsidRPr="00502D16" w:rsidRDefault="00502D16" w:rsidP="00502D16">
      <w:pPr>
        <w:jc w:val="both"/>
        <w:rPr>
          <w:rFonts w:cs="David"/>
          <w:sz w:val="24"/>
          <w:szCs w:val="24"/>
          <w:rtl/>
        </w:rPr>
      </w:pPr>
      <w:r w:rsidRPr="00502D16">
        <w:rPr>
          <w:rFonts w:cs="David" w:hint="cs"/>
          <w:sz w:val="24"/>
          <w:szCs w:val="24"/>
          <w:rtl/>
        </w:rPr>
        <w:t xml:space="preserve">   * </w:t>
      </w:r>
      <w:r w:rsidRPr="00502D16">
        <w:rPr>
          <w:rFonts w:cs="David" w:hint="cs"/>
          <w:b/>
          <w:bCs/>
          <w:sz w:val="24"/>
          <w:szCs w:val="24"/>
          <w:rtl/>
        </w:rPr>
        <w:t>"נזק ראייתי לנתבעים"</w:t>
      </w:r>
      <w:r w:rsidRPr="00502D16">
        <w:rPr>
          <w:rFonts w:cs="David" w:hint="cs"/>
          <w:sz w:val="24"/>
          <w:szCs w:val="24"/>
          <w:rtl/>
        </w:rPr>
        <w:t>- אין. (נוסח והוסבר יפה בסעיף 41 לתגובה לבקשת הדחיה על הסף).</w:t>
      </w:r>
    </w:p>
    <w:p w:rsidR="00502D16" w:rsidRPr="00502D16" w:rsidRDefault="00502D16" w:rsidP="00502D16">
      <w:pPr>
        <w:ind w:left="226" w:hanging="226"/>
        <w:jc w:val="both"/>
        <w:rPr>
          <w:rFonts w:cs="David"/>
          <w:sz w:val="24"/>
          <w:szCs w:val="24"/>
          <w:rtl/>
        </w:rPr>
      </w:pPr>
      <w:r w:rsidRPr="00502D16">
        <w:rPr>
          <w:rFonts w:cs="David" w:hint="cs"/>
          <w:sz w:val="24"/>
          <w:szCs w:val="24"/>
          <w:rtl/>
        </w:rPr>
        <w:t xml:space="preserve">   * </w:t>
      </w:r>
      <w:r w:rsidRPr="00502D16">
        <w:rPr>
          <w:rFonts w:cs="David" w:hint="cs"/>
          <w:b/>
          <w:bCs/>
          <w:sz w:val="24"/>
          <w:szCs w:val="24"/>
          <w:rtl/>
        </w:rPr>
        <w:t>ההנחה שהתובע "ישן על זכויותיו</w:t>
      </w:r>
      <w:r w:rsidRPr="00502D16">
        <w:rPr>
          <w:rFonts w:cs="David" w:hint="cs"/>
          <w:sz w:val="24"/>
          <w:szCs w:val="24"/>
          <w:rtl/>
        </w:rPr>
        <w:t xml:space="preserve">" </w:t>
      </w:r>
      <w:r w:rsidRPr="00502D16">
        <w:rPr>
          <w:rFonts w:cs="David"/>
          <w:sz w:val="24"/>
          <w:szCs w:val="24"/>
          <w:rtl/>
        </w:rPr>
        <w:t>–</w:t>
      </w:r>
      <w:r w:rsidRPr="00502D16">
        <w:rPr>
          <w:rFonts w:cs="David" w:hint="cs"/>
          <w:sz w:val="24"/>
          <w:szCs w:val="24"/>
          <w:rtl/>
        </w:rPr>
        <w:t xml:space="preserve"> היא חסרת שחר, לאור אין ספור פניות בע"פ, בכתב, לכל גורם אפשרי וע"פ הנחיות ובתיאום עם הנתבעים כמתואר בפרק ב.8 לכתב התביעה ובפיסקא</w:t>
      </w:r>
      <w:r w:rsidR="008A0543">
        <w:rPr>
          <w:rFonts w:cs="David" w:hint="cs"/>
          <w:sz w:val="24"/>
          <w:szCs w:val="24"/>
          <w:rtl/>
        </w:rPr>
        <w:t xml:space="preserve">ות </w:t>
      </w:r>
      <w:r w:rsidRPr="00502D16">
        <w:rPr>
          <w:rFonts w:cs="David" w:hint="cs"/>
          <w:sz w:val="24"/>
          <w:szCs w:val="24"/>
          <w:rtl/>
        </w:rPr>
        <w:t xml:space="preserve"> 4</w:t>
      </w:r>
      <w:r w:rsidR="008A0543">
        <w:rPr>
          <w:rFonts w:cs="David" w:hint="cs"/>
          <w:sz w:val="24"/>
          <w:szCs w:val="24"/>
          <w:rtl/>
        </w:rPr>
        <w:t xml:space="preserve"> ו-40</w:t>
      </w:r>
      <w:r w:rsidRPr="00502D16">
        <w:rPr>
          <w:rFonts w:cs="David" w:hint="cs"/>
          <w:sz w:val="24"/>
          <w:szCs w:val="24"/>
          <w:rtl/>
        </w:rPr>
        <w:t xml:space="preserve"> ו</w:t>
      </w:r>
      <w:r w:rsidR="008A0543">
        <w:rPr>
          <w:rFonts w:cs="David" w:hint="cs"/>
          <w:sz w:val="24"/>
          <w:szCs w:val="24"/>
          <w:rtl/>
        </w:rPr>
        <w:t>ב</w:t>
      </w:r>
      <w:r w:rsidRPr="00502D16">
        <w:rPr>
          <w:rFonts w:cs="David" w:hint="cs"/>
          <w:sz w:val="24"/>
          <w:szCs w:val="24"/>
          <w:rtl/>
        </w:rPr>
        <w:t>פרק ה.1 לתגובה לבקשה לדחיה על הסף.</w:t>
      </w:r>
    </w:p>
    <w:p w:rsidR="00502D16" w:rsidRPr="00502D16" w:rsidRDefault="00502D16" w:rsidP="004D6F2E">
      <w:pPr>
        <w:ind w:left="226" w:hanging="226"/>
        <w:jc w:val="both"/>
        <w:rPr>
          <w:rFonts w:cs="David"/>
          <w:sz w:val="24"/>
          <w:szCs w:val="24"/>
          <w:rtl/>
        </w:rPr>
      </w:pPr>
      <w:r w:rsidRPr="00502D16">
        <w:rPr>
          <w:rFonts w:cs="David" w:hint="cs"/>
          <w:sz w:val="24"/>
          <w:szCs w:val="24"/>
          <w:rtl/>
        </w:rPr>
        <w:t xml:space="preserve">     יודגש כי כאמור בפיסקא 45 </w:t>
      </w:r>
      <w:r w:rsidR="004D6F2E">
        <w:rPr>
          <w:rFonts w:cs="David" w:hint="cs"/>
          <w:sz w:val="24"/>
          <w:szCs w:val="24"/>
          <w:rtl/>
        </w:rPr>
        <w:t xml:space="preserve">לכתב התביעה, </w:t>
      </w:r>
      <w:r w:rsidRPr="00502D16">
        <w:rPr>
          <w:rFonts w:cs="David" w:hint="cs"/>
          <w:sz w:val="24"/>
          <w:szCs w:val="24"/>
          <w:rtl/>
        </w:rPr>
        <w:t>מדובר בעשרות רבות של פניות, בע"פ ובכתב, אך מאחר ומרכיב זה היה רק הגורם לצורך להזקק לערכאות ולא עמד בליבת התביעה, לא פורטו בכתב התביעה כל  ההתכתבויות וההוכחות לכך וכמצוין במפורש באותה פיסקא, רק כדי ש"לא להלאות את בית הדין הנכבד ....</w:t>
      </w:r>
      <w:r w:rsidRPr="00CF153D">
        <w:rPr>
          <w:rFonts w:cs="David" w:hint="cs"/>
          <w:b/>
          <w:bCs/>
          <w:sz w:val="24"/>
          <w:szCs w:val="24"/>
          <w:u w:val="single"/>
          <w:rtl/>
        </w:rPr>
        <w:t>בשלב זה</w:t>
      </w:r>
      <w:r w:rsidRPr="00CF153D">
        <w:rPr>
          <w:rFonts w:cs="David" w:hint="cs"/>
          <w:sz w:val="24"/>
          <w:szCs w:val="24"/>
          <w:u w:val="single"/>
          <w:rtl/>
        </w:rPr>
        <w:t xml:space="preserve"> במסגרת כתב התביעה</w:t>
      </w:r>
      <w:r w:rsidRPr="00502D16">
        <w:rPr>
          <w:rFonts w:cs="David" w:hint="cs"/>
          <w:sz w:val="24"/>
          <w:szCs w:val="24"/>
          <w:rtl/>
        </w:rPr>
        <w:t xml:space="preserve">". </w:t>
      </w:r>
    </w:p>
    <w:p w:rsidR="00502D16" w:rsidRPr="00502D16" w:rsidRDefault="00502D16" w:rsidP="00502D16">
      <w:pPr>
        <w:ind w:left="226" w:hanging="226"/>
        <w:jc w:val="both"/>
        <w:rPr>
          <w:rFonts w:cs="David"/>
          <w:sz w:val="24"/>
          <w:szCs w:val="24"/>
          <w:rtl/>
        </w:rPr>
      </w:pPr>
      <w:r w:rsidRPr="00502D16">
        <w:rPr>
          <w:rFonts w:cs="David" w:hint="cs"/>
          <w:sz w:val="24"/>
          <w:szCs w:val="24"/>
          <w:rtl/>
        </w:rPr>
        <w:t xml:space="preserve">     מובן מאליו שאילו התקיים דיון בפני בית הדין היו כמובן כל הפניות וההתכתבויות המוכיחות את טענותינו מפורטות ומוצגות במלואן. מצער הדבר שבבואו לבחון את האיזון התעלם בית הדין מכך שהתובע הבהיר ש"לא ישן על זכויותיו" ובית הדין לא ביקש לראות את </w:t>
      </w:r>
      <w:r w:rsidR="004D6F2E">
        <w:rPr>
          <w:rFonts w:cs="David" w:hint="cs"/>
          <w:sz w:val="24"/>
          <w:szCs w:val="24"/>
          <w:rtl/>
        </w:rPr>
        <w:t xml:space="preserve">כל </w:t>
      </w:r>
      <w:r w:rsidRPr="00502D16">
        <w:rPr>
          <w:rFonts w:cs="David" w:hint="cs"/>
          <w:sz w:val="24"/>
          <w:szCs w:val="24"/>
          <w:rtl/>
        </w:rPr>
        <w:t xml:space="preserve">המסמכים וההוכחות לכך.  </w:t>
      </w:r>
    </w:p>
    <w:p w:rsidR="00502D16" w:rsidRPr="00502D16" w:rsidRDefault="00502D16" w:rsidP="00502D16">
      <w:pPr>
        <w:ind w:left="226" w:hanging="142"/>
        <w:jc w:val="both"/>
        <w:rPr>
          <w:rFonts w:cs="David"/>
          <w:sz w:val="24"/>
          <w:szCs w:val="24"/>
          <w:rtl/>
        </w:rPr>
      </w:pPr>
      <w:r w:rsidRPr="00502D16">
        <w:rPr>
          <w:rFonts w:cs="David" w:hint="cs"/>
          <w:sz w:val="24"/>
          <w:szCs w:val="24"/>
          <w:rtl/>
        </w:rPr>
        <w:t xml:space="preserve">  * </w:t>
      </w:r>
      <w:r w:rsidRPr="00502D16">
        <w:rPr>
          <w:rFonts w:cs="David" w:hint="cs"/>
          <w:b/>
          <w:bCs/>
          <w:sz w:val="24"/>
          <w:szCs w:val="24"/>
          <w:rtl/>
        </w:rPr>
        <w:t>להנחה ש"התובע ויתר ומחל על זכויותיו"</w:t>
      </w:r>
      <w:r w:rsidRPr="00502D16">
        <w:rPr>
          <w:rFonts w:cs="David" w:hint="cs"/>
          <w:sz w:val="24"/>
          <w:szCs w:val="24"/>
          <w:rtl/>
        </w:rPr>
        <w:t xml:space="preserve"> אין קשר למציאות: </w:t>
      </w:r>
      <w:r w:rsidRPr="00502D16">
        <w:rPr>
          <w:rFonts w:cs="David" w:hint="cs"/>
          <w:b/>
          <w:bCs/>
          <w:sz w:val="24"/>
          <w:szCs w:val="24"/>
          <w:rtl/>
        </w:rPr>
        <w:t>הנתבעים ידעו ולכולם היה ברור  שהתובע לא ישן על זכויותיו, לא ויתר ולא מחל עליהם</w:t>
      </w:r>
      <w:r w:rsidRPr="00502D16">
        <w:rPr>
          <w:rFonts w:cs="David" w:hint="cs"/>
          <w:sz w:val="24"/>
          <w:szCs w:val="24"/>
          <w:rtl/>
        </w:rPr>
        <w:t xml:space="preserve"> המסמכים וההוכחות היו כמובן מוצגים בפירוט רב לבית הדין במהלך הדיונים בתביעה כאמור לעיל.   </w:t>
      </w:r>
    </w:p>
    <w:p w:rsidR="004D6F2E" w:rsidRDefault="00502D16" w:rsidP="009B7BC4">
      <w:pPr>
        <w:spacing w:after="0"/>
        <w:ind w:left="227" w:hanging="227"/>
        <w:jc w:val="both"/>
        <w:rPr>
          <w:rFonts w:cs="David"/>
          <w:sz w:val="24"/>
          <w:szCs w:val="24"/>
          <w:rtl/>
        </w:rPr>
      </w:pPr>
      <w:r w:rsidRPr="00502D16">
        <w:rPr>
          <w:rFonts w:cs="David" w:hint="cs"/>
          <w:sz w:val="24"/>
          <w:szCs w:val="24"/>
          <w:rtl/>
        </w:rPr>
        <w:t xml:space="preserve">    * </w:t>
      </w:r>
      <w:r w:rsidRPr="00502D16">
        <w:rPr>
          <w:rFonts w:cs="David" w:hint="cs"/>
          <w:b/>
          <w:bCs/>
          <w:sz w:val="24"/>
          <w:szCs w:val="24"/>
          <w:rtl/>
        </w:rPr>
        <w:t>הצורך "לברר תביעות תוך זמן סביר</w:t>
      </w:r>
      <w:r w:rsidRPr="00502D16">
        <w:rPr>
          <w:rFonts w:cs="David" w:hint="cs"/>
          <w:sz w:val="24"/>
          <w:szCs w:val="24"/>
          <w:rtl/>
        </w:rPr>
        <w:t xml:space="preserve">" איננו רק "צורך חברתי" שעל התובע לדאוג לו אלא </w:t>
      </w:r>
      <w:r w:rsidRPr="00502D16">
        <w:rPr>
          <w:rFonts w:cs="David" w:hint="cs"/>
          <w:b/>
          <w:bCs/>
          <w:sz w:val="24"/>
          <w:szCs w:val="24"/>
          <w:rtl/>
        </w:rPr>
        <w:t>חובה חוקית ומינהלית המוטלת בעיקר על הנתבעים</w:t>
      </w:r>
      <w:r w:rsidRPr="00502D16">
        <w:rPr>
          <w:rFonts w:cs="David" w:hint="cs"/>
          <w:sz w:val="24"/>
          <w:szCs w:val="24"/>
          <w:rtl/>
        </w:rPr>
        <w:t>, שבזדון לא מילאו אחריה</w:t>
      </w:r>
      <w:r w:rsidR="00FC483A">
        <w:rPr>
          <w:rFonts w:cs="David" w:hint="cs"/>
          <w:sz w:val="24"/>
          <w:szCs w:val="24"/>
          <w:rtl/>
        </w:rPr>
        <w:t xml:space="preserve"> (פסקאות 3</w:t>
      </w:r>
      <w:r w:rsidR="0090256B">
        <w:rPr>
          <w:rFonts w:cs="David" w:hint="cs"/>
          <w:sz w:val="24"/>
          <w:szCs w:val="24"/>
          <w:rtl/>
        </w:rPr>
        <w:t>5</w:t>
      </w:r>
      <w:r w:rsidR="00FC483A">
        <w:rPr>
          <w:rFonts w:cs="David" w:hint="cs"/>
          <w:sz w:val="24"/>
          <w:szCs w:val="24"/>
          <w:rtl/>
        </w:rPr>
        <w:t xml:space="preserve">-38 </w:t>
      </w:r>
      <w:r w:rsidR="009B7BC4">
        <w:rPr>
          <w:rFonts w:cs="David" w:hint="cs"/>
          <w:sz w:val="24"/>
          <w:szCs w:val="24"/>
          <w:rtl/>
        </w:rPr>
        <w:t xml:space="preserve">ו-44 </w:t>
      </w:r>
      <w:r w:rsidR="00FC483A">
        <w:rPr>
          <w:rFonts w:cs="David" w:hint="cs"/>
          <w:sz w:val="24"/>
          <w:szCs w:val="24"/>
          <w:rtl/>
        </w:rPr>
        <w:t>בתשובה לבקשה לדחיה על הסף, בהמשך ל</w:t>
      </w:r>
      <w:r w:rsidR="0090256B">
        <w:rPr>
          <w:rFonts w:cs="David" w:hint="cs"/>
          <w:sz w:val="24"/>
          <w:szCs w:val="24"/>
          <w:rtl/>
        </w:rPr>
        <w:t>מפורט  בכתב התביעה).</w:t>
      </w:r>
    </w:p>
    <w:p w:rsidR="00502D16" w:rsidRPr="004D6F2E" w:rsidRDefault="00502D16" w:rsidP="00502D16">
      <w:pPr>
        <w:spacing w:after="0"/>
        <w:ind w:left="227" w:hanging="227"/>
        <w:jc w:val="both"/>
        <w:rPr>
          <w:rFonts w:cs="David"/>
          <w:sz w:val="6"/>
          <w:szCs w:val="6"/>
          <w:rtl/>
        </w:rPr>
      </w:pPr>
      <w:r w:rsidRPr="00502D16">
        <w:rPr>
          <w:rFonts w:cs="David" w:hint="cs"/>
          <w:sz w:val="24"/>
          <w:szCs w:val="24"/>
          <w:rtl/>
        </w:rPr>
        <w:t xml:space="preserve"> </w:t>
      </w:r>
    </w:p>
    <w:p w:rsidR="00502D16" w:rsidRPr="004D6F2E" w:rsidRDefault="00502D16" w:rsidP="00502D16">
      <w:pPr>
        <w:spacing w:after="0"/>
        <w:ind w:left="227" w:hanging="227"/>
        <w:jc w:val="both"/>
        <w:rPr>
          <w:rFonts w:cs="David"/>
          <w:rtl/>
        </w:rPr>
      </w:pPr>
      <w:r w:rsidRPr="00502D16">
        <w:rPr>
          <w:rFonts w:cs="David" w:hint="cs"/>
          <w:sz w:val="24"/>
          <w:szCs w:val="24"/>
          <w:rtl/>
        </w:rPr>
        <w:t xml:space="preserve">     </w:t>
      </w:r>
      <w:r w:rsidRPr="004D6F2E">
        <w:rPr>
          <w:rFonts w:cs="David" w:hint="cs"/>
          <w:rtl/>
        </w:rPr>
        <w:t xml:space="preserve">(אין לי כמובן את הידע והיכולת המשפטית להתיחס לפסקי הדין בהקשר זה שבהערה 7 בעמוד 6 לפסה"ד, אך </w:t>
      </w:r>
      <w:r w:rsidRPr="004D6F2E">
        <w:rPr>
          <w:rFonts w:cs="David" w:hint="cs"/>
          <w:b/>
          <w:bCs/>
          <w:rtl/>
        </w:rPr>
        <w:t xml:space="preserve">ראה דבריו של שופט בית המשפט העליון </w:t>
      </w:r>
      <w:r w:rsidRPr="004D6F2E">
        <w:rPr>
          <w:rFonts w:cs="David" w:hint="cs"/>
          <w:rtl/>
        </w:rPr>
        <w:t>(לשעבר)</w:t>
      </w:r>
      <w:r w:rsidRPr="004D6F2E">
        <w:rPr>
          <w:rFonts w:cs="David" w:hint="cs"/>
          <w:b/>
          <w:bCs/>
          <w:rtl/>
        </w:rPr>
        <w:t xml:space="preserve"> יצחק זמיר על עצם הבקשה של המדינה לדחיה על הסף על רקע כזה</w:t>
      </w:r>
      <w:r w:rsidRPr="004D6F2E">
        <w:rPr>
          <w:rFonts w:cs="David" w:hint="cs"/>
          <w:rtl/>
        </w:rPr>
        <w:t xml:space="preserve"> (העברתי אליך מספר פעמים</w:t>
      </w:r>
      <w:r w:rsidRPr="004D6F2E">
        <w:rPr>
          <w:rFonts w:cs="David" w:hint="cs"/>
          <w:b/>
          <w:bCs/>
          <w:rtl/>
        </w:rPr>
        <w:t xml:space="preserve">. </w:t>
      </w:r>
      <w:r w:rsidRPr="004D6F2E">
        <w:rPr>
          <w:rFonts w:cs="David" w:hint="cs"/>
          <w:rtl/>
        </w:rPr>
        <w:t xml:space="preserve">מצ"ב שוב כנספח 1). </w:t>
      </w:r>
    </w:p>
    <w:p w:rsidR="00502D16" w:rsidRPr="00502D16" w:rsidRDefault="00502D16" w:rsidP="00502D16">
      <w:pPr>
        <w:spacing w:after="0"/>
        <w:ind w:left="227" w:hanging="227"/>
        <w:jc w:val="both"/>
        <w:rPr>
          <w:rFonts w:cs="David"/>
          <w:b/>
          <w:bCs/>
          <w:sz w:val="24"/>
          <w:szCs w:val="24"/>
          <w:rtl/>
        </w:rPr>
      </w:pPr>
      <w:r w:rsidRPr="00502D16">
        <w:rPr>
          <w:rFonts w:cs="David" w:hint="cs"/>
          <w:sz w:val="24"/>
          <w:szCs w:val="24"/>
          <w:rtl/>
        </w:rPr>
        <w:t xml:space="preserve">   </w:t>
      </w:r>
      <w:r w:rsidRPr="00502D16">
        <w:rPr>
          <w:rFonts w:cs="David" w:hint="cs"/>
          <w:b/>
          <w:bCs/>
          <w:sz w:val="24"/>
          <w:szCs w:val="24"/>
          <w:rtl/>
        </w:rPr>
        <w:t xml:space="preserve">                                                  </w:t>
      </w:r>
    </w:p>
    <w:p w:rsidR="00502D16" w:rsidRPr="00502D16" w:rsidRDefault="00502D16" w:rsidP="00502D16">
      <w:pPr>
        <w:spacing w:after="0"/>
        <w:ind w:left="227" w:hanging="227"/>
        <w:jc w:val="both"/>
        <w:rPr>
          <w:rFonts w:cs="David"/>
          <w:sz w:val="24"/>
          <w:szCs w:val="24"/>
          <w:rtl/>
        </w:rPr>
      </w:pPr>
      <w:r w:rsidRPr="00502D16">
        <w:rPr>
          <w:rFonts w:cs="David" w:hint="cs"/>
          <w:b/>
          <w:bCs/>
          <w:sz w:val="24"/>
          <w:szCs w:val="24"/>
          <w:rtl/>
        </w:rPr>
        <w:t xml:space="preserve">  * כנתבע עשיתי ככל האפשר והשקעתי כל מאמץ שלא להטריח כלל את</w:t>
      </w:r>
      <w:r w:rsidRPr="00502D16">
        <w:rPr>
          <w:rFonts w:cs="David" w:hint="cs"/>
          <w:sz w:val="24"/>
          <w:szCs w:val="24"/>
          <w:rtl/>
        </w:rPr>
        <w:t xml:space="preserve"> </w:t>
      </w:r>
      <w:r w:rsidRPr="00502D16">
        <w:rPr>
          <w:rFonts w:cs="David" w:hint="cs"/>
          <w:b/>
          <w:bCs/>
          <w:sz w:val="24"/>
          <w:szCs w:val="24"/>
          <w:rtl/>
        </w:rPr>
        <w:t>המערכת המשפטית</w:t>
      </w:r>
      <w:r w:rsidRPr="00502D16">
        <w:rPr>
          <w:rFonts w:cs="David" w:hint="cs"/>
          <w:sz w:val="24"/>
          <w:szCs w:val="24"/>
          <w:rtl/>
        </w:rPr>
        <w:t xml:space="preserve"> (ר' סעיף 44 לכתב התביעה) בדיוק מהסיבה שמציין בית הדין: </w:t>
      </w:r>
      <w:r w:rsidRPr="00502D16">
        <w:rPr>
          <w:rFonts w:cs="David" w:hint="cs"/>
          <w:b/>
          <w:bCs/>
          <w:sz w:val="24"/>
          <w:szCs w:val="24"/>
          <w:rtl/>
        </w:rPr>
        <w:t xml:space="preserve">למנוע בזבוז זמן ומשאבים של המערכת המשפטית </w:t>
      </w:r>
      <w:r w:rsidRPr="00502D16">
        <w:rPr>
          <w:rFonts w:cs="David" w:hint="cs"/>
          <w:sz w:val="24"/>
          <w:szCs w:val="24"/>
          <w:rtl/>
        </w:rPr>
        <w:t xml:space="preserve">(ולא רק של בית הדין אלא גם של הפרקליטות) לפני קבלת תשובות סופיות של הנתבעים, כפי שעולה מהמסמכים הרבים שהיו מוצגים לבית הדין במהלך ברור התביעה ובמיוחד לאור הנחיית מינהלת הגימלאות ולאחר מכן נציבות שרות המדינה שאמתין לתוצאות בדיקת טענותיי לפני שאפנה לערכאות (ר' פיסקא 45 לתגובה לבקשה לדחיה על הסף). </w:t>
      </w:r>
    </w:p>
    <w:p w:rsidR="00502D16" w:rsidRPr="00502D16" w:rsidRDefault="00502D16" w:rsidP="00502D16">
      <w:pPr>
        <w:spacing w:after="0"/>
        <w:ind w:left="227" w:hanging="227"/>
        <w:jc w:val="both"/>
        <w:rPr>
          <w:rFonts w:cs="David"/>
          <w:sz w:val="24"/>
          <w:szCs w:val="24"/>
          <w:rtl/>
        </w:rPr>
      </w:pPr>
    </w:p>
    <w:p w:rsidR="00502D16" w:rsidRPr="00502D16" w:rsidRDefault="00502D16" w:rsidP="00502D16">
      <w:pPr>
        <w:spacing w:after="0"/>
        <w:ind w:left="-58" w:firstLine="57"/>
        <w:jc w:val="both"/>
        <w:rPr>
          <w:rFonts w:cs="David"/>
          <w:rtl/>
        </w:rPr>
      </w:pPr>
      <w:r w:rsidRPr="00502D16">
        <w:rPr>
          <w:rFonts w:cs="David" w:hint="cs"/>
          <w:rtl/>
        </w:rPr>
        <w:t xml:space="preserve">(לא בטוח, אבל ייתכן והנקודה החלשה באמור לעיל היא שלפחות בעת מתן התגובה לבקשה לדחיה על הסף לא הצגנו כראוי בפני בית הדין את העובדות וההוכחות הרלוונטיות להתנהלות הנתבעים וחלקם/אשמתם בעיכוב התביעה ולו בתמצית, עם דוגמאות ממחישות כפי שהצעתי (ר' למשל אי מייל שלי מיום 27.1.2019 והמסמך בענין שצורף טליו על מועדי התגובות). </w:t>
      </w:r>
    </w:p>
    <w:p w:rsidR="00502D16" w:rsidRPr="00502D16" w:rsidRDefault="00502D16" w:rsidP="00502D16">
      <w:pPr>
        <w:spacing w:after="0"/>
        <w:ind w:left="-58" w:firstLine="57"/>
        <w:rPr>
          <w:rFonts w:cs="David"/>
          <w:sz w:val="24"/>
          <w:szCs w:val="24"/>
          <w:rtl/>
        </w:rPr>
      </w:pPr>
    </w:p>
    <w:p w:rsidR="00502D16" w:rsidRPr="00502D16" w:rsidRDefault="00502D16" w:rsidP="00502D16">
      <w:pPr>
        <w:ind w:left="226" w:hanging="226"/>
        <w:rPr>
          <w:rFonts w:cs="David"/>
          <w:sz w:val="24"/>
          <w:szCs w:val="24"/>
          <w:rtl/>
        </w:rPr>
      </w:pPr>
    </w:p>
    <w:p w:rsidR="00502D16" w:rsidRDefault="00502D16" w:rsidP="00502D16">
      <w:pPr>
        <w:pStyle w:val="a3"/>
        <w:numPr>
          <w:ilvl w:val="0"/>
          <w:numId w:val="1"/>
        </w:numPr>
        <w:ind w:left="-58" w:hanging="226"/>
        <w:jc w:val="both"/>
        <w:rPr>
          <w:rFonts w:cs="David"/>
          <w:b/>
          <w:bCs/>
          <w:sz w:val="24"/>
          <w:szCs w:val="24"/>
          <w:u w:val="single"/>
        </w:rPr>
      </w:pPr>
      <w:r w:rsidRPr="00502D16">
        <w:rPr>
          <w:rFonts w:cs="David" w:hint="cs"/>
          <w:b/>
          <w:bCs/>
          <w:rtl/>
        </w:rPr>
        <w:lastRenderedPageBreak/>
        <w:t xml:space="preserve"> </w:t>
      </w:r>
      <w:r w:rsidRPr="00502D16">
        <w:rPr>
          <w:rFonts w:cs="David" w:hint="cs"/>
          <w:b/>
          <w:bCs/>
          <w:sz w:val="24"/>
          <w:szCs w:val="24"/>
          <w:u w:val="single"/>
          <w:rtl/>
        </w:rPr>
        <w:t>מועד היווצרות עילת התביעה</w:t>
      </w:r>
      <w:r w:rsidRPr="00502D16">
        <w:rPr>
          <w:rFonts w:cs="David"/>
          <w:sz w:val="24"/>
          <w:szCs w:val="24"/>
          <w:rtl/>
        </w:rPr>
        <w:t xml:space="preserve"> </w:t>
      </w:r>
    </w:p>
    <w:p w:rsidR="00502D16" w:rsidRPr="00502D16" w:rsidRDefault="00502D16" w:rsidP="00CF153D">
      <w:pPr>
        <w:pStyle w:val="a3"/>
        <w:ind w:left="-58"/>
        <w:jc w:val="both"/>
        <w:rPr>
          <w:rFonts w:cs="David"/>
          <w:sz w:val="24"/>
          <w:szCs w:val="24"/>
          <w:rtl/>
        </w:rPr>
      </w:pPr>
      <w:r w:rsidRPr="00502D16">
        <w:rPr>
          <w:rFonts w:cs="David"/>
          <w:sz w:val="24"/>
          <w:szCs w:val="24"/>
          <w:rtl/>
        </w:rPr>
        <w:t xml:space="preserve"> בפיסקה 24 לפס"הד </w:t>
      </w:r>
      <w:r w:rsidRPr="00502D16">
        <w:rPr>
          <w:rFonts w:cs="David" w:hint="cs"/>
          <w:sz w:val="24"/>
          <w:szCs w:val="24"/>
          <w:rtl/>
        </w:rPr>
        <w:t xml:space="preserve"> מבהיר בית המשפט כי </w:t>
      </w:r>
      <w:r w:rsidRPr="00502D16">
        <w:rPr>
          <w:rFonts w:cs="David"/>
          <w:sz w:val="24"/>
          <w:szCs w:val="24"/>
          <w:rtl/>
        </w:rPr>
        <w:t xml:space="preserve">פרשנות </w:t>
      </w:r>
      <w:r w:rsidR="00CF153D">
        <w:rPr>
          <w:rFonts w:cs="David" w:hint="cs"/>
          <w:sz w:val="24"/>
          <w:szCs w:val="24"/>
          <w:rtl/>
        </w:rPr>
        <w:t>"</w:t>
      </w:r>
      <w:r w:rsidRPr="00502D16">
        <w:rPr>
          <w:rFonts w:cs="David"/>
          <w:sz w:val="24"/>
          <w:szCs w:val="24"/>
          <w:rtl/>
        </w:rPr>
        <w:t>המונח "</w:t>
      </w:r>
      <w:r w:rsidRPr="00CF153D">
        <w:rPr>
          <w:rFonts w:cs="David"/>
          <w:b/>
          <w:bCs/>
          <w:sz w:val="24"/>
          <w:szCs w:val="24"/>
          <w:rtl/>
        </w:rPr>
        <w:t>עילת תביעה</w:t>
      </w:r>
      <w:r w:rsidR="00CF153D">
        <w:rPr>
          <w:rFonts w:cs="David" w:hint="cs"/>
          <w:sz w:val="24"/>
          <w:szCs w:val="24"/>
          <w:rtl/>
        </w:rPr>
        <w:t>"...</w:t>
      </w:r>
      <w:r w:rsidRPr="00502D16">
        <w:rPr>
          <w:rFonts w:cs="David"/>
          <w:sz w:val="24"/>
          <w:szCs w:val="24"/>
          <w:rtl/>
        </w:rPr>
        <w:t>אינה אחידה</w:t>
      </w:r>
      <w:r w:rsidR="00CF153D">
        <w:rPr>
          <w:rFonts w:cs="David" w:hint="cs"/>
          <w:sz w:val="24"/>
          <w:szCs w:val="24"/>
          <w:rtl/>
        </w:rPr>
        <w:t>,</w:t>
      </w:r>
      <w:r w:rsidRPr="00502D16">
        <w:rPr>
          <w:rFonts w:cs="David"/>
          <w:sz w:val="24"/>
          <w:szCs w:val="24"/>
          <w:rtl/>
        </w:rPr>
        <w:t xml:space="preserve"> </w:t>
      </w:r>
      <w:r w:rsidRPr="00502D16">
        <w:rPr>
          <w:rFonts w:cs="David" w:hint="cs"/>
          <w:sz w:val="24"/>
          <w:szCs w:val="24"/>
          <w:rtl/>
        </w:rPr>
        <w:t xml:space="preserve">אלא </w:t>
      </w:r>
      <w:r w:rsidRPr="00CF153D">
        <w:rPr>
          <w:rFonts w:cs="David"/>
          <w:b/>
          <w:bCs/>
          <w:sz w:val="24"/>
          <w:szCs w:val="24"/>
          <w:rtl/>
        </w:rPr>
        <w:t>תלויה בהקשר</w:t>
      </w:r>
      <w:r w:rsidRPr="00CF153D">
        <w:rPr>
          <w:rFonts w:cs="David" w:hint="cs"/>
          <w:b/>
          <w:bCs/>
          <w:sz w:val="24"/>
          <w:szCs w:val="24"/>
          <w:rtl/>
        </w:rPr>
        <w:t xml:space="preserve"> הדברים</w:t>
      </w:r>
      <w:r w:rsidRPr="00502D16">
        <w:rPr>
          <w:rFonts w:cs="David" w:hint="cs"/>
          <w:sz w:val="24"/>
          <w:szCs w:val="24"/>
          <w:rtl/>
        </w:rPr>
        <w:t xml:space="preserve">" וכי לפי פסיקת בית המשפט העליון בענין אפרידר "לצורך התיישנות, עילת התביעה היא </w:t>
      </w:r>
      <w:r w:rsidRPr="00CF153D">
        <w:rPr>
          <w:rFonts w:cs="David" w:hint="cs"/>
          <w:b/>
          <w:bCs/>
          <w:sz w:val="24"/>
          <w:szCs w:val="24"/>
          <w:rtl/>
        </w:rPr>
        <w:t>מכלול העובדות והמהותיות המולידות את הזכות לסעד</w:t>
      </w:r>
      <w:r w:rsidRPr="00502D16">
        <w:rPr>
          <w:rFonts w:cs="David" w:hint="cs"/>
          <w:sz w:val="24"/>
          <w:szCs w:val="24"/>
          <w:rtl/>
        </w:rPr>
        <w:t xml:space="preserve"> המבוקש ע"י התובע".</w:t>
      </w:r>
    </w:p>
    <w:p w:rsidR="00502D16" w:rsidRPr="00502D16" w:rsidRDefault="00502D16" w:rsidP="00502D16">
      <w:pPr>
        <w:pStyle w:val="a3"/>
        <w:ind w:left="-58"/>
        <w:jc w:val="both"/>
        <w:rPr>
          <w:rFonts w:cs="David"/>
          <w:sz w:val="24"/>
          <w:szCs w:val="24"/>
          <w:rtl/>
        </w:rPr>
      </w:pPr>
    </w:p>
    <w:p w:rsidR="00502D16" w:rsidRPr="00502D16" w:rsidRDefault="00502D16" w:rsidP="00502D16">
      <w:pPr>
        <w:pStyle w:val="a3"/>
        <w:ind w:left="-58"/>
        <w:jc w:val="both"/>
        <w:rPr>
          <w:rFonts w:cs="David"/>
          <w:b/>
          <w:bCs/>
          <w:sz w:val="24"/>
          <w:szCs w:val="24"/>
          <w:u w:val="single"/>
        </w:rPr>
      </w:pPr>
      <w:r w:rsidRPr="00502D16">
        <w:rPr>
          <w:rFonts w:cs="David" w:hint="cs"/>
          <w:sz w:val="24"/>
          <w:szCs w:val="24"/>
          <w:rtl/>
        </w:rPr>
        <w:t xml:space="preserve"> </w:t>
      </w:r>
      <w:r w:rsidRPr="00502D16">
        <w:rPr>
          <w:rFonts w:cs="David" w:hint="cs"/>
          <w:b/>
          <w:bCs/>
          <w:sz w:val="24"/>
          <w:szCs w:val="24"/>
          <w:u w:val="single"/>
          <w:rtl/>
        </w:rPr>
        <w:t xml:space="preserve">היווצרות עילת התביעה ב5.8.12 לאור הקשר הדברים </w:t>
      </w:r>
    </w:p>
    <w:p w:rsidR="00502D16" w:rsidRPr="00502D16" w:rsidRDefault="00502D16" w:rsidP="00502D16">
      <w:pPr>
        <w:pStyle w:val="a3"/>
        <w:numPr>
          <w:ilvl w:val="1"/>
          <w:numId w:val="1"/>
        </w:numPr>
        <w:ind w:left="84" w:hanging="425"/>
        <w:jc w:val="both"/>
        <w:rPr>
          <w:rFonts w:cs="David"/>
          <w:sz w:val="24"/>
          <w:szCs w:val="24"/>
        </w:rPr>
      </w:pPr>
      <w:r w:rsidRPr="00502D16">
        <w:rPr>
          <w:rFonts w:cs="David" w:hint="cs"/>
          <w:sz w:val="24"/>
          <w:szCs w:val="24"/>
          <w:rtl/>
        </w:rPr>
        <w:t xml:space="preserve"> </w:t>
      </w:r>
      <w:r w:rsidRPr="00502D16">
        <w:rPr>
          <w:rFonts w:cs="David"/>
          <w:sz w:val="24"/>
          <w:szCs w:val="24"/>
          <w:rtl/>
        </w:rPr>
        <w:t xml:space="preserve">קביעת בית הדין  -בפיסקה 27-  </w:t>
      </w:r>
      <w:r w:rsidR="004D6F2E">
        <w:rPr>
          <w:rFonts w:cs="David" w:hint="cs"/>
          <w:sz w:val="24"/>
          <w:szCs w:val="24"/>
          <w:rtl/>
        </w:rPr>
        <w:t xml:space="preserve">כי </w:t>
      </w:r>
      <w:r w:rsidRPr="00502D16">
        <w:rPr>
          <w:rFonts w:cs="David" w:hint="cs"/>
          <w:sz w:val="24"/>
          <w:szCs w:val="24"/>
          <w:rtl/>
        </w:rPr>
        <w:t xml:space="preserve">מאחר ו"עבודתו של התובע הופסקה לאלתר ביום 5.8.12 לכן כבר במועד זה </w:t>
      </w:r>
      <w:r w:rsidRPr="00502D16">
        <w:rPr>
          <w:rFonts w:cs="David"/>
          <w:sz w:val="24"/>
          <w:szCs w:val="24"/>
          <w:rtl/>
        </w:rPr>
        <w:t>"השתכללה</w:t>
      </w:r>
      <w:r w:rsidRPr="00502D16">
        <w:rPr>
          <w:rFonts w:cs="David" w:hint="cs"/>
          <w:sz w:val="24"/>
          <w:szCs w:val="24"/>
          <w:rtl/>
        </w:rPr>
        <w:t xml:space="preserve"> בידיו </w:t>
      </w:r>
      <w:r w:rsidRPr="00502D16">
        <w:rPr>
          <w:rFonts w:cs="David"/>
          <w:sz w:val="24"/>
          <w:szCs w:val="24"/>
          <w:rtl/>
        </w:rPr>
        <w:t>כח תביעה קונקרטי והתגבשה עילת</w:t>
      </w:r>
      <w:r w:rsidRPr="00502D16">
        <w:rPr>
          <w:rFonts w:cs="David" w:hint="cs"/>
          <w:sz w:val="24"/>
          <w:szCs w:val="24"/>
          <w:rtl/>
        </w:rPr>
        <w:t xml:space="preserve"> </w:t>
      </w:r>
      <w:r w:rsidRPr="00502D16">
        <w:rPr>
          <w:rFonts w:cs="David"/>
          <w:sz w:val="24"/>
          <w:szCs w:val="24"/>
          <w:rtl/>
        </w:rPr>
        <w:t>תביע</w:t>
      </w:r>
      <w:r w:rsidRPr="00502D16">
        <w:rPr>
          <w:rFonts w:cs="David" w:hint="cs"/>
          <w:sz w:val="24"/>
          <w:szCs w:val="24"/>
          <w:rtl/>
        </w:rPr>
        <w:t xml:space="preserve">תו" , מפליאה </w:t>
      </w:r>
      <w:r w:rsidRPr="00502D16">
        <w:rPr>
          <w:rFonts w:cs="David"/>
          <w:sz w:val="24"/>
          <w:szCs w:val="24"/>
          <w:rtl/>
        </w:rPr>
        <w:t>במיוחד לאור התעלמותה מהקשר</w:t>
      </w:r>
      <w:r w:rsidRPr="00502D16">
        <w:rPr>
          <w:rFonts w:cs="David" w:hint="cs"/>
          <w:sz w:val="24"/>
          <w:szCs w:val="24"/>
          <w:rtl/>
        </w:rPr>
        <w:t xml:space="preserve"> הדברים, כמתואר להלן:</w:t>
      </w:r>
    </w:p>
    <w:p w:rsidR="00502D16" w:rsidRPr="00502D16" w:rsidRDefault="00502D16" w:rsidP="00502D16">
      <w:pPr>
        <w:pStyle w:val="a3"/>
        <w:ind w:left="-58"/>
        <w:jc w:val="both"/>
        <w:rPr>
          <w:rFonts w:cs="David"/>
          <w:sz w:val="8"/>
          <w:szCs w:val="8"/>
        </w:rPr>
      </w:pPr>
    </w:p>
    <w:p w:rsidR="00502D16" w:rsidRPr="00502D16" w:rsidRDefault="00502D16" w:rsidP="00771E98">
      <w:pPr>
        <w:pStyle w:val="a3"/>
        <w:numPr>
          <w:ilvl w:val="1"/>
          <w:numId w:val="1"/>
        </w:numPr>
        <w:ind w:left="84" w:hanging="425"/>
        <w:jc w:val="both"/>
        <w:rPr>
          <w:rFonts w:cs="David"/>
          <w:sz w:val="24"/>
          <w:szCs w:val="24"/>
        </w:rPr>
      </w:pPr>
      <w:r w:rsidRPr="00502D16">
        <w:rPr>
          <w:rFonts w:cs="David"/>
          <w:sz w:val="24"/>
          <w:szCs w:val="24"/>
          <w:rtl/>
        </w:rPr>
        <w:t xml:space="preserve">כאמור בפיסקא 15ב. לפסה"ד מוסכם, גם על דעת התביעה, שהחלטת נציב שרות המדינה על הפסקת ההעסקה ע"פ החוזה, הומצאה לתובע במועד כלשהו אחרי 10.12.12 (תאריך הוצאת אישור הגימלאות </w:t>
      </w:r>
      <w:r w:rsidRPr="00502D16">
        <w:rPr>
          <w:rFonts w:cs="David" w:hint="cs"/>
          <w:sz w:val="24"/>
          <w:szCs w:val="24"/>
          <w:rtl/>
        </w:rPr>
        <w:t>ע"י מינהל הגימלאות</w:t>
      </w:r>
      <w:r w:rsidRPr="00502D16">
        <w:rPr>
          <w:rFonts w:cs="David"/>
          <w:sz w:val="24"/>
          <w:szCs w:val="24"/>
          <w:rtl/>
        </w:rPr>
        <w:t>) וכאמור בפיסקא 16 לפסה"ד "התובע מבקש כי נכיר במועד הוצאת אישור זה כמועד התגבשות עילת התביעה".</w:t>
      </w:r>
    </w:p>
    <w:p w:rsidR="00502D16" w:rsidRPr="00502D16" w:rsidRDefault="00502D16" w:rsidP="00502D16">
      <w:pPr>
        <w:pStyle w:val="a3"/>
        <w:ind w:left="84" w:hanging="425"/>
        <w:jc w:val="both"/>
        <w:rPr>
          <w:rFonts w:cs="David"/>
          <w:sz w:val="8"/>
          <w:szCs w:val="8"/>
        </w:rPr>
      </w:pPr>
    </w:p>
    <w:p w:rsidR="00502D16" w:rsidRPr="00502D16" w:rsidRDefault="00502D16" w:rsidP="00771E98">
      <w:pPr>
        <w:pStyle w:val="a3"/>
        <w:numPr>
          <w:ilvl w:val="1"/>
          <w:numId w:val="1"/>
        </w:numPr>
        <w:ind w:left="84" w:hanging="425"/>
        <w:jc w:val="both"/>
        <w:rPr>
          <w:rFonts w:cs="David"/>
          <w:sz w:val="24"/>
          <w:szCs w:val="24"/>
        </w:rPr>
      </w:pPr>
      <w:r w:rsidRPr="00502D16">
        <w:rPr>
          <w:rFonts w:cs="David" w:hint="cs"/>
          <w:sz w:val="24"/>
          <w:szCs w:val="24"/>
          <w:rtl/>
        </w:rPr>
        <w:t xml:space="preserve">בפיסקא 27 מציין בית הדין </w:t>
      </w:r>
      <w:r w:rsidR="00771E98">
        <w:rPr>
          <w:rFonts w:cs="David" w:hint="cs"/>
          <w:sz w:val="24"/>
          <w:szCs w:val="24"/>
          <w:rtl/>
        </w:rPr>
        <w:t xml:space="preserve">כי </w:t>
      </w:r>
      <w:r w:rsidRPr="00502D16">
        <w:rPr>
          <w:rFonts w:cs="David" w:hint="cs"/>
          <w:sz w:val="24"/>
          <w:szCs w:val="24"/>
          <w:rtl/>
        </w:rPr>
        <w:t>עיין "באישור הגימלאות", אך לא מצא בו אלא נתונים טכניים הנדרשים לביסוס גובה הגימלה שאינם משנים את העובדה שיום הפסקת העבודה ב-5.8.12 הוא המועד שבו נוצרה עילת התביעה.</w:t>
      </w:r>
    </w:p>
    <w:p w:rsidR="00502D16" w:rsidRPr="00502D16" w:rsidRDefault="00502D16" w:rsidP="00502D16">
      <w:pPr>
        <w:pStyle w:val="a3"/>
        <w:ind w:left="226" w:hanging="578"/>
        <w:jc w:val="both"/>
        <w:rPr>
          <w:rFonts w:cs="David"/>
          <w:sz w:val="8"/>
          <w:szCs w:val="8"/>
          <w:rtl/>
        </w:rPr>
      </w:pPr>
    </w:p>
    <w:p w:rsidR="00502D16" w:rsidRPr="00502D16" w:rsidRDefault="00502D16" w:rsidP="00502D16">
      <w:pPr>
        <w:pStyle w:val="a3"/>
        <w:ind w:left="84"/>
        <w:jc w:val="both"/>
        <w:rPr>
          <w:rFonts w:cs="David"/>
          <w:sz w:val="24"/>
          <w:szCs w:val="24"/>
        </w:rPr>
      </w:pPr>
      <w:r w:rsidRPr="00502D16">
        <w:rPr>
          <w:rFonts w:cs="David" w:hint="cs"/>
          <w:sz w:val="24"/>
          <w:szCs w:val="24"/>
          <w:rtl/>
        </w:rPr>
        <w:t>נשמטה מביה"ד העובדה שאישור הגימלאות</w:t>
      </w:r>
      <w:r w:rsidR="00771E98">
        <w:rPr>
          <w:rFonts w:cs="David" w:hint="cs"/>
          <w:sz w:val="24"/>
          <w:szCs w:val="24"/>
          <w:rtl/>
        </w:rPr>
        <w:t xml:space="preserve"> שבו</w:t>
      </w:r>
      <w:r w:rsidRPr="00502D16">
        <w:rPr>
          <w:rFonts w:cs="David" w:hint="cs"/>
          <w:sz w:val="24"/>
          <w:szCs w:val="24"/>
          <w:rtl/>
        </w:rPr>
        <w:t xml:space="preserve"> עיין, לא הומצא "יש מאין" ואיננו עומד בפני עצמו. כמתואר בפיסקאות 36 ו-38 לכתב התביעה אישור טכני זה הוצא על בסיס </w:t>
      </w:r>
      <w:r w:rsidRPr="00771E98">
        <w:rPr>
          <w:rFonts w:cs="David" w:hint="cs"/>
          <w:sz w:val="24"/>
          <w:szCs w:val="24"/>
          <w:u w:val="single"/>
          <w:rtl/>
        </w:rPr>
        <w:t>ובעקבות</w:t>
      </w:r>
      <w:r w:rsidRPr="00502D16">
        <w:rPr>
          <w:rFonts w:cs="David" w:hint="cs"/>
          <w:sz w:val="24"/>
          <w:szCs w:val="24"/>
          <w:rtl/>
        </w:rPr>
        <w:t xml:space="preserve"> מכתב נציבות שרות המדינה הנושא תאריך 15.8.2012 (10 ימים </w:t>
      </w:r>
      <w:r w:rsidRPr="00502D16">
        <w:rPr>
          <w:rFonts w:cs="David" w:hint="cs"/>
          <w:sz w:val="24"/>
          <w:szCs w:val="24"/>
          <w:u w:val="single"/>
          <w:rtl/>
        </w:rPr>
        <w:t>אחרי</w:t>
      </w:r>
      <w:r w:rsidRPr="00502D16">
        <w:rPr>
          <w:rFonts w:cs="David" w:hint="cs"/>
          <w:sz w:val="24"/>
          <w:szCs w:val="24"/>
          <w:rtl/>
        </w:rPr>
        <w:t xml:space="preserve"> שהאוצר מנע ממני כניסה לעבודה), ואשר כמצוין בו נחתם רק ב-22.11.2012 (כמעט 4 חודשים אחרי שהאוצר מנע ממני כניסה למשרד) המודיע לי כי נציב שרות המדינה החליט להפסיק את עבודתי ועל הוצאתי לגימלאות.               ויודגש: על פי החוק וע"פ החוזה, נציב השרות הוא בעל הסמכות הבלעדית להפסקת החוזה אתי, בכפוף לתנאים המפורטים בו, ולא משרד האוצר.</w:t>
      </w:r>
    </w:p>
    <w:p w:rsidR="00502D16" w:rsidRPr="00502D16" w:rsidRDefault="00502D16" w:rsidP="00502D16">
      <w:pPr>
        <w:pStyle w:val="a3"/>
        <w:ind w:left="226" w:hanging="578"/>
        <w:jc w:val="both"/>
        <w:rPr>
          <w:rFonts w:cs="David"/>
          <w:sz w:val="8"/>
          <w:szCs w:val="8"/>
          <w:rtl/>
        </w:rPr>
      </w:pPr>
    </w:p>
    <w:p w:rsidR="00502D16" w:rsidRPr="00502D16" w:rsidRDefault="00502D16" w:rsidP="00502D16">
      <w:pPr>
        <w:pStyle w:val="a3"/>
        <w:numPr>
          <w:ilvl w:val="1"/>
          <w:numId w:val="1"/>
        </w:numPr>
        <w:ind w:left="84" w:hanging="425"/>
        <w:jc w:val="both"/>
        <w:rPr>
          <w:rFonts w:cs="David"/>
          <w:sz w:val="24"/>
          <w:szCs w:val="24"/>
        </w:rPr>
      </w:pPr>
      <w:r w:rsidRPr="00502D16">
        <w:rPr>
          <w:rFonts w:cs="David" w:hint="cs"/>
          <w:sz w:val="24"/>
          <w:szCs w:val="24"/>
          <w:rtl/>
        </w:rPr>
        <w:t>כאשר אין מי שחולק על כך שהחלטת הנציב על הפסקת העסקתי לא הגיעה אלי לפני חודש דצמבר 2012 עולות כמה וכמה תמיהות על קביעת בית הדין:</w:t>
      </w:r>
    </w:p>
    <w:p w:rsidR="00502D16" w:rsidRPr="00502D16" w:rsidRDefault="00502D16" w:rsidP="00502D16">
      <w:pPr>
        <w:pStyle w:val="a3"/>
        <w:jc w:val="both"/>
        <w:rPr>
          <w:rFonts w:cs="David"/>
          <w:sz w:val="24"/>
          <w:szCs w:val="24"/>
          <w:rtl/>
        </w:rPr>
      </w:pPr>
    </w:p>
    <w:p w:rsidR="00502D16" w:rsidRPr="00502D16" w:rsidRDefault="00502D16" w:rsidP="00502D16">
      <w:pPr>
        <w:pStyle w:val="a3"/>
        <w:numPr>
          <w:ilvl w:val="2"/>
          <w:numId w:val="1"/>
        </w:numPr>
        <w:ind w:left="368" w:hanging="567"/>
        <w:jc w:val="both"/>
        <w:rPr>
          <w:rFonts w:cs="David"/>
          <w:sz w:val="24"/>
          <w:szCs w:val="24"/>
        </w:rPr>
      </w:pPr>
      <w:r w:rsidRPr="00502D16">
        <w:rPr>
          <w:rFonts w:cs="David" w:hint="cs"/>
          <w:sz w:val="24"/>
          <w:szCs w:val="24"/>
          <w:rtl/>
        </w:rPr>
        <w:t>איך ק</w:t>
      </w:r>
      <w:r w:rsidR="00771E98">
        <w:rPr>
          <w:rFonts w:cs="David" w:hint="cs"/>
          <w:sz w:val="24"/>
          <w:szCs w:val="24"/>
          <w:rtl/>
        </w:rPr>
        <w:t xml:space="preserve">בע בית הדין, "ע"פ </w:t>
      </w:r>
      <w:r w:rsidRPr="00502D16">
        <w:rPr>
          <w:rFonts w:cs="David" w:hint="cs"/>
          <w:sz w:val="24"/>
          <w:szCs w:val="24"/>
          <w:rtl/>
        </w:rPr>
        <w:t>הקשר</w:t>
      </w:r>
      <w:r w:rsidR="00771E98">
        <w:rPr>
          <w:rFonts w:cs="David" w:hint="cs"/>
          <w:sz w:val="24"/>
          <w:szCs w:val="24"/>
          <w:rtl/>
        </w:rPr>
        <w:t xml:space="preserve"> הדברים</w:t>
      </w:r>
      <w:r w:rsidRPr="00502D16">
        <w:rPr>
          <w:rFonts w:cs="David" w:hint="cs"/>
          <w:sz w:val="24"/>
          <w:szCs w:val="24"/>
          <w:rtl/>
        </w:rPr>
        <w:t>" שעילת התביעה על הפרת החוזה התגבשה כבר ביום 5.8.12, כ-3 חודשים לפני שנציב שרות המדינה החליט להפסיק את ההתקשרות אתי ולפחות  4 חודשים לפני שהובא לידיעתי כי נציב שרות המדינה החליט כך, על אף האמור בחוזה?</w:t>
      </w:r>
    </w:p>
    <w:p w:rsidR="00502D16" w:rsidRPr="00502D16" w:rsidRDefault="00502D16" w:rsidP="00502D16">
      <w:pPr>
        <w:pStyle w:val="a3"/>
        <w:ind w:left="368"/>
        <w:jc w:val="both"/>
        <w:rPr>
          <w:rFonts w:cs="David"/>
          <w:sz w:val="8"/>
          <w:szCs w:val="8"/>
        </w:rPr>
      </w:pPr>
    </w:p>
    <w:p w:rsidR="00502D16" w:rsidRPr="00502D16" w:rsidRDefault="00502D16" w:rsidP="00502D16">
      <w:pPr>
        <w:pStyle w:val="a3"/>
        <w:numPr>
          <w:ilvl w:val="2"/>
          <w:numId w:val="1"/>
        </w:numPr>
        <w:spacing w:after="0"/>
        <w:ind w:left="368" w:hanging="567"/>
        <w:jc w:val="both"/>
        <w:rPr>
          <w:rFonts w:cs="David"/>
          <w:sz w:val="24"/>
          <w:szCs w:val="24"/>
        </w:rPr>
      </w:pPr>
      <w:r w:rsidRPr="00502D16">
        <w:rPr>
          <w:rFonts w:cs="David" w:hint="cs"/>
          <w:sz w:val="24"/>
          <w:szCs w:val="24"/>
          <w:rtl/>
        </w:rPr>
        <w:t xml:space="preserve"> התמיהה מתחזקת עוד יותר לאור האמור בפיסקה 31 בפסה"ד המביא "למעלה מן הצורך" כביכול, את ההלכה הפסוקה לפיה צד לחוזה יכול לסיימו מבלי להפר אותו כאשר "חוזה עבודה הכולל הוראה </w:t>
      </w:r>
      <w:r w:rsidRPr="00502D16">
        <w:rPr>
          <w:rFonts w:cs="David" w:hint="cs"/>
          <w:b/>
          <w:bCs/>
          <w:sz w:val="24"/>
          <w:szCs w:val="24"/>
          <w:rtl/>
        </w:rPr>
        <w:t>המרשה לצד לחוזה לסיימו</w:t>
      </w:r>
      <w:r w:rsidRPr="00502D16">
        <w:rPr>
          <w:rFonts w:cs="David" w:hint="cs"/>
          <w:sz w:val="24"/>
          <w:szCs w:val="24"/>
          <w:rtl/>
        </w:rPr>
        <w:t xml:space="preserve"> בכל עת לפני תום תקופתו </w:t>
      </w:r>
      <w:r w:rsidRPr="00502D16">
        <w:rPr>
          <w:rFonts w:cs="David" w:hint="cs"/>
          <w:b/>
          <w:bCs/>
          <w:sz w:val="24"/>
          <w:szCs w:val="24"/>
          <w:rtl/>
        </w:rPr>
        <w:t>כפי שקיים בעניינינו</w:t>
      </w:r>
      <w:r w:rsidRPr="00502D16">
        <w:rPr>
          <w:rFonts w:cs="David" w:hint="cs"/>
          <w:sz w:val="24"/>
          <w:szCs w:val="24"/>
          <w:rtl/>
        </w:rPr>
        <w:t>".</w:t>
      </w:r>
    </w:p>
    <w:p w:rsidR="00502D16" w:rsidRPr="00502D16" w:rsidRDefault="00502D16" w:rsidP="00502D16">
      <w:pPr>
        <w:spacing w:after="80"/>
        <w:ind w:left="369"/>
        <w:jc w:val="both"/>
        <w:rPr>
          <w:rFonts w:cs="David"/>
          <w:sz w:val="24"/>
          <w:szCs w:val="24"/>
          <w:rtl/>
        </w:rPr>
      </w:pPr>
      <w:r w:rsidRPr="00502D16">
        <w:rPr>
          <w:rFonts w:cs="David" w:hint="cs"/>
          <w:sz w:val="24"/>
          <w:szCs w:val="24"/>
          <w:rtl/>
        </w:rPr>
        <w:t xml:space="preserve">ודוק: </w:t>
      </w:r>
      <w:r w:rsidRPr="00502D16">
        <w:rPr>
          <w:rFonts w:cs="David" w:hint="cs"/>
          <w:b/>
          <w:bCs/>
          <w:sz w:val="24"/>
          <w:szCs w:val="24"/>
          <w:rtl/>
        </w:rPr>
        <w:t>מי שיכול לסיים את החוזה ע"פ הלכה זו הוא "צד לחוזה"</w:t>
      </w:r>
      <w:r w:rsidRPr="00502D16">
        <w:rPr>
          <w:rFonts w:cs="David" w:hint="cs"/>
          <w:sz w:val="24"/>
          <w:szCs w:val="24"/>
          <w:rtl/>
        </w:rPr>
        <w:t xml:space="preserve"> דהיינו, </w:t>
      </w:r>
      <w:r w:rsidRPr="00502D16">
        <w:rPr>
          <w:rFonts w:cs="David" w:hint="cs"/>
          <w:b/>
          <w:bCs/>
          <w:sz w:val="24"/>
          <w:szCs w:val="24"/>
          <w:rtl/>
        </w:rPr>
        <w:t>בעיניינינו, נציב שרות המדינה ולא  פקידה כלשהי במשרד האוצר</w:t>
      </w:r>
      <w:r w:rsidRPr="00502D16">
        <w:rPr>
          <w:rFonts w:cs="David" w:hint="cs"/>
          <w:sz w:val="24"/>
          <w:szCs w:val="24"/>
          <w:rtl/>
        </w:rPr>
        <w:t xml:space="preserve"> במכתב לקוני או בהפחדה ואיום על תביעה על הסגת גבול.</w:t>
      </w:r>
    </w:p>
    <w:p w:rsidR="00502D16" w:rsidRPr="00502D16" w:rsidRDefault="00502D16" w:rsidP="00502D16">
      <w:pPr>
        <w:pStyle w:val="a3"/>
        <w:ind w:left="368"/>
        <w:jc w:val="both"/>
        <w:rPr>
          <w:rFonts w:cs="David"/>
          <w:sz w:val="24"/>
          <w:szCs w:val="24"/>
          <w:rtl/>
        </w:rPr>
      </w:pPr>
      <w:r w:rsidRPr="00502D16">
        <w:rPr>
          <w:rFonts w:cs="David" w:hint="cs"/>
          <w:sz w:val="24"/>
          <w:szCs w:val="24"/>
          <w:rtl/>
        </w:rPr>
        <w:t>איך אם כן נוצרה לדעת בית הדין עילה לתביעה על הפרת חוזה הבכירים כבר ביום 5.8.12?</w:t>
      </w:r>
    </w:p>
    <w:p w:rsidR="00502D16" w:rsidRPr="00502D16" w:rsidRDefault="00502D16" w:rsidP="00502D16">
      <w:pPr>
        <w:pStyle w:val="a3"/>
        <w:ind w:left="368"/>
        <w:jc w:val="both"/>
        <w:rPr>
          <w:rFonts w:cs="David"/>
          <w:sz w:val="8"/>
          <w:szCs w:val="8"/>
          <w:rtl/>
        </w:rPr>
      </w:pPr>
    </w:p>
    <w:p w:rsidR="00502D16" w:rsidRPr="00502D16" w:rsidRDefault="00502D16" w:rsidP="00502D16">
      <w:pPr>
        <w:pStyle w:val="a3"/>
        <w:numPr>
          <w:ilvl w:val="2"/>
          <w:numId w:val="1"/>
        </w:numPr>
        <w:ind w:left="368" w:hanging="567"/>
        <w:jc w:val="both"/>
        <w:rPr>
          <w:rFonts w:cs="David"/>
          <w:sz w:val="24"/>
          <w:szCs w:val="24"/>
        </w:rPr>
      </w:pPr>
      <w:r w:rsidRPr="00502D16">
        <w:rPr>
          <w:rFonts w:cs="David"/>
          <w:sz w:val="24"/>
          <w:szCs w:val="24"/>
          <w:rtl/>
        </w:rPr>
        <w:t xml:space="preserve">ובהמשך לנ"ל: אליבא דבית הדין, </w:t>
      </w:r>
      <w:r w:rsidRPr="00502D16">
        <w:rPr>
          <w:rFonts w:cs="David" w:hint="cs"/>
          <w:sz w:val="24"/>
          <w:szCs w:val="24"/>
          <w:rtl/>
        </w:rPr>
        <w:t xml:space="preserve">אם כבר ביום 5.8.12 "השתכלל ביד [התובע] כח תביעה קונקרטי". </w:t>
      </w:r>
      <w:r w:rsidRPr="00502D16">
        <w:rPr>
          <w:rFonts w:cs="David"/>
          <w:sz w:val="24"/>
          <w:szCs w:val="24"/>
          <w:rtl/>
        </w:rPr>
        <w:t xml:space="preserve">את מי הייתי אמור </w:t>
      </w:r>
      <w:r w:rsidRPr="00502D16">
        <w:rPr>
          <w:rFonts w:cs="David" w:hint="cs"/>
          <w:sz w:val="24"/>
          <w:szCs w:val="24"/>
          <w:rtl/>
        </w:rPr>
        <w:t xml:space="preserve">או </w:t>
      </w:r>
      <w:r w:rsidRPr="00502D16">
        <w:rPr>
          <w:rFonts w:cs="David"/>
          <w:sz w:val="24"/>
          <w:szCs w:val="24"/>
          <w:rtl/>
        </w:rPr>
        <w:t>יכול</w:t>
      </w:r>
      <w:r w:rsidRPr="00502D16">
        <w:rPr>
          <w:rFonts w:cs="David" w:hint="cs"/>
          <w:sz w:val="24"/>
          <w:szCs w:val="24"/>
          <w:rtl/>
        </w:rPr>
        <w:t xml:space="preserve"> </w:t>
      </w:r>
      <w:r w:rsidRPr="00502D16">
        <w:rPr>
          <w:rFonts w:cs="David"/>
          <w:sz w:val="24"/>
          <w:szCs w:val="24"/>
          <w:rtl/>
        </w:rPr>
        <w:t xml:space="preserve">לתבוע ביום 6.8.12? </w:t>
      </w:r>
    </w:p>
    <w:p w:rsidR="00502D16" w:rsidRPr="00502D16" w:rsidRDefault="00502D16" w:rsidP="00502D16">
      <w:pPr>
        <w:pStyle w:val="a3"/>
        <w:ind w:left="368"/>
        <w:jc w:val="both"/>
        <w:rPr>
          <w:rFonts w:cs="David"/>
          <w:sz w:val="6"/>
          <w:szCs w:val="6"/>
          <w:rtl/>
        </w:rPr>
      </w:pPr>
    </w:p>
    <w:p w:rsidR="00502D16" w:rsidRPr="00502D16" w:rsidRDefault="00502D16" w:rsidP="00502D16">
      <w:pPr>
        <w:pStyle w:val="a3"/>
        <w:ind w:left="368"/>
        <w:jc w:val="both"/>
        <w:rPr>
          <w:rFonts w:cs="David"/>
          <w:sz w:val="24"/>
          <w:szCs w:val="24"/>
          <w:rtl/>
        </w:rPr>
      </w:pPr>
      <w:r w:rsidRPr="00502D16">
        <w:rPr>
          <w:rFonts w:cs="David" w:hint="cs"/>
          <w:sz w:val="24"/>
          <w:szCs w:val="24"/>
          <w:rtl/>
        </w:rPr>
        <w:t xml:space="preserve">  </w:t>
      </w:r>
      <w:r w:rsidRPr="00502D16">
        <w:rPr>
          <w:rFonts w:cs="David"/>
          <w:sz w:val="24"/>
          <w:szCs w:val="24"/>
          <w:rtl/>
        </w:rPr>
        <w:t xml:space="preserve">את נציבות שרות המדינה שלא הפסיקה את עבודתי ולא הפרה את החוזה עמי באותו מועד?                                                      </w:t>
      </w:r>
    </w:p>
    <w:p w:rsidR="00502D16" w:rsidRPr="00502D16" w:rsidRDefault="00502D16" w:rsidP="00502D16">
      <w:pPr>
        <w:pStyle w:val="a3"/>
        <w:ind w:left="368"/>
        <w:jc w:val="both"/>
        <w:rPr>
          <w:rFonts w:cs="David"/>
          <w:sz w:val="6"/>
          <w:szCs w:val="6"/>
          <w:rtl/>
        </w:rPr>
      </w:pPr>
    </w:p>
    <w:p w:rsidR="00502D16" w:rsidRPr="00502D16" w:rsidRDefault="00502D16" w:rsidP="00502D16">
      <w:pPr>
        <w:pStyle w:val="a3"/>
        <w:ind w:left="509" w:hanging="142"/>
        <w:rPr>
          <w:rFonts w:cs="David"/>
          <w:sz w:val="24"/>
          <w:szCs w:val="24"/>
          <w:rtl/>
        </w:rPr>
      </w:pPr>
      <w:r w:rsidRPr="00502D16">
        <w:rPr>
          <w:rFonts w:cs="David" w:hint="cs"/>
          <w:sz w:val="24"/>
          <w:szCs w:val="24"/>
          <w:rtl/>
        </w:rPr>
        <w:t xml:space="preserve">  </w:t>
      </w:r>
      <w:r w:rsidRPr="00502D16">
        <w:rPr>
          <w:rFonts w:cs="David"/>
          <w:sz w:val="24"/>
          <w:szCs w:val="24"/>
          <w:rtl/>
        </w:rPr>
        <w:t xml:space="preserve">את משרד האוצר, שכלל איננו חתום על חוזה אתי ואינו מוסמך להביא לסיומו ואף לא הוציא ולא </w:t>
      </w:r>
      <w:r w:rsidRPr="00502D16">
        <w:rPr>
          <w:rFonts w:cs="David" w:hint="cs"/>
          <w:sz w:val="24"/>
          <w:szCs w:val="24"/>
          <w:rtl/>
        </w:rPr>
        <w:t xml:space="preserve"> </w:t>
      </w:r>
      <w:r w:rsidRPr="00502D16">
        <w:rPr>
          <w:rFonts w:cs="David"/>
          <w:sz w:val="24"/>
          <w:szCs w:val="24"/>
          <w:rtl/>
        </w:rPr>
        <w:t>מסר לי מסמך רשמי מסודר על הפסקת עבודתי ע"פ החוזה</w:t>
      </w:r>
      <w:r w:rsidRPr="00502D16">
        <w:rPr>
          <w:rFonts w:cs="David" w:hint="cs"/>
          <w:sz w:val="24"/>
          <w:szCs w:val="24"/>
          <w:rtl/>
        </w:rPr>
        <w:t xml:space="preserve"> לפני שנציב שרות המדינה חתם על המסמך הנ"ל ב-22.11.12</w:t>
      </w:r>
      <w:r w:rsidRPr="00502D16">
        <w:rPr>
          <w:rFonts w:cs="David"/>
          <w:sz w:val="24"/>
          <w:szCs w:val="24"/>
          <w:rtl/>
        </w:rPr>
        <w:t xml:space="preserve">? </w:t>
      </w:r>
    </w:p>
    <w:p w:rsidR="00502D16" w:rsidRPr="00502D16" w:rsidRDefault="00502D16" w:rsidP="00502D16">
      <w:pPr>
        <w:pStyle w:val="a3"/>
        <w:ind w:left="368"/>
        <w:rPr>
          <w:sz w:val="8"/>
          <w:szCs w:val="8"/>
          <w:rtl/>
        </w:rPr>
      </w:pPr>
    </w:p>
    <w:p w:rsidR="00502D16" w:rsidRDefault="00502D16" w:rsidP="00797702">
      <w:pPr>
        <w:pStyle w:val="a3"/>
        <w:numPr>
          <w:ilvl w:val="2"/>
          <w:numId w:val="1"/>
        </w:numPr>
        <w:ind w:left="368" w:hanging="567"/>
        <w:rPr>
          <w:rFonts w:cs="David"/>
          <w:sz w:val="24"/>
          <w:szCs w:val="24"/>
        </w:rPr>
      </w:pPr>
      <w:r w:rsidRPr="00502D16">
        <w:rPr>
          <w:rFonts w:cs="David"/>
          <w:sz w:val="24"/>
          <w:szCs w:val="24"/>
          <w:rtl/>
        </w:rPr>
        <w:t>מה היתה צריכה להיות עילת התביעה נגד האוצר ביום 6.8.12, בטרם נענו פניותיי ובקשותיי מהאוצר, לכאן או לכאן, לאפשר לי להמשיך ולבצע את תפקידי ע"פ החוזה החתום ביני ובין נציבות שרות המדינה (ראה פיסקא</w:t>
      </w:r>
      <w:r w:rsidR="00797702">
        <w:rPr>
          <w:rFonts w:cs="David" w:hint="cs"/>
          <w:sz w:val="24"/>
          <w:szCs w:val="24"/>
          <w:rtl/>
        </w:rPr>
        <w:t>ות 34 ו-</w:t>
      </w:r>
      <w:r w:rsidRPr="00502D16">
        <w:rPr>
          <w:rFonts w:cs="David"/>
          <w:sz w:val="24"/>
          <w:szCs w:val="24"/>
          <w:rtl/>
        </w:rPr>
        <w:t>37 לכתב התביעה)</w:t>
      </w:r>
      <w:r w:rsidRPr="005F3436">
        <w:rPr>
          <w:rFonts w:cs="David"/>
          <w:sz w:val="28"/>
          <w:szCs w:val="28"/>
          <w:rtl/>
        </w:rPr>
        <w:t>?</w:t>
      </w:r>
      <w:r w:rsidRPr="00502D16">
        <w:rPr>
          <w:rFonts w:cs="David"/>
          <w:sz w:val="24"/>
          <w:szCs w:val="24"/>
          <w:rtl/>
        </w:rPr>
        <w:t xml:space="preserve"> על הלנת שכר </w:t>
      </w:r>
      <w:r w:rsidRPr="00502D16">
        <w:rPr>
          <w:rFonts w:cs="David" w:hint="cs"/>
          <w:sz w:val="24"/>
          <w:szCs w:val="24"/>
          <w:rtl/>
        </w:rPr>
        <w:t xml:space="preserve">עתידית </w:t>
      </w:r>
      <w:r w:rsidRPr="00502D16">
        <w:rPr>
          <w:rFonts w:cs="David"/>
          <w:sz w:val="24"/>
          <w:szCs w:val="24"/>
          <w:rtl/>
        </w:rPr>
        <w:t xml:space="preserve">שאולי </w:t>
      </w:r>
      <w:r w:rsidRPr="00502D16">
        <w:rPr>
          <w:rFonts w:cs="David" w:hint="cs"/>
          <w:sz w:val="24"/>
          <w:szCs w:val="24"/>
          <w:rtl/>
        </w:rPr>
        <w:t>תקרה</w:t>
      </w:r>
      <w:r w:rsidRPr="005F3436">
        <w:rPr>
          <w:rFonts w:cs="David"/>
          <w:sz w:val="28"/>
          <w:szCs w:val="28"/>
          <w:rtl/>
        </w:rPr>
        <w:t>?</w:t>
      </w:r>
    </w:p>
    <w:p w:rsidR="00502D16" w:rsidRPr="00502D16" w:rsidRDefault="00502D16" w:rsidP="00502D16">
      <w:pPr>
        <w:pStyle w:val="a3"/>
        <w:ind w:left="368"/>
        <w:rPr>
          <w:rFonts w:cs="David"/>
          <w:sz w:val="24"/>
          <w:szCs w:val="24"/>
          <w:rtl/>
        </w:rPr>
      </w:pPr>
    </w:p>
    <w:p w:rsidR="00502D16" w:rsidRPr="00502D16" w:rsidRDefault="00502D16" w:rsidP="00502D16">
      <w:pPr>
        <w:pStyle w:val="a3"/>
        <w:ind w:left="368"/>
        <w:rPr>
          <w:sz w:val="24"/>
          <w:szCs w:val="24"/>
          <w:rtl/>
        </w:rPr>
      </w:pPr>
    </w:p>
    <w:p w:rsidR="00502D16" w:rsidRPr="00624CC2" w:rsidRDefault="00502D16" w:rsidP="00502D16">
      <w:pPr>
        <w:pStyle w:val="a3"/>
        <w:numPr>
          <w:ilvl w:val="0"/>
          <w:numId w:val="2"/>
        </w:numPr>
        <w:rPr>
          <w:vanish/>
          <w:rtl/>
        </w:rPr>
      </w:pPr>
    </w:p>
    <w:p w:rsidR="00502D16" w:rsidRPr="00624CC2" w:rsidRDefault="00502D16" w:rsidP="00502D16">
      <w:pPr>
        <w:pStyle w:val="a3"/>
        <w:numPr>
          <w:ilvl w:val="0"/>
          <w:numId w:val="2"/>
        </w:numPr>
        <w:rPr>
          <w:vanish/>
          <w:rtl/>
        </w:rPr>
      </w:pPr>
    </w:p>
    <w:p w:rsidR="00502D16" w:rsidRPr="00624CC2" w:rsidRDefault="00502D16" w:rsidP="00502D16">
      <w:pPr>
        <w:pStyle w:val="a3"/>
        <w:numPr>
          <w:ilvl w:val="1"/>
          <w:numId w:val="2"/>
        </w:numPr>
        <w:rPr>
          <w:vanish/>
          <w:rtl/>
        </w:rPr>
      </w:pPr>
    </w:p>
    <w:p w:rsidR="00502D16" w:rsidRPr="00624CC2" w:rsidRDefault="00502D16" w:rsidP="00502D16">
      <w:pPr>
        <w:pStyle w:val="a3"/>
        <w:numPr>
          <w:ilvl w:val="1"/>
          <w:numId w:val="2"/>
        </w:numPr>
        <w:rPr>
          <w:vanish/>
          <w:rtl/>
        </w:rPr>
      </w:pPr>
    </w:p>
    <w:p w:rsidR="00502D16" w:rsidRPr="00624CC2" w:rsidRDefault="00502D16" w:rsidP="00502D16">
      <w:pPr>
        <w:pStyle w:val="a3"/>
        <w:numPr>
          <w:ilvl w:val="1"/>
          <w:numId w:val="2"/>
        </w:numPr>
        <w:rPr>
          <w:vanish/>
          <w:rtl/>
        </w:rPr>
      </w:pPr>
    </w:p>
    <w:p w:rsidR="00502D16" w:rsidRPr="00624CC2" w:rsidRDefault="00502D16" w:rsidP="00502D16">
      <w:pPr>
        <w:pStyle w:val="a3"/>
        <w:numPr>
          <w:ilvl w:val="1"/>
          <w:numId w:val="2"/>
        </w:numPr>
        <w:rPr>
          <w:vanish/>
          <w:rtl/>
        </w:rPr>
      </w:pPr>
    </w:p>
    <w:p w:rsidR="00502D16" w:rsidRPr="00624CC2" w:rsidRDefault="00502D16" w:rsidP="00502D16">
      <w:pPr>
        <w:pStyle w:val="a3"/>
        <w:numPr>
          <w:ilvl w:val="2"/>
          <w:numId w:val="2"/>
        </w:numPr>
        <w:rPr>
          <w:vanish/>
          <w:rtl/>
        </w:rPr>
      </w:pPr>
    </w:p>
    <w:p w:rsidR="00502D16" w:rsidRPr="00624CC2" w:rsidRDefault="00502D16" w:rsidP="00502D16">
      <w:pPr>
        <w:pStyle w:val="a3"/>
        <w:numPr>
          <w:ilvl w:val="2"/>
          <w:numId w:val="2"/>
        </w:numPr>
        <w:rPr>
          <w:vanish/>
          <w:rtl/>
        </w:rPr>
      </w:pPr>
    </w:p>
    <w:p w:rsidR="00502D16" w:rsidRPr="00624CC2" w:rsidRDefault="00502D16" w:rsidP="00502D16">
      <w:pPr>
        <w:pStyle w:val="a3"/>
        <w:numPr>
          <w:ilvl w:val="2"/>
          <w:numId w:val="2"/>
        </w:numPr>
        <w:rPr>
          <w:vanish/>
          <w:rtl/>
        </w:rPr>
      </w:pPr>
    </w:p>
    <w:p w:rsidR="00502D16" w:rsidRPr="005F3436" w:rsidRDefault="00502D16" w:rsidP="00071D76">
      <w:pPr>
        <w:pStyle w:val="a3"/>
        <w:numPr>
          <w:ilvl w:val="3"/>
          <w:numId w:val="2"/>
        </w:numPr>
        <w:ind w:left="368" w:hanging="426"/>
        <w:jc w:val="both"/>
        <w:rPr>
          <w:rFonts w:cs="David"/>
          <w:sz w:val="20"/>
          <w:szCs w:val="20"/>
        </w:rPr>
      </w:pPr>
      <w:r w:rsidRPr="00502D16">
        <w:rPr>
          <w:rFonts w:cs="David" w:hint="cs"/>
          <w:sz w:val="24"/>
          <w:szCs w:val="24"/>
          <w:rtl/>
        </w:rPr>
        <w:t>לא מיותר בהקשר זה לספר שבשנת 2001, הופסקה עבודתי ע"י הממונים עלי במשרד האוצר במתכונת דומה (לאחר שבתוקף תפקידי וסמכויותיי כחשב בכיר, סרבתי לאשר ולבצע הוצאה כספית גדולה לרכישת רכב למקורב לשר האוצר, שלא לפי הכללים המחייבים, ללא תיקצ</w:t>
      </w:r>
      <w:r w:rsidR="00FA3AFD">
        <w:rPr>
          <w:rFonts w:cs="David" w:hint="cs"/>
          <w:sz w:val="24"/>
          <w:szCs w:val="24"/>
          <w:rtl/>
        </w:rPr>
        <w:t xml:space="preserve">וב </w:t>
      </w:r>
      <w:r w:rsidRPr="00502D16">
        <w:rPr>
          <w:rFonts w:cs="David" w:hint="cs"/>
          <w:sz w:val="24"/>
          <w:szCs w:val="24"/>
          <w:rtl/>
        </w:rPr>
        <w:t>מתאים וללא האישורים הנדרשים). בפועל, קבלתי את משכורתי השוטפת בסוף החודש, לאחר שמאן דהוא במערכת לא הסכים לעצור את המשכורת ללא אסמכתא מתאימה מנציבות שרות המדינה, על אף ולמרות החלטת הממונים בהנהלת המשרד</w:t>
      </w:r>
      <w:r w:rsidR="00071D76">
        <w:rPr>
          <w:rFonts w:cs="David" w:hint="cs"/>
          <w:sz w:val="24"/>
          <w:szCs w:val="24"/>
          <w:rtl/>
        </w:rPr>
        <w:t xml:space="preserve"> והכל שב אל מקומו בשלום</w:t>
      </w:r>
      <w:r w:rsidRPr="00502D16">
        <w:rPr>
          <w:rFonts w:cs="David" w:hint="cs"/>
          <w:sz w:val="24"/>
          <w:szCs w:val="24"/>
          <w:rtl/>
        </w:rPr>
        <w:t>.</w:t>
      </w:r>
      <w:r w:rsidR="005F3436">
        <w:rPr>
          <w:rFonts w:cs="David" w:hint="cs"/>
          <w:sz w:val="24"/>
          <w:szCs w:val="24"/>
          <w:rtl/>
        </w:rPr>
        <w:t xml:space="preserve"> (</w:t>
      </w:r>
      <w:r w:rsidR="005F3436" w:rsidRPr="005F3436">
        <w:rPr>
          <w:rFonts w:cs="David" w:hint="cs"/>
          <w:sz w:val="20"/>
          <w:szCs w:val="20"/>
          <w:rtl/>
        </w:rPr>
        <w:t>אשתדל לאתר את המסמכים הרלוונטיים)</w:t>
      </w:r>
      <w:r w:rsidRPr="005F3436">
        <w:rPr>
          <w:rFonts w:cs="David"/>
          <w:sz w:val="20"/>
          <w:szCs w:val="20"/>
          <w:rtl/>
        </w:rPr>
        <w:tab/>
      </w:r>
    </w:p>
    <w:p w:rsidR="00502D16" w:rsidRPr="005F3436" w:rsidRDefault="00502D16" w:rsidP="00502D16">
      <w:pPr>
        <w:pStyle w:val="a3"/>
        <w:ind w:left="368"/>
        <w:jc w:val="both"/>
        <w:rPr>
          <w:rFonts w:cs="David"/>
          <w:sz w:val="8"/>
          <w:szCs w:val="8"/>
        </w:rPr>
      </w:pPr>
    </w:p>
    <w:p w:rsidR="00502D16" w:rsidRPr="00502D16" w:rsidRDefault="00502D16" w:rsidP="00071D76">
      <w:pPr>
        <w:pStyle w:val="a3"/>
        <w:numPr>
          <w:ilvl w:val="2"/>
          <w:numId w:val="2"/>
        </w:numPr>
        <w:ind w:left="368" w:hanging="426"/>
        <w:jc w:val="both"/>
        <w:rPr>
          <w:rFonts w:cs="David"/>
          <w:sz w:val="24"/>
          <w:szCs w:val="24"/>
        </w:rPr>
      </w:pPr>
      <w:r w:rsidRPr="00502D16">
        <w:rPr>
          <w:rFonts w:cs="David"/>
          <w:sz w:val="24"/>
          <w:szCs w:val="24"/>
          <w:rtl/>
        </w:rPr>
        <w:t>מה הייתי עושה ואומר לבית הדין, לו הגשתי תביעה ב-6.8.12, מיד עם ה</w:t>
      </w:r>
      <w:r w:rsidRPr="00502D16">
        <w:rPr>
          <w:rFonts w:cs="David" w:hint="cs"/>
          <w:sz w:val="24"/>
          <w:szCs w:val="24"/>
          <w:rtl/>
        </w:rPr>
        <w:t>שתכללות "כוח תביעה קונקרטי וה</w:t>
      </w:r>
      <w:r w:rsidRPr="00502D16">
        <w:rPr>
          <w:rFonts w:cs="David"/>
          <w:sz w:val="24"/>
          <w:szCs w:val="24"/>
          <w:rtl/>
        </w:rPr>
        <w:t>תגבשה</w:t>
      </w:r>
      <w:r w:rsidRPr="00502D16">
        <w:rPr>
          <w:rFonts w:cs="David" w:hint="cs"/>
          <w:sz w:val="24"/>
          <w:szCs w:val="24"/>
          <w:rtl/>
        </w:rPr>
        <w:t xml:space="preserve"> עילת תביעה" כלשון פסה"ד</w:t>
      </w:r>
      <w:r w:rsidRPr="00502D16">
        <w:rPr>
          <w:rFonts w:cs="David"/>
          <w:sz w:val="24"/>
          <w:szCs w:val="24"/>
          <w:rtl/>
        </w:rPr>
        <w:t xml:space="preserve">, אם </w:t>
      </w:r>
      <w:r w:rsidRPr="00502D16">
        <w:rPr>
          <w:rFonts w:cs="David" w:hint="cs"/>
          <w:sz w:val="24"/>
          <w:szCs w:val="24"/>
          <w:rtl/>
        </w:rPr>
        <w:t xml:space="preserve">חודש לאחר הגשת התביעה, </w:t>
      </w:r>
      <w:r w:rsidRPr="00502D16">
        <w:rPr>
          <w:rFonts w:cs="David"/>
          <w:sz w:val="24"/>
          <w:szCs w:val="24"/>
          <w:rtl/>
        </w:rPr>
        <w:t>בתחילת ספטמבר 2012</w:t>
      </w:r>
      <w:r w:rsidRPr="00502D16">
        <w:rPr>
          <w:rFonts w:cs="David" w:hint="cs"/>
          <w:sz w:val="24"/>
          <w:szCs w:val="24"/>
          <w:rtl/>
        </w:rPr>
        <w:t>,</w:t>
      </w:r>
      <w:r w:rsidRPr="00502D16">
        <w:rPr>
          <w:rFonts w:cs="David"/>
          <w:sz w:val="24"/>
          <w:szCs w:val="24"/>
          <w:rtl/>
        </w:rPr>
        <w:t xml:space="preserve"> הייתי מגלה שמשכורתי השוטפת נכנסת לחשבוני בבנק כי מישהו במערכת היה אומר -ובצדק- שלא ניתן סתם כך לעצור משכורת של עובד קבוע אחרי יותר </w:t>
      </w:r>
      <w:r w:rsidR="005F3436">
        <w:rPr>
          <w:rFonts w:cs="David" w:hint="cs"/>
          <w:sz w:val="24"/>
          <w:szCs w:val="24"/>
          <w:rtl/>
        </w:rPr>
        <w:t xml:space="preserve">        </w:t>
      </w:r>
      <w:r w:rsidRPr="00502D16">
        <w:rPr>
          <w:rFonts w:cs="David"/>
          <w:sz w:val="24"/>
          <w:szCs w:val="24"/>
          <w:rtl/>
        </w:rPr>
        <w:t>מ-40 שנות עבודה?</w:t>
      </w:r>
    </w:p>
    <w:p w:rsidR="00502D16" w:rsidRPr="00502D16" w:rsidRDefault="00502D16" w:rsidP="00502D16">
      <w:pPr>
        <w:pStyle w:val="a3"/>
        <w:ind w:left="368"/>
        <w:jc w:val="both"/>
        <w:rPr>
          <w:rFonts w:cs="David"/>
          <w:sz w:val="8"/>
          <w:szCs w:val="8"/>
          <w:rtl/>
        </w:rPr>
      </w:pPr>
    </w:p>
    <w:p w:rsidR="00502D16" w:rsidRPr="00502D16" w:rsidRDefault="00502D16" w:rsidP="00771E98">
      <w:pPr>
        <w:pStyle w:val="a3"/>
        <w:ind w:left="368"/>
        <w:jc w:val="both"/>
        <w:rPr>
          <w:rFonts w:cs="David"/>
          <w:sz w:val="24"/>
          <w:szCs w:val="24"/>
          <w:rtl/>
        </w:rPr>
      </w:pPr>
      <w:r w:rsidRPr="00502D16">
        <w:rPr>
          <w:rFonts w:cs="David" w:hint="cs"/>
          <w:sz w:val="24"/>
          <w:szCs w:val="24"/>
          <w:rtl/>
        </w:rPr>
        <w:t>האם בית הדין, שבפיסקה 19 בפסק דינו מסביר את ה"חשיבות החברתית" והצורך להבטיח שלא יבוזבזו זמני ומשאבי המערכת המשפטית, לא היה דוחה תביעה שהיתה מוגשת ב-</w:t>
      </w:r>
      <w:r w:rsidR="00771E98">
        <w:rPr>
          <w:rFonts w:cs="David" w:hint="cs"/>
          <w:sz w:val="24"/>
          <w:szCs w:val="24"/>
          <w:rtl/>
        </w:rPr>
        <w:t>6</w:t>
      </w:r>
      <w:r w:rsidRPr="00502D16">
        <w:rPr>
          <w:rFonts w:cs="David" w:hint="cs"/>
          <w:sz w:val="24"/>
          <w:szCs w:val="24"/>
          <w:rtl/>
        </w:rPr>
        <w:t>.8.12  כמוקדמת מדי כי עדיין לא מוצו ההליכים מול המדינה על זרועותיה (אוצר, נציבות, חשבות, ייעוץ משפטי וכד') ולכן עדיין לא התגבשה עילת תביעה?</w:t>
      </w:r>
    </w:p>
    <w:p w:rsidR="00502D16" w:rsidRPr="00502D16" w:rsidRDefault="00502D16" w:rsidP="00502D16">
      <w:pPr>
        <w:pStyle w:val="a3"/>
        <w:ind w:left="368"/>
        <w:jc w:val="both"/>
        <w:rPr>
          <w:rFonts w:cs="David"/>
          <w:sz w:val="24"/>
          <w:szCs w:val="24"/>
          <w:rtl/>
        </w:rPr>
      </w:pPr>
    </w:p>
    <w:p w:rsidR="00502D16" w:rsidRPr="00502D16" w:rsidRDefault="00502D16" w:rsidP="00502D16">
      <w:pPr>
        <w:pStyle w:val="a3"/>
        <w:ind w:left="-58"/>
        <w:jc w:val="both"/>
        <w:rPr>
          <w:rFonts w:cs="David"/>
          <w:b/>
          <w:bCs/>
          <w:sz w:val="24"/>
          <w:szCs w:val="24"/>
          <w:u w:val="single"/>
          <w:rtl/>
        </w:rPr>
      </w:pPr>
      <w:r w:rsidRPr="00502D16">
        <w:rPr>
          <w:rFonts w:cs="David" w:hint="cs"/>
          <w:b/>
          <w:bCs/>
          <w:sz w:val="24"/>
          <w:szCs w:val="24"/>
          <w:u w:val="single"/>
          <w:rtl/>
        </w:rPr>
        <w:t>"מכלול העובדות והמהותיות המולידות את הזכות לסעד המבוקש ע"י התובע".</w:t>
      </w:r>
    </w:p>
    <w:p w:rsidR="00502D16" w:rsidRPr="00502D16" w:rsidRDefault="00502D16" w:rsidP="00502D16">
      <w:pPr>
        <w:pStyle w:val="a3"/>
        <w:ind w:left="-58"/>
        <w:jc w:val="both"/>
        <w:rPr>
          <w:rFonts w:cs="David"/>
          <w:b/>
          <w:bCs/>
          <w:sz w:val="8"/>
          <w:szCs w:val="8"/>
          <w:u w:val="single"/>
          <w:rtl/>
        </w:rPr>
      </w:pPr>
    </w:p>
    <w:p w:rsidR="00502D16" w:rsidRPr="00502D16" w:rsidRDefault="00502D16" w:rsidP="00502D16">
      <w:pPr>
        <w:pStyle w:val="a3"/>
        <w:numPr>
          <w:ilvl w:val="1"/>
          <w:numId w:val="1"/>
        </w:numPr>
        <w:ind w:left="368" w:hanging="426"/>
        <w:jc w:val="both"/>
        <w:rPr>
          <w:rFonts w:cs="David"/>
          <w:sz w:val="24"/>
          <w:szCs w:val="24"/>
        </w:rPr>
      </w:pPr>
      <w:r w:rsidRPr="00502D16">
        <w:rPr>
          <w:rFonts w:cs="David" w:hint="cs"/>
          <w:sz w:val="24"/>
          <w:szCs w:val="24"/>
          <w:rtl/>
        </w:rPr>
        <w:t>מטבע הדברים, ברור לגמרי שסיום העסקה</w:t>
      </w:r>
      <w:r w:rsidR="00B000C0">
        <w:rPr>
          <w:rFonts w:cs="David" w:hint="cs"/>
          <w:sz w:val="24"/>
          <w:szCs w:val="24"/>
          <w:rtl/>
        </w:rPr>
        <w:t xml:space="preserve"> בשרות המדינה</w:t>
      </w:r>
      <w:r w:rsidRPr="00502D16">
        <w:rPr>
          <w:rFonts w:cs="David" w:hint="cs"/>
          <w:sz w:val="24"/>
          <w:szCs w:val="24"/>
          <w:rtl/>
        </w:rPr>
        <w:t>, במיוחד אחרי יותר מ-40 שנות עבודה, גוררת בעקבותיה הפסקת משכורת מחד ואישור ותשלום פנסיה מאידך. כל ההתרחשויות הללו ביחד מהוות</w:t>
      </w:r>
      <w:r w:rsidRPr="00502D16">
        <w:rPr>
          <w:rFonts w:cs="David" w:hint="cs"/>
          <w:b/>
          <w:bCs/>
          <w:sz w:val="24"/>
          <w:szCs w:val="24"/>
          <w:rtl/>
        </w:rPr>
        <w:t xml:space="preserve"> מכלול אחד של פעילויות מהותיות</w:t>
      </w:r>
      <w:r w:rsidRPr="00502D16">
        <w:rPr>
          <w:rFonts w:cs="David" w:hint="cs"/>
          <w:sz w:val="24"/>
          <w:szCs w:val="24"/>
          <w:rtl/>
        </w:rPr>
        <w:t xml:space="preserve">, האחת קשורה בשניה בקשר גורדי ממש.  </w:t>
      </w:r>
    </w:p>
    <w:p w:rsidR="00502D16" w:rsidRPr="00502D16" w:rsidRDefault="00502D16" w:rsidP="00502D16">
      <w:pPr>
        <w:pStyle w:val="a3"/>
        <w:ind w:left="368"/>
        <w:jc w:val="both"/>
        <w:rPr>
          <w:rFonts w:cs="David"/>
          <w:sz w:val="6"/>
          <w:szCs w:val="6"/>
          <w:rtl/>
        </w:rPr>
      </w:pPr>
    </w:p>
    <w:p w:rsidR="00502D16" w:rsidRPr="00502D16" w:rsidRDefault="00502D16" w:rsidP="00502D16">
      <w:pPr>
        <w:pStyle w:val="a3"/>
        <w:ind w:left="368"/>
        <w:jc w:val="both"/>
        <w:rPr>
          <w:rFonts w:cs="David"/>
          <w:sz w:val="24"/>
          <w:szCs w:val="24"/>
          <w:rtl/>
        </w:rPr>
      </w:pPr>
      <w:r w:rsidRPr="00502D16">
        <w:rPr>
          <w:rFonts w:cs="David" w:hint="cs"/>
          <w:sz w:val="24"/>
          <w:szCs w:val="24"/>
          <w:rtl/>
        </w:rPr>
        <w:t xml:space="preserve"> </w:t>
      </w:r>
      <w:r w:rsidR="00FA3AFD">
        <w:rPr>
          <w:rFonts w:cs="David" w:hint="cs"/>
          <w:sz w:val="24"/>
          <w:szCs w:val="24"/>
          <w:rtl/>
        </w:rPr>
        <w:t xml:space="preserve">קביעת בית הדין </w:t>
      </w:r>
      <w:r w:rsidRPr="00502D16">
        <w:rPr>
          <w:rFonts w:cs="David" w:hint="cs"/>
          <w:sz w:val="24"/>
          <w:szCs w:val="24"/>
          <w:rtl/>
        </w:rPr>
        <w:t>שכבר ב-5.8.12 "השתכלל כוח תביעה והתגבשה עילת התביעה" לצורך התיישנות, מפרידה בהכרח, בצורה מלאכותית ולא צודקת, בין המרכיבים הללו</w:t>
      </w:r>
      <w:r w:rsidR="00FA3AFD">
        <w:rPr>
          <w:rFonts w:cs="David" w:hint="cs"/>
          <w:sz w:val="24"/>
          <w:szCs w:val="24"/>
          <w:rtl/>
        </w:rPr>
        <w:t>.</w:t>
      </w:r>
    </w:p>
    <w:p w:rsidR="00502D16" w:rsidRPr="00502D16" w:rsidRDefault="00502D16" w:rsidP="00502D16">
      <w:pPr>
        <w:pStyle w:val="a3"/>
        <w:ind w:left="368"/>
        <w:jc w:val="both"/>
        <w:rPr>
          <w:rFonts w:cs="David"/>
          <w:sz w:val="8"/>
          <w:szCs w:val="8"/>
        </w:rPr>
      </w:pPr>
    </w:p>
    <w:p w:rsidR="00502D16" w:rsidRPr="00502D16" w:rsidRDefault="00502D16" w:rsidP="005F3436">
      <w:pPr>
        <w:pStyle w:val="a3"/>
        <w:numPr>
          <w:ilvl w:val="2"/>
          <w:numId w:val="1"/>
        </w:numPr>
        <w:ind w:left="793"/>
        <w:jc w:val="both"/>
        <w:rPr>
          <w:rFonts w:cs="David"/>
          <w:sz w:val="24"/>
          <w:szCs w:val="24"/>
        </w:rPr>
      </w:pPr>
      <w:r w:rsidRPr="00502D16">
        <w:rPr>
          <w:rFonts w:cs="David" w:hint="cs"/>
          <w:sz w:val="24"/>
          <w:szCs w:val="24"/>
          <w:rtl/>
        </w:rPr>
        <w:t xml:space="preserve">ע"פ הגיון זה יכולתי כאמור לתבוע בתחילת אוגוסט 2012 - על מה שנעשה לי ב-5.8.12, מועד היווצרות העילה, (כאמור לעיל, לא ברור על מה בדיוק </w:t>
      </w:r>
      <w:r w:rsidR="005F3436">
        <w:rPr>
          <w:rFonts w:cs="David" w:hint="cs"/>
          <w:sz w:val="24"/>
          <w:szCs w:val="24"/>
          <w:rtl/>
        </w:rPr>
        <w:t xml:space="preserve">שהרי אף גורם מוסמך בכל המערכת לא </w:t>
      </w:r>
      <w:r w:rsidRPr="00502D16">
        <w:rPr>
          <w:rFonts w:cs="David" w:hint="cs"/>
          <w:sz w:val="24"/>
          <w:szCs w:val="24"/>
          <w:rtl/>
        </w:rPr>
        <w:t xml:space="preserve">עשה </w:t>
      </w:r>
      <w:r w:rsidR="005F3436">
        <w:rPr>
          <w:rFonts w:cs="David" w:hint="cs"/>
          <w:sz w:val="24"/>
          <w:szCs w:val="24"/>
          <w:rtl/>
        </w:rPr>
        <w:t xml:space="preserve">עדיין צעד כלשהו </w:t>
      </w:r>
      <w:r w:rsidRPr="00502D16">
        <w:rPr>
          <w:rFonts w:cs="David" w:hint="cs"/>
          <w:sz w:val="24"/>
          <w:szCs w:val="24"/>
          <w:rtl/>
        </w:rPr>
        <w:t>ה</w:t>
      </w:r>
      <w:r w:rsidR="005F3436">
        <w:rPr>
          <w:rFonts w:cs="David" w:hint="cs"/>
          <w:sz w:val="24"/>
          <w:szCs w:val="24"/>
          <w:rtl/>
        </w:rPr>
        <w:t>מ</w:t>
      </w:r>
      <w:r w:rsidRPr="00502D16">
        <w:rPr>
          <w:rFonts w:cs="David" w:hint="cs"/>
          <w:sz w:val="24"/>
          <w:szCs w:val="24"/>
          <w:rtl/>
        </w:rPr>
        <w:t>ביא לסיום חוזה העבודה התקף שבידי).</w:t>
      </w:r>
    </w:p>
    <w:p w:rsidR="00502D16" w:rsidRPr="00502D16" w:rsidRDefault="00502D16" w:rsidP="00502D16">
      <w:pPr>
        <w:pStyle w:val="a3"/>
        <w:ind w:left="793" w:hanging="720"/>
        <w:jc w:val="both"/>
        <w:rPr>
          <w:rFonts w:cs="David"/>
          <w:sz w:val="8"/>
          <w:szCs w:val="8"/>
        </w:rPr>
      </w:pPr>
    </w:p>
    <w:p w:rsidR="00502D16" w:rsidRPr="00502D16" w:rsidRDefault="00502D16" w:rsidP="00FA3AFD">
      <w:pPr>
        <w:pStyle w:val="a3"/>
        <w:numPr>
          <w:ilvl w:val="2"/>
          <w:numId w:val="1"/>
        </w:numPr>
        <w:ind w:left="793"/>
        <w:jc w:val="both"/>
        <w:rPr>
          <w:rFonts w:cs="David"/>
          <w:sz w:val="24"/>
          <w:szCs w:val="24"/>
        </w:rPr>
      </w:pPr>
      <w:r w:rsidRPr="00502D16">
        <w:rPr>
          <w:rFonts w:cs="David" w:hint="cs"/>
          <w:sz w:val="24"/>
          <w:szCs w:val="24"/>
          <w:rtl/>
        </w:rPr>
        <w:t>בחודש ספטמבר 2012, לאחר שגיליתי שמשכורתי לא שולמה, ע"פ חוזה העבודה התקף שבידי על אף שכאמור איש לא הפסיקו עדיין באותו מועד (ובוודא</w:t>
      </w:r>
      <w:r w:rsidRPr="00502D16">
        <w:rPr>
          <w:rFonts w:cs="David" w:hint="eastAsia"/>
          <w:sz w:val="24"/>
          <w:szCs w:val="24"/>
          <w:rtl/>
        </w:rPr>
        <w:t>י</w:t>
      </w:r>
      <w:r w:rsidRPr="00502D16">
        <w:rPr>
          <w:rFonts w:cs="David" w:hint="cs"/>
          <w:sz w:val="24"/>
          <w:szCs w:val="24"/>
          <w:rtl/>
        </w:rPr>
        <w:t xml:space="preserve"> לא בעת היווצרות העילה</w:t>
      </w:r>
      <w:r w:rsidR="005F3436">
        <w:rPr>
          <w:rFonts w:cs="David" w:hint="cs"/>
          <w:sz w:val="24"/>
          <w:szCs w:val="24"/>
          <w:rtl/>
        </w:rPr>
        <w:t xml:space="preserve"> לתביעה הראשונה ב-5.8.12), </w:t>
      </w:r>
      <w:r w:rsidRPr="00502D16">
        <w:rPr>
          <w:rFonts w:cs="David" w:hint="cs"/>
          <w:sz w:val="24"/>
          <w:szCs w:val="24"/>
          <w:rtl/>
        </w:rPr>
        <w:t>נוצר</w:t>
      </w:r>
      <w:r w:rsidR="005F3436">
        <w:rPr>
          <w:rFonts w:cs="David" w:hint="cs"/>
          <w:sz w:val="24"/>
          <w:szCs w:val="24"/>
          <w:rtl/>
        </w:rPr>
        <w:t>ה</w:t>
      </w:r>
      <w:r w:rsidRPr="00502D16">
        <w:rPr>
          <w:rFonts w:cs="David" w:hint="cs"/>
          <w:sz w:val="24"/>
          <w:szCs w:val="24"/>
          <w:rtl/>
        </w:rPr>
        <w:t xml:space="preserve"> עילת תביעה חדשה ונפרדת על הלנת שכר.</w:t>
      </w:r>
    </w:p>
    <w:p w:rsidR="00502D16" w:rsidRPr="00502D16" w:rsidRDefault="00502D16" w:rsidP="00502D16">
      <w:pPr>
        <w:pStyle w:val="a3"/>
        <w:ind w:left="793" w:hanging="720"/>
        <w:jc w:val="both"/>
        <w:rPr>
          <w:rFonts w:cs="David"/>
          <w:sz w:val="8"/>
          <w:szCs w:val="8"/>
          <w:rtl/>
        </w:rPr>
      </w:pPr>
    </w:p>
    <w:p w:rsidR="00502D16" w:rsidRPr="00502D16" w:rsidRDefault="00502D16" w:rsidP="005F3436">
      <w:pPr>
        <w:pStyle w:val="a3"/>
        <w:numPr>
          <w:ilvl w:val="2"/>
          <w:numId w:val="1"/>
        </w:numPr>
        <w:ind w:left="651" w:hanging="567"/>
        <w:jc w:val="both"/>
        <w:rPr>
          <w:rFonts w:cs="David"/>
          <w:sz w:val="24"/>
          <w:szCs w:val="24"/>
          <w:rtl/>
        </w:rPr>
      </w:pPr>
      <w:r w:rsidRPr="00502D16">
        <w:rPr>
          <w:rFonts w:cs="David" w:hint="cs"/>
          <w:sz w:val="24"/>
          <w:szCs w:val="24"/>
          <w:rtl/>
        </w:rPr>
        <w:t>בשלהי דצמבר 2012, לאחר שהובא לידיעתי כי נציב שרות המדינה החליט להפסיק את העסקתי רטרואקטיבית</w:t>
      </w:r>
      <w:r w:rsidR="00B000C0">
        <w:rPr>
          <w:rFonts w:cs="David" w:hint="cs"/>
          <w:sz w:val="24"/>
          <w:szCs w:val="24"/>
          <w:rtl/>
        </w:rPr>
        <w:t>(!)</w:t>
      </w:r>
      <w:r w:rsidRPr="00502D16">
        <w:rPr>
          <w:rFonts w:cs="David" w:hint="cs"/>
          <w:sz w:val="24"/>
          <w:szCs w:val="24"/>
          <w:rtl/>
        </w:rPr>
        <w:t xml:space="preserve"> מ-31.7.12, והוחלט לשלם לי פנסיה רטרואקטיבית מאותו מועד, נוצרה, אליבא דבית הדין, עילה נוספת ונפרדת, לפניה לבית המשפט לצורך ערעור על גובה הגימלא</w:t>
      </w:r>
      <w:r w:rsidR="005F3436">
        <w:rPr>
          <w:rFonts w:cs="David" w:hint="cs"/>
          <w:sz w:val="24"/>
          <w:szCs w:val="24"/>
          <w:rtl/>
        </w:rPr>
        <w:t xml:space="preserve">, מוגבלת בזמן ל-60 יום, </w:t>
      </w:r>
      <w:r w:rsidRPr="00502D16">
        <w:rPr>
          <w:rFonts w:cs="David" w:hint="cs"/>
          <w:sz w:val="24"/>
          <w:szCs w:val="24"/>
          <w:rtl/>
        </w:rPr>
        <w:t>תוך התעלמות מהשאלה המהותית אם כבר מגיעה לי גימלא או שמא מגיעה לי עדיין משכורת (נושא התביעה הראשונה ותביעה השניה) ועל אף שגם מינהלת הגימלאות וגם נציבות שרות המדינה, הנחו אותי שלא לפנות לבית הדין ולהמתין עד לברור טיעוניי</w:t>
      </w:r>
      <w:r w:rsidR="00B000C0">
        <w:rPr>
          <w:rFonts w:cs="David" w:hint="cs"/>
          <w:sz w:val="24"/>
          <w:szCs w:val="24"/>
          <w:rtl/>
        </w:rPr>
        <w:t xml:space="preserve"> (</w:t>
      </w:r>
      <w:r w:rsidRPr="00502D16">
        <w:rPr>
          <w:rFonts w:cs="David" w:hint="cs"/>
          <w:sz w:val="24"/>
          <w:szCs w:val="24"/>
          <w:rtl/>
        </w:rPr>
        <w:t>.</w:t>
      </w:r>
    </w:p>
    <w:p w:rsidR="00502D16" w:rsidRPr="00502D16" w:rsidRDefault="00502D16" w:rsidP="00502D16">
      <w:pPr>
        <w:pStyle w:val="a3"/>
        <w:ind w:left="226"/>
        <w:jc w:val="both"/>
        <w:rPr>
          <w:rFonts w:cs="David"/>
          <w:sz w:val="24"/>
          <w:szCs w:val="24"/>
          <w:rtl/>
        </w:rPr>
      </w:pPr>
    </w:p>
    <w:p w:rsidR="00502D16" w:rsidRDefault="00502D16" w:rsidP="00502D16">
      <w:pPr>
        <w:pStyle w:val="a3"/>
        <w:ind w:left="226"/>
        <w:jc w:val="both"/>
        <w:rPr>
          <w:rFonts w:cs="David"/>
          <w:sz w:val="24"/>
          <w:szCs w:val="24"/>
          <w:rtl/>
        </w:rPr>
      </w:pPr>
      <w:r w:rsidRPr="00502D16">
        <w:rPr>
          <w:rFonts w:cs="David" w:hint="cs"/>
          <w:sz w:val="24"/>
          <w:szCs w:val="24"/>
          <w:rtl/>
        </w:rPr>
        <w:t xml:space="preserve">התיחסות בית הדין לארוע ב-5.8.12 כמועד התגבשות העילה לתביעה העומד בפני עצמו לצורך התיישנות  ולא כחלק ממכלול ההתרחשויות הקשורות זו לזו, לפחות אלו שהתרחשו עד דצמבר 2012 אם לא הרבה מעבר לכך, אינה עולה בקנה אחד עם ה"צורך החברתי" שלא לבזבז את משאבי המערכת המשפטית, (כאמור בפיסקא 19 לפסה"ד), נוגדת כללי הצדק הבסיסי והטבעי, אך בעיקר עומדת </w:t>
      </w:r>
      <w:r w:rsidRPr="00502D16">
        <w:rPr>
          <w:rFonts w:cs="David" w:hint="cs"/>
          <w:b/>
          <w:bCs/>
          <w:sz w:val="24"/>
          <w:szCs w:val="24"/>
          <w:rtl/>
        </w:rPr>
        <w:t>בסתירה מוחלטת לפסיקת בית המשפט העליון</w:t>
      </w:r>
      <w:r w:rsidRPr="00502D16">
        <w:rPr>
          <w:rFonts w:cs="David" w:hint="cs"/>
          <w:sz w:val="24"/>
          <w:szCs w:val="24"/>
          <w:rtl/>
        </w:rPr>
        <w:t xml:space="preserve">  שכאמור בית הדין עצמו מצטט (פיסקא 27), לפיה </w:t>
      </w:r>
      <w:r w:rsidRPr="00502D16">
        <w:rPr>
          <w:rFonts w:cs="David" w:hint="cs"/>
          <w:b/>
          <w:bCs/>
          <w:sz w:val="24"/>
          <w:szCs w:val="24"/>
          <w:rtl/>
        </w:rPr>
        <w:t>"לצורך התיישנות</w:t>
      </w:r>
      <w:r w:rsidRPr="00502D16">
        <w:rPr>
          <w:rFonts w:cs="David" w:hint="cs"/>
          <w:sz w:val="24"/>
          <w:szCs w:val="24"/>
          <w:rtl/>
        </w:rPr>
        <w:t xml:space="preserve">, </w:t>
      </w:r>
      <w:r w:rsidRPr="005F3436">
        <w:rPr>
          <w:rFonts w:cs="David" w:hint="cs"/>
          <w:b/>
          <w:bCs/>
          <w:sz w:val="24"/>
          <w:szCs w:val="24"/>
          <w:rtl/>
        </w:rPr>
        <w:t>עילת התביעה היא</w:t>
      </w:r>
      <w:r w:rsidRPr="00502D16">
        <w:rPr>
          <w:rFonts w:cs="David" w:hint="cs"/>
          <w:sz w:val="24"/>
          <w:szCs w:val="24"/>
          <w:rtl/>
        </w:rPr>
        <w:t xml:space="preserve"> </w:t>
      </w:r>
      <w:r w:rsidRPr="00502D16">
        <w:rPr>
          <w:rFonts w:cs="David" w:hint="cs"/>
          <w:b/>
          <w:bCs/>
          <w:sz w:val="24"/>
          <w:szCs w:val="24"/>
          <w:rtl/>
        </w:rPr>
        <w:t>מכלול העובדות המהותיות המולידות את הזכות</w:t>
      </w:r>
      <w:r w:rsidRPr="00502D16">
        <w:rPr>
          <w:rFonts w:cs="David" w:hint="cs"/>
          <w:sz w:val="24"/>
          <w:szCs w:val="24"/>
          <w:rtl/>
        </w:rPr>
        <w:t xml:space="preserve"> </w:t>
      </w:r>
      <w:r w:rsidRPr="00502D16">
        <w:rPr>
          <w:rFonts w:cs="David" w:hint="cs"/>
          <w:b/>
          <w:bCs/>
          <w:sz w:val="24"/>
          <w:szCs w:val="24"/>
          <w:rtl/>
        </w:rPr>
        <w:t>לסעד המבוקש על ידי התובע</w:t>
      </w:r>
      <w:r w:rsidRPr="00502D16">
        <w:rPr>
          <w:rFonts w:cs="David" w:hint="cs"/>
          <w:sz w:val="24"/>
          <w:szCs w:val="24"/>
          <w:rtl/>
        </w:rPr>
        <w:t>".</w:t>
      </w:r>
    </w:p>
    <w:p w:rsidR="005F3436" w:rsidRDefault="005F3436" w:rsidP="00502D16">
      <w:pPr>
        <w:pStyle w:val="a3"/>
        <w:ind w:left="226"/>
        <w:jc w:val="both"/>
        <w:rPr>
          <w:rFonts w:cs="David"/>
          <w:sz w:val="24"/>
          <w:szCs w:val="24"/>
          <w:rtl/>
        </w:rPr>
      </w:pPr>
    </w:p>
    <w:p w:rsidR="005F3436" w:rsidRDefault="005F3436" w:rsidP="00502D16">
      <w:pPr>
        <w:pStyle w:val="a3"/>
        <w:ind w:left="226"/>
        <w:jc w:val="both"/>
        <w:rPr>
          <w:rFonts w:cs="David"/>
          <w:sz w:val="24"/>
          <w:szCs w:val="24"/>
          <w:rtl/>
        </w:rPr>
      </w:pPr>
    </w:p>
    <w:p w:rsidR="005F3436" w:rsidRDefault="005F3436" w:rsidP="00502D16">
      <w:pPr>
        <w:pStyle w:val="a3"/>
        <w:ind w:left="226"/>
        <w:jc w:val="both"/>
        <w:rPr>
          <w:rFonts w:cs="David"/>
          <w:sz w:val="24"/>
          <w:szCs w:val="24"/>
          <w:rtl/>
        </w:rPr>
      </w:pPr>
    </w:p>
    <w:p w:rsidR="005F3436" w:rsidRDefault="005F3436" w:rsidP="00502D16">
      <w:pPr>
        <w:pStyle w:val="a3"/>
        <w:ind w:left="226"/>
        <w:jc w:val="both"/>
        <w:rPr>
          <w:rFonts w:cs="David"/>
          <w:sz w:val="24"/>
          <w:szCs w:val="24"/>
          <w:rtl/>
        </w:rPr>
      </w:pPr>
    </w:p>
    <w:p w:rsidR="005F3436" w:rsidRPr="00502D16" w:rsidRDefault="005F3436" w:rsidP="00502D16">
      <w:pPr>
        <w:pStyle w:val="a3"/>
        <w:ind w:left="226"/>
        <w:jc w:val="both"/>
        <w:rPr>
          <w:rFonts w:cs="David"/>
          <w:sz w:val="24"/>
          <w:szCs w:val="24"/>
          <w:rtl/>
        </w:rPr>
      </w:pPr>
    </w:p>
    <w:p w:rsidR="00502D16" w:rsidRDefault="00502D16" w:rsidP="00502D16">
      <w:pPr>
        <w:pStyle w:val="a3"/>
        <w:ind w:left="226"/>
        <w:rPr>
          <w:rtl/>
        </w:rPr>
      </w:pPr>
    </w:p>
    <w:p w:rsidR="00502D16" w:rsidRPr="005F3436" w:rsidRDefault="00502D16" w:rsidP="00502D16">
      <w:pPr>
        <w:ind w:hanging="341"/>
        <w:rPr>
          <w:rFonts w:cs="David"/>
          <w:b/>
          <w:bCs/>
          <w:sz w:val="24"/>
          <w:szCs w:val="24"/>
          <w:u w:val="single"/>
          <w:rtl/>
        </w:rPr>
      </w:pPr>
      <w:r w:rsidRPr="00020EB5">
        <w:rPr>
          <w:rFonts w:hint="cs"/>
          <w:b/>
          <w:bCs/>
          <w:sz w:val="24"/>
          <w:szCs w:val="24"/>
          <w:rtl/>
        </w:rPr>
        <w:t xml:space="preserve">  </w:t>
      </w:r>
      <w:r w:rsidRPr="005F3436">
        <w:rPr>
          <w:rFonts w:cs="David" w:hint="cs"/>
          <w:b/>
          <w:bCs/>
          <w:sz w:val="24"/>
          <w:szCs w:val="24"/>
          <w:rtl/>
        </w:rPr>
        <w:t xml:space="preserve">ב: </w:t>
      </w:r>
      <w:r w:rsidRPr="005F3436">
        <w:rPr>
          <w:rFonts w:cs="David" w:hint="cs"/>
          <w:b/>
          <w:bCs/>
          <w:sz w:val="24"/>
          <w:szCs w:val="24"/>
          <w:u w:val="single"/>
          <w:rtl/>
        </w:rPr>
        <w:t>התביעה לענין שיעור הגימלא</w:t>
      </w:r>
    </w:p>
    <w:p w:rsidR="00502D16" w:rsidRPr="005F3436" w:rsidRDefault="00502D16" w:rsidP="00502D16">
      <w:pPr>
        <w:ind w:hanging="341"/>
        <w:rPr>
          <w:rFonts w:cs="David"/>
          <w:u w:val="single"/>
          <w:rtl/>
        </w:rPr>
      </w:pPr>
      <w:r w:rsidRPr="005F3436">
        <w:rPr>
          <w:rFonts w:cs="David" w:hint="cs"/>
          <w:b/>
          <w:bCs/>
          <w:rtl/>
        </w:rPr>
        <w:t xml:space="preserve">     </w:t>
      </w:r>
      <w:r w:rsidRPr="005F3436">
        <w:rPr>
          <w:rFonts w:cs="David" w:hint="cs"/>
          <w:b/>
          <w:bCs/>
          <w:u w:val="single"/>
          <w:rtl/>
        </w:rPr>
        <w:t xml:space="preserve">האם חוק הגימלאות חל על חוזה הבכירים </w:t>
      </w:r>
    </w:p>
    <w:p w:rsidR="00502D16" w:rsidRPr="004D6F2E" w:rsidRDefault="00502D16" w:rsidP="00A33B21">
      <w:pPr>
        <w:ind w:left="-58" w:hanging="341"/>
        <w:jc w:val="both"/>
        <w:rPr>
          <w:rFonts w:cs="David"/>
          <w:sz w:val="8"/>
          <w:szCs w:val="8"/>
        </w:rPr>
      </w:pPr>
      <w:r>
        <w:rPr>
          <w:rFonts w:hint="cs"/>
          <w:rtl/>
        </w:rPr>
        <w:t xml:space="preserve">      </w:t>
      </w:r>
      <w:r w:rsidRPr="001A202D">
        <w:rPr>
          <w:rFonts w:cs="David" w:hint="cs"/>
          <w:sz w:val="24"/>
          <w:szCs w:val="24"/>
          <w:rtl/>
        </w:rPr>
        <w:t>מפיסקא 37 לפסה"ד עולה בברור שבית הדין ער ומודע לכך ש</w:t>
      </w:r>
      <w:r w:rsidRPr="001A202D">
        <w:rPr>
          <w:rFonts w:cs="David" w:hint="cs"/>
          <w:b/>
          <w:bCs/>
          <w:sz w:val="24"/>
          <w:szCs w:val="24"/>
          <w:rtl/>
        </w:rPr>
        <w:t>השאלה אם  חוק הגימלאות חל על החוזה</w:t>
      </w:r>
      <w:r w:rsidRPr="001A202D">
        <w:rPr>
          <w:rFonts w:cs="David" w:hint="cs"/>
          <w:sz w:val="24"/>
          <w:szCs w:val="24"/>
          <w:rtl/>
        </w:rPr>
        <w:t xml:space="preserve"> היא בליבת התביעה ו</w:t>
      </w:r>
      <w:r w:rsidRPr="001A202D">
        <w:rPr>
          <w:rFonts w:cs="David" w:hint="cs"/>
          <w:b/>
          <w:bCs/>
          <w:sz w:val="24"/>
          <w:szCs w:val="24"/>
          <w:rtl/>
        </w:rPr>
        <w:t xml:space="preserve">"מושא המחלוקת בתובענא דנן" </w:t>
      </w:r>
      <w:r w:rsidRPr="001A202D">
        <w:rPr>
          <w:rFonts w:cs="David" w:hint="cs"/>
          <w:sz w:val="24"/>
          <w:szCs w:val="24"/>
          <w:rtl/>
        </w:rPr>
        <w:t xml:space="preserve"> אך </w:t>
      </w:r>
      <w:r w:rsidRPr="001A202D">
        <w:rPr>
          <w:rFonts w:cs="David" w:hint="cs"/>
          <w:b/>
          <w:bCs/>
          <w:sz w:val="24"/>
          <w:szCs w:val="24"/>
          <w:rtl/>
        </w:rPr>
        <w:t>"</w:t>
      </w:r>
      <w:r w:rsidRPr="001A202D">
        <w:rPr>
          <w:rFonts w:cs="David" w:hint="cs"/>
          <w:sz w:val="24"/>
          <w:szCs w:val="24"/>
          <w:rtl/>
        </w:rPr>
        <w:t xml:space="preserve">על אף שסעיף 11 לחוזה הבכירים קובע כי חוק הגימלאות לא יחול על עבודתו של התובע"  קובע ביה"ד מיד לאחר מכן, </w:t>
      </w:r>
      <w:r w:rsidRPr="001A202D">
        <w:rPr>
          <w:rFonts w:cs="David" w:hint="cs"/>
          <w:b/>
          <w:bCs/>
          <w:sz w:val="24"/>
          <w:szCs w:val="24"/>
          <w:rtl/>
        </w:rPr>
        <w:t>"כי שותפים אנו לעמדת הנתבעים"</w:t>
      </w:r>
      <w:r w:rsidR="006A2A4D">
        <w:rPr>
          <w:rFonts w:cs="David" w:hint="cs"/>
          <w:sz w:val="24"/>
          <w:szCs w:val="24"/>
          <w:rtl/>
        </w:rPr>
        <w:t xml:space="preserve"> (פיסקה 38) על בסיס סעיף 12 ה לחוזה.</w:t>
      </w:r>
      <w:r w:rsidR="006A2A4D" w:rsidRPr="006A2A4D">
        <w:rPr>
          <w:rFonts w:cs="David" w:hint="cs"/>
          <w:sz w:val="24"/>
          <w:szCs w:val="24"/>
          <w:rtl/>
        </w:rPr>
        <w:t xml:space="preserve"> </w:t>
      </w:r>
      <w:r w:rsidR="006A2A4D">
        <w:rPr>
          <w:rFonts w:cs="David" w:hint="cs"/>
          <w:sz w:val="24"/>
          <w:szCs w:val="24"/>
          <w:rtl/>
        </w:rPr>
        <w:t>והפרשנות המעוותת של  התביעה לסעיף זה.</w:t>
      </w:r>
    </w:p>
    <w:p w:rsidR="004406BE" w:rsidRPr="004406BE" w:rsidRDefault="00A33B21" w:rsidP="00FC483A">
      <w:pPr>
        <w:pStyle w:val="a3"/>
        <w:numPr>
          <w:ilvl w:val="1"/>
          <w:numId w:val="1"/>
        </w:numPr>
        <w:ind w:left="84" w:hanging="433"/>
        <w:rPr>
          <w:rFonts w:cs="David"/>
          <w:sz w:val="24"/>
          <w:szCs w:val="24"/>
          <w:rtl/>
        </w:rPr>
      </w:pPr>
      <w:r>
        <w:rPr>
          <w:rFonts w:cs="David" w:hint="cs"/>
          <w:sz w:val="24"/>
          <w:szCs w:val="24"/>
          <w:rtl/>
        </w:rPr>
        <w:t xml:space="preserve">כך, </w:t>
      </w:r>
      <w:r>
        <w:rPr>
          <w:rFonts w:cs="David"/>
          <w:sz w:val="24"/>
          <w:szCs w:val="24"/>
          <w:rtl/>
        </w:rPr>
        <w:t>במלים ספורות</w:t>
      </w:r>
      <w:r>
        <w:rPr>
          <w:rFonts w:cs="David" w:hint="cs"/>
          <w:sz w:val="24"/>
          <w:szCs w:val="24"/>
          <w:rtl/>
        </w:rPr>
        <w:t xml:space="preserve"> וכמעט בדרך אגב, </w:t>
      </w:r>
      <w:r w:rsidRPr="00A33B21">
        <w:rPr>
          <w:rFonts w:cs="David"/>
          <w:sz w:val="24"/>
          <w:szCs w:val="24"/>
          <w:rtl/>
        </w:rPr>
        <w:t>ללא כל דיון או התי</w:t>
      </w:r>
      <w:r w:rsidR="00FC483A">
        <w:rPr>
          <w:rFonts w:cs="David"/>
          <w:sz w:val="24"/>
          <w:szCs w:val="24"/>
          <w:rtl/>
        </w:rPr>
        <w:t xml:space="preserve">חסות לטיעונים </w:t>
      </w:r>
      <w:r w:rsidRPr="00A33B21">
        <w:rPr>
          <w:rFonts w:cs="David"/>
          <w:sz w:val="24"/>
          <w:szCs w:val="24"/>
          <w:rtl/>
        </w:rPr>
        <w:t xml:space="preserve">בכתב התביעה המתייחסים לסעיפים אלו </w:t>
      </w:r>
      <w:r>
        <w:rPr>
          <w:rFonts w:cs="David" w:hint="cs"/>
          <w:sz w:val="24"/>
          <w:szCs w:val="24"/>
          <w:rtl/>
        </w:rPr>
        <w:t>ו</w:t>
      </w:r>
      <w:r w:rsidR="00FC483A">
        <w:rPr>
          <w:rFonts w:cs="David" w:hint="cs"/>
          <w:sz w:val="24"/>
          <w:szCs w:val="24"/>
          <w:rtl/>
        </w:rPr>
        <w:t xml:space="preserve">לסעיפים רלוונטיים </w:t>
      </w:r>
      <w:r>
        <w:rPr>
          <w:rFonts w:cs="David" w:hint="cs"/>
          <w:sz w:val="24"/>
          <w:szCs w:val="24"/>
          <w:rtl/>
        </w:rPr>
        <w:t xml:space="preserve">אחרים </w:t>
      </w:r>
      <w:r w:rsidRPr="00A33B21">
        <w:rPr>
          <w:rFonts w:cs="David"/>
          <w:sz w:val="24"/>
          <w:szCs w:val="24"/>
          <w:rtl/>
        </w:rPr>
        <w:t xml:space="preserve">בחוזה </w:t>
      </w:r>
      <w:r>
        <w:rPr>
          <w:rFonts w:cs="David" w:hint="cs"/>
          <w:sz w:val="24"/>
          <w:szCs w:val="24"/>
          <w:rtl/>
        </w:rPr>
        <w:t>(</w:t>
      </w:r>
      <w:r w:rsidRPr="00A33B21">
        <w:rPr>
          <w:rFonts w:cs="David"/>
          <w:sz w:val="24"/>
          <w:szCs w:val="24"/>
          <w:rtl/>
        </w:rPr>
        <w:t xml:space="preserve"> </w:t>
      </w:r>
      <w:r>
        <w:rPr>
          <w:rFonts w:cs="David" w:hint="cs"/>
          <w:sz w:val="24"/>
          <w:szCs w:val="24"/>
          <w:rtl/>
        </w:rPr>
        <w:t>ר' סעיף 56 לכתב התביעה</w:t>
      </w:r>
      <w:r w:rsidR="00FC483A">
        <w:rPr>
          <w:rFonts w:cs="David" w:hint="cs"/>
          <w:sz w:val="24"/>
          <w:szCs w:val="24"/>
          <w:rtl/>
        </w:rPr>
        <w:t xml:space="preserve">) </w:t>
      </w:r>
      <w:r>
        <w:rPr>
          <w:rFonts w:cs="David" w:hint="cs"/>
          <w:sz w:val="24"/>
          <w:szCs w:val="24"/>
          <w:rtl/>
        </w:rPr>
        <w:t>,</w:t>
      </w:r>
      <w:r w:rsidRPr="00A33B21">
        <w:rPr>
          <w:rFonts w:cs="David"/>
          <w:sz w:val="24"/>
          <w:szCs w:val="24"/>
          <w:rtl/>
        </w:rPr>
        <w:t>ביה"ד פוסק למעשה בליבת התביעה, , וללא ששמע את התובע וזאת על בסיס, פרשנות מעוותת של סעיף 12ה לחוזה.</w:t>
      </w:r>
      <w:r>
        <w:rPr>
          <w:rFonts w:cs="David" w:hint="cs"/>
          <w:sz w:val="24"/>
          <w:szCs w:val="24"/>
          <w:rtl/>
        </w:rPr>
        <w:t xml:space="preserve">  </w:t>
      </w:r>
      <w:r w:rsidR="004406BE" w:rsidRPr="004406BE">
        <w:rPr>
          <w:rFonts w:cs="David" w:hint="cs"/>
          <w:sz w:val="24"/>
          <w:szCs w:val="24"/>
          <w:rtl/>
        </w:rPr>
        <w:t xml:space="preserve">(פרשנות מעוותת - משום שהצדדים לחוזה הסכימו כי "על אף שסעיף 11 לחוזה הבכירים קובע כי חוק הגימלאות לא יחול על עבודתו של התובע" </w:t>
      </w:r>
      <w:r w:rsidR="004406BE" w:rsidRPr="004406BE">
        <w:rPr>
          <w:rFonts w:cs="David" w:hint="cs"/>
          <w:b/>
          <w:bCs/>
          <w:sz w:val="24"/>
          <w:szCs w:val="24"/>
          <w:rtl/>
        </w:rPr>
        <w:t>כל הזכויות בחוק הגימלאות המיטיבות עם העובד, ורק אלו</w:t>
      </w:r>
      <w:r w:rsidR="004406BE" w:rsidRPr="004406BE">
        <w:rPr>
          <w:rFonts w:cs="David" w:hint="cs"/>
          <w:sz w:val="24"/>
          <w:szCs w:val="24"/>
          <w:rtl/>
        </w:rPr>
        <w:t xml:space="preserve"> המיטיבות אתו, כדוגמת אלו המפורשות בסעיף 12 ה הנ"ל: "מענק, פיצויים בגין שנים עודפות וכו' ", יישמרו לעובד. </w:t>
      </w:r>
    </w:p>
    <w:p w:rsidR="004406BE" w:rsidRPr="004406BE" w:rsidRDefault="004406BE" w:rsidP="004406BE">
      <w:pPr>
        <w:pStyle w:val="a3"/>
        <w:numPr>
          <w:ilvl w:val="1"/>
          <w:numId w:val="1"/>
        </w:numPr>
        <w:ind w:left="368" w:hanging="426"/>
        <w:rPr>
          <w:rFonts w:cs="David"/>
          <w:sz w:val="24"/>
          <w:szCs w:val="24"/>
          <w:rtl/>
        </w:rPr>
      </w:pPr>
      <w:r w:rsidRPr="004406BE">
        <w:rPr>
          <w:rFonts w:cs="David" w:hint="cs"/>
          <w:sz w:val="24"/>
          <w:szCs w:val="24"/>
          <w:rtl/>
        </w:rPr>
        <w:t xml:space="preserve">במלים אחרות: לא נכון לראות בתקנות חוק הגימלאות </w:t>
      </w:r>
      <w:r w:rsidRPr="004406BE">
        <w:rPr>
          <w:rFonts w:cs="David" w:hint="cs"/>
          <w:b/>
          <w:bCs/>
          <w:sz w:val="24"/>
          <w:szCs w:val="24"/>
          <w:u w:val="single"/>
          <w:rtl/>
        </w:rPr>
        <w:t>המגבילות</w:t>
      </w:r>
      <w:r w:rsidRPr="004406BE">
        <w:rPr>
          <w:rFonts w:cs="David" w:hint="cs"/>
          <w:sz w:val="24"/>
          <w:szCs w:val="24"/>
          <w:rtl/>
        </w:rPr>
        <w:t xml:space="preserve"> את זכות העירעור על הגימלה משבע שנים, כבכל תביעה ממונית אחרת, ל-60 יום בלבד, כ"זכות" שמיטיבה עם  העובד ולכן היא איננה חלה על העובד.</w:t>
      </w:r>
    </w:p>
    <w:p w:rsidR="004406BE" w:rsidRPr="004406BE" w:rsidRDefault="004406BE" w:rsidP="004406BE">
      <w:pPr>
        <w:pStyle w:val="a3"/>
        <w:numPr>
          <w:ilvl w:val="1"/>
          <w:numId w:val="1"/>
        </w:numPr>
        <w:ind w:left="368" w:hanging="426"/>
        <w:rPr>
          <w:rFonts w:cs="David"/>
          <w:sz w:val="24"/>
          <w:szCs w:val="24"/>
          <w:rtl/>
        </w:rPr>
      </w:pPr>
      <w:r w:rsidRPr="004406BE">
        <w:rPr>
          <w:rFonts w:cs="David" w:hint="cs"/>
          <w:sz w:val="24"/>
          <w:szCs w:val="24"/>
          <w:rtl/>
        </w:rPr>
        <w:t>בכל מקרה גם אם יש ספק בפרשנות, יש לקבל את הפרשנות של הצד שלא ניסח את החוזה, דהיינו העובד-התובע.</w:t>
      </w:r>
    </w:p>
    <w:p w:rsidR="00502D16" w:rsidRPr="004D6F2E" w:rsidRDefault="00502D16" w:rsidP="00502D16">
      <w:pPr>
        <w:pStyle w:val="a3"/>
        <w:ind w:left="368"/>
        <w:jc w:val="both"/>
        <w:rPr>
          <w:rFonts w:cs="David"/>
          <w:sz w:val="8"/>
          <w:szCs w:val="8"/>
        </w:rPr>
      </w:pPr>
    </w:p>
    <w:p w:rsidR="00502D16" w:rsidRPr="00502D16" w:rsidRDefault="00502D16" w:rsidP="001A202D">
      <w:pPr>
        <w:pStyle w:val="a3"/>
        <w:numPr>
          <w:ilvl w:val="1"/>
          <w:numId w:val="1"/>
        </w:numPr>
        <w:ind w:left="368" w:hanging="426"/>
        <w:jc w:val="both"/>
        <w:rPr>
          <w:rFonts w:cs="David"/>
          <w:sz w:val="24"/>
          <w:szCs w:val="24"/>
        </w:rPr>
      </w:pPr>
      <w:r w:rsidRPr="00502D16">
        <w:rPr>
          <w:rFonts w:cs="David" w:hint="cs"/>
          <w:sz w:val="24"/>
          <w:szCs w:val="24"/>
          <w:rtl/>
        </w:rPr>
        <w:t>פסיקה זו, בנושא שבליבת התביעה, ללא דיון ראוי, שמה את העגלה לפני הסוסי</w:t>
      </w:r>
      <w:r w:rsidRPr="00502D16">
        <w:rPr>
          <w:rFonts w:cs="David" w:hint="eastAsia"/>
          <w:sz w:val="24"/>
          <w:szCs w:val="24"/>
          <w:rtl/>
        </w:rPr>
        <w:t>ם</w:t>
      </w:r>
      <w:r w:rsidRPr="00502D16">
        <w:rPr>
          <w:rFonts w:cs="David" w:hint="cs"/>
          <w:sz w:val="24"/>
          <w:szCs w:val="24"/>
          <w:rtl/>
        </w:rPr>
        <w:t>. היא מייתרת לגמרי את הדיון בבקשה לדחיה על הסף, כפי שבית הדין עצמו כותב בפיסקא 40: "משברור כי חוק הגימלאות חל על קצבתו של התובע" ממילא "אין מקום לדון  בהשגותיו</w:t>
      </w:r>
      <w:r w:rsidR="001A202D">
        <w:rPr>
          <w:rFonts w:cs="David" w:hint="cs"/>
          <w:sz w:val="24"/>
          <w:szCs w:val="24"/>
          <w:rtl/>
        </w:rPr>
        <w:t xml:space="preserve"> של התובע כעת ותביעתו בענין זה ודינה</w:t>
      </w:r>
      <w:r w:rsidRPr="00502D16">
        <w:rPr>
          <w:rFonts w:cs="David" w:hint="cs"/>
          <w:sz w:val="24"/>
          <w:szCs w:val="24"/>
          <w:rtl/>
        </w:rPr>
        <w:t>,</w:t>
      </w:r>
      <w:r w:rsidR="001A202D">
        <w:rPr>
          <w:rFonts w:cs="David" w:hint="cs"/>
          <w:sz w:val="24"/>
          <w:szCs w:val="24"/>
          <w:rtl/>
        </w:rPr>
        <w:t xml:space="preserve"> </w:t>
      </w:r>
      <w:r w:rsidRPr="00502D16">
        <w:rPr>
          <w:rFonts w:cs="David" w:hint="cs"/>
          <w:sz w:val="24"/>
          <w:szCs w:val="24"/>
          <w:rtl/>
        </w:rPr>
        <w:t>איפוא, סילוק על הסף כמבוקש".</w:t>
      </w:r>
    </w:p>
    <w:p w:rsidR="00502D16" w:rsidRPr="00502D16" w:rsidRDefault="00502D16" w:rsidP="00502D16">
      <w:pPr>
        <w:jc w:val="both"/>
        <w:rPr>
          <w:rFonts w:cs="David"/>
          <w:sz w:val="24"/>
          <w:szCs w:val="24"/>
          <w:rtl/>
        </w:rPr>
      </w:pPr>
      <w:r w:rsidRPr="00502D16">
        <w:rPr>
          <w:rFonts w:cs="David" w:hint="cs"/>
          <w:sz w:val="24"/>
          <w:szCs w:val="24"/>
          <w:rtl/>
        </w:rPr>
        <w:t>כלאמר, ללא הפסיקה החד צדדית</w:t>
      </w:r>
      <w:r w:rsidR="001A202D">
        <w:rPr>
          <w:rFonts w:cs="David" w:hint="cs"/>
          <w:sz w:val="24"/>
          <w:szCs w:val="24"/>
          <w:rtl/>
        </w:rPr>
        <w:t xml:space="preserve"> בליבת התביעה</w:t>
      </w:r>
      <w:r w:rsidRPr="00502D16">
        <w:rPr>
          <w:rFonts w:cs="David" w:hint="cs"/>
          <w:sz w:val="24"/>
          <w:szCs w:val="24"/>
          <w:rtl/>
        </w:rPr>
        <w:t>, לא היה ניתן להגיע למסקנה זו, ובודאי לא לאור "חובת  הזהירות" וכו'.</w:t>
      </w:r>
    </w:p>
    <w:p w:rsidR="00502D16" w:rsidRPr="00502D16" w:rsidRDefault="00502D16" w:rsidP="00502D16">
      <w:pPr>
        <w:pStyle w:val="a3"/>
        <w:ind w:left="-58"/>
        <w:jc w:val="both"/>
        <w:rPr>
          <w:rFonts w:cs="David"/>
          <w:b/>
          <w:bCs/>
          <w:sz w:val="24"/>
          <w:szCs w:val="24"/>
          <w:u w:val="single"/>
        </w:rPr>
      </w:pPr>
      <w:r w:rsidRPr="00502D16">
        <w:rPr>
          <w:rFonts w:cs="David" w:hint="cs"/>
          <w:b/>
          <w:bCs/>
          <w:sz w:val="24"/>
          <w:szCs w:val="24"/>
          <w:u w:val="single"/>
          <w:rtl/>
        </w:rPr>
        <w:t xml:space="preserve">פסיקת בית הדין האזורי בחיפה </w:t>
      </w:r>
    </w:p>
    <w:p w:rsidR="00502D16" w:rsidRDefault="00502D16" w:rsidP="00502D16">
      <w:pPr>
        <w:pStyle w:val="a3"/>
        <w:numPr>
          <w:ilvl w:val="0"/>
          <w:numId w:val="1"/>
        </w:numPr>
        <w:ind w:left="226"/>
        <w:jc w:val="both"/>
        <w:rPr>
          <w:rFonts w:cs="David"/>
          <w:sz w:val="24"/>
          <w:szCs w:val="24"/>
        </w:rPr>
      </w:pPr>
      <w:r w:rsidRPr="00502D16">
        <w:rPr>
          <w:rFonts w:cs="David" w:hint="cs"/>
          <w:sz w:val="24"/>
          <w:szCs w:val="24"/>
          <w:rtl/>
        </w:rPr>
        <w:t xml:space="preserve">בפיסקה 41 מציין ביה"ד כי הפסיקה של בית הדין האזורי בחיפה אינה מחייבת אותו, אך זו כלל איננה השאלה: </w:t>
      </w:r>
    </w:p>
    <w:p w:rsidR="00502D16" w:rsidRPr="00502D16" w:rsidRDefault="00502D16" w:rsidP="00502D16">
      <w:pPr>
        <w:pStyle w:val="a3"/>
        <w:ind w:left="226"/>
        <w:jc w:val="both"/>
        <w:rPr>
          <w:rFonts w:cs="David"/>
          <w:sz w:val="24"/>
          <w:szCs w:val="24"/>
          <w:rtl/>
        </w:rPr>
      </w:pPr>
      <w:r w:rsidRPr="00502D16">
        <w:rPr>
          <w:rFonts w:cs="David" w:hint="cs"/>
          <w:sz w:val="24"/>
          <w:szCs w:val="24"/>
          <w:rtl/>
        </w:rPr>
        <w:t>בית המשפט , בשלב הזה של דיון אמור להתמקד רק בשאלה אם להענות לבקשה לדחיה על הסף  בזהירות הראויה כפי שהוא מציין</w:t>
      </w:r>
      <w:r w:rsidR="009567A9">
        <w:rPr>
          <w:rFonts w:cs="David" w:hint="cs"/>
          <w:sz w:val="24"/>
          <w:szCs w:val="24"/>
          <w:rtl/>
        </w:rPr>
        <w:t>,</w:t>
      </w:r>
      <w:r w:rsidRPr="00502D16">
        <w:rPr>
          <w:rFonts w:cs="David" w:hint="cs"/>
          <w:sz w:val="24"/>
          <w:szCs w:val="24"/>
          <w:rtl/>
        </w:rPr>
        <w:t xml:space="preserve"> בין היתר גם לאור פסיקת בית הדין הארצי לעבודה, המצוטט בפיסקה 42 לפסה"ד, לפיו </w:t>
      </w:r>
      <w:r w:rsidRPr="00502D16">
        <w:rPr>
          <w:rFonts w:cs="David" w:hint="cs"/>
          <w:b/>
          <w:bCs/>
          <w:sz w:val="24"/>
          <w:szCs w:val="24"/>
          <w:rtl/>
        </w:rPr>
        <w:t>מדיניות הפסיקה "שואפת לבירור זכויותיהם המהותיות של בעלי הדין לגופן, ומתוך ראיית סדרי הדין ככלים שנוצרו לשרת את המטרה העיקרית שהיא ברור המחלוקות שבין הצדדים והכרעה בהן</w:t>
      </w:r>
      <w:r w:rsidRPr="00502D16">
        <w:rPr>
          <w:rFonts w:cs="David" w:hint="cs"/>
          <w:sz w:val="24"/>
          <w:szCs w:val="24"/>
          <w:rtl/>
        </w:rPr>
        <w:t>".</w:t>
      </w:r>
    </w:p>
    <w:p w:rsidR="00502D16" w:rsidRPr="004D6F2E" w:rsidRDefault="00502D16" w:rsidP="00502D16">
      <w:pPr>
        <w:pStyle w:val="a3"/>
        <w:ind w:left="226"/>
        <w:jc w:val="both"/>
        <w:rPr>
          <w:rFonts w:cs="David"/>
          <w:sz w:val="8"/>
          <w:szCs w:val="8"/>
          <w:rtl/>
        </w:rPr>
      </w:pPr>
    </w:p>
    <w:p w:rsidR="00502D16" w:rsidRPr="00502D16" w:rsidRDefault="00502D16" w:rsidP="00267D7A">
      <w:pPr>
        <w:pStyle w:val="a3"/>
        <w:numPr>
          <w:ilvl w:val="1"/>
          <w:numId w:val="1"/>
        </w:numPr>
        <w:ind w:left="226" w:hanging="425"/>
        <w:jc w:val="both"/>
        <w:rPr>
          <w:rFonts w:cs="David"/>
          <w:sz w:val="24"/>
          <w:szCs w:val="24"/>
        </w:rPr>
      </w:pPr>
      <w:r w:rsidRPr="00502D16">
        <w:rPr>
          <w:rFonts w:cs="David" w:hint="cs"/>
          <w:sz w:val="24"/>
          <w:szCs w:val="24"/>
          <w:rtl/>
        </w:rPr>
        <w:t xml:space="preserve">שופטי בית הדין האיזורי בירושלים אמנם "סבורים כי ניתן להגיע למסקנה שונה"  מזו שאליה הגיע בית הדין האיזורי לעבודה בחיפה, אך ברור לגמרי שלתובע לא היה כל דרך לנחש זאת. מפליא לכן שבמסגרת עריכת האיזון בין הזכות בעלת האופי החוקתי לגישה לערכאות ומדיניות הפסיקה בנושא כאמור לא נתן בית הדין כל משקל </w:t>
      </w:r>
      <w:r w:rsidR="001A202D">
        <w:rPr>
          <w:rFonts w:cs="David" w:hint="cs"/>
          <w:sz w:val="24"/>
          <w:szCs w:val="24"/>
          <w:rtl/>
        </w:rPr>
        <w:t>ל</w:t>
      </w:r>
      <w:r w:rsidR="00892057">
        <w:rPr>
          <w:rFonts w:cs="David" w:hint="cs"/>
          <w:sz w:val="24"/>
          <w:szCs w:val="24"/>
          <w:rtl/>
        </w:rPr>
        <w:t xml:space="preserve">כך </w:t>
      </w:r>
      <w:r w:rsidR="005E28F4">
        <w:rPr>
          <w:rFonts w:cs="David" w:hint="cs"/>
          <w:sz w:val="24"/>
          <w:szCs w:val="24"/>
          <w:rtl/>
        </w:rPr>
        <w:t>שהתובע הסתמך בתום לב על פסק דין חלוט של בית משפט</w:t>
      </w:r>
      <w:r w:rsidRPr="00502D16">
        <w:rPr>
          <w:rFonts w:cs="David" w:hint="cs"/>
          <w:sz w:val="24"/>
          <w:szCs w:val="24"/>
          <w:rtl/>
        </w:rPr>
        <w:t>.</w:t>
      </w:r>
    </w:p>
    <w:p w:rsidR="00502D16" w:rsidRPr="004D6F2E" w:rsidRDefault="00502D16" w:rsidP="00502D16">
      <w:pPr>
        <w:pStyle w:val="a3"/>
        <w:ind w:left="226"/>
        <w:jc w:val="both"/>
        <w:rPr>
          <w:rFonts w:cs="David"/>
          <w:sz w:val="8"/>
          <w:szCs w:val="8"/>
          <w:rtl/>
        </w:rPr>
      </w:pPr>
    </w:p>
    <w:p w:rsidR="00502D16" w:rsidRPr="00502D16" w:rsidRDefault="00502D16" w:rsidP="00267D7A">
      <w:pPr>
        <w:pStyle w:val="a3"/>
        <w:numPr>
          <w:ilvl w:val="1"/>
          <w:numId w:val="1"/>
        </w:numPr>
        <w:ind w:left="226" w:hanging="425"/>
        <w:jc w:val="both"/>
        <w:rPr>
          <w:rFonts w:cs="David"/>
          <w:b/>
          <w:bCs/>
          <w:sz w:val="24"/>
          <w:szCs w:val="24"/>
        </w:rPr>
      </w:pPr>
      <w:r w:rsidRPr="00502D16">
        <w:rPr>
          <w:rFonts w:cs="David"/>
          <w:sz w:val="24"/>
          <w:szCs w:val="24"/>
          <w:rtl/>
        </w:rPr>
        <w:t xml:space="preserve">התמיהה גוברת לאור הציטוט הנוסף (בפיסקא 42 של פסה"ד) מתוך פסיקת בית המשפט העליון, כי "משום שנעילת שעריו של בית המשפט לפני בעל דין אינה דבר של מה בכך ....על בית המשפט לאזן בין מספר שיקולים בבואו להכריע בבקשה מעין זו כמו  </w:t>
      </w:r>
      <w:r w:rsidRPr="00502D16">
        <w:rPr>
          <w:rFonts w:cs="David"/>
          <w:b/>
          <w:bCs/>
          <w:sz w:val="24"/>
          <w:szCs w:val="24"/>
          <w:rtl/>
        </w:rPr>
        <w:t xml:space="preserve">"התנהגותם של הצדדים ותום לבם </w:t>
      </w:r>
      <w:r w:rsidRPr="00502D16">
        <w:rPr>
          <w:rFonts w:cs="David"/>
          <w:sz w:val="24"/>
          <w:szCs w:val="24"/>
          <w:rtl/>
        </w:rPr>
        <w:t>....מידתו והשלכתו של אינטרס ההסתמכות על הצד האחר</w:t>
      </w:r>
      <w:r w:rsidRPr="00502D16">
        <w:rPr>
          <w:rFonts w:cs="David"/>
          <w:b/>
          <w:bCs/>
          <w:sz w:val="24"/>
          <w:szCs w:val="24"/>
          <w:rtl/>
        </w:rPr>
        <w:t>...</w:t>
      </w:r>
      <w:r w:rsidR="007040E8">
        <w:rPr>
          <w:rFonts w:cs="David" w:hint="cs"/>
          <w:sz w:val="24"/>
          <w:szCs w:val="24"/>
          <w:rtl/>
        </w:rPr>
        <w:t>או כאשר ו</w:t>
      </w:r>
      <w:r w:rsidRPr="00502D16">
        <w:rPr>
          <w:rFonts w:cs="David"/>
          <w:b/>
          <w:bCs/>
          <w:sz w:val="24"/>
          <w:szCs w:val="24"/>
          <w:rtl/>
        </w:rPr>
        <w:t>"ככל שמדובר בטעות אנוש שאין מקורה ברשלנות, הזנחה, או זלזול בבית המשפט ...." .</w:t>
      </w:r>
    </w:p>
    <w:p w:rsidR="00502D16" w:rsidRPr="004D6F2E" w:rsidRDefault="00892057" w:rsidP="00502D16">
      <w:pPr>
        <w:pStyle w:val="a3"/>
        <w:ind w:left="226"/>
        <w:jc w:val="both"/>
        <w:rPr>
          <w:rFonts w:cs="David"/>
          <w:b/>
          <w:bCs/>
          <w:sz w:val="8"/>
          <w:szCs w:val="8"/>
          <w:rtl/>
        </w:rPr>
      </w:pPr>
      <w:r>
        <w:rPr>
          <w:rFonts w:cs="David" w:hint="cs"/>
          <w:b/>
          <w:bCs/>
          <w:sz w:val="8"/>
          <w:szCs w:val="8"/>
          <w:rtl/>
        </w:rPr>
        <w:t xml:space="preserve"> </w:t>
      </w:r>
    </w:p>
    <w:p w:rsidR="007507C1" w:rsidRPr="00502D16" w:rsidRDefault="001E3FEE" w:rsidP="00943B2A">
      <w:pPr>
        <w:pStyle w:val="a3"/>
        <w:numPr>
          <w:ilvl w:val="1"/>
          <w:numId w:val="1"/>
        </w:numPr>
        <w:ind w:left="226" w:hanging="425"/>
        <w:jc w:val="both"/>
        <w:rPr>
          <w:rFonts w:cs="David"/>
          <w:sz w:val="24"/>
          <w:szCs w:val="24"/>
        </w:rPr>
      </w:pPr>
      <w:r w:rsidRPr="007507C1">
        <w:rPr>
          <w:rFonts w:cs="David" w:hint="cs"/>
          <w:sz w:val="24"/>
          <w:szCs w:val="24"/>
          <w:rtl/>
        </w:rPr>
        <w:t xml:space="preserve">כאשר הבנתו של התובע את החוזה תואמת לחלוטין את פרשנות בית הדין האיזורי לעבודה בחיפה בפסק דין חלוט, </w:t>
      </w:r>
      <w:r w:rsidR="007507C1" w:rsidRPr="007507C1">
        <w:rPr>
          <w:rFonts w:cs="David" w:hint="cs"/>
          <w:sz w:val="24"/>
          <w:szCs w:val="24"/>
          <w:rtl/>
        </w:rPr>
        <w:t xml:space="preserve">ברור לגמרי שהתובע </w:t>
      </w:r>
      <w:r w:rsidRPr="007507C1">
        <w:rPr>
          <w:rFonts w:cs="David" w:hint="cs"/>
          <w:sz w:val="24"/>
          <w:szCs w:val="24"/>
          <w:rtl/>
        </w:rPr>
        <w:t xml:space="preserve">לא </w:t>
      </w:r>
      <w:r w:rsidR="007507C1">
        <w:rPr>
          <w:rFonts w:cs="David" w:hint="cs"/>
          <w:sz w:val="24"/>
          <w:szCs w:val="24"/>
          <w:rtl/>
        </w:rPr>
        <w:t xml:space="preserve">נהג </w:t>
      </w:r>
      <w:r w:rsidR="007507C1" w:rsidRPr="00502D16">
        <w:rPr>
          <w:rFonts w:cs="David"/>
          <w:sz w:val="24"/>
          <w:szCs w:val="24"/>
          <w:rtl/>
        </w:rPr>
        <w:t>ב"רשל</w:t>
      </w:r>
      <w:r w:rsidR="007507C1">
        <w:rPr>
          <w:rFonts w:cs="David"/>
          <w:sz w:val="24"/>
          <w:szCs w:val="24"/>
          <w:rtl/>
        </w:rPr>
        <w:t>נות, הזנחה או זלזול בבית המשפט"</w:t>
      </w:r>
      <w:r w:rsidR="007507C1">
        <w:rPr>
          <w:rFonts w:cs="David" w:hint="cs"/>
          <w:sz w:val="24"/>
          <w:szCs w:val="24"/>
          <w:rtl/>
        </w:rPr>
        <w:t xml:space="preserve"> ואי אפשר אפילו לאמר שהוא טעה </w:t>
      </w:r>
      <w:r w:rsidR="00943B2A">
        <w:rPr>
          <w:rFonts w:cs="David" w:hint="cs"/>
          <w:sz w:val="24"/>
          <w:szCs w:val="24"/>
          <w:rtl/>
        </w:rPr>
        <w:t xml:space="preserve">כאן </w:t>
      </w:r>
      <w:r w:rsidR="007507C1">
        <w:rPr>
          <w:rFonts w:cs="David" w:hint="cs"/>
          <w:sz w:val="24"/>
          <w:szCs w:val="24"/>
          <w:rtl/>
        </w:rPr>
        <w:t>"טעות אנוש" כלשהי.</w:t>
      </w:r>
      <w:r w:rsidR="007507C1" w:rsidRPr="00502D16">
        <w:rPr>
          <w:rFonts w:cs="David"/>
          <w:sz w:val="24"/>
          <w:szCs w:val="24"/>
          <w:rtl/>
        </w:rPr>
        <w:t xml:space="preserve"> </w:t>
      </w:r>
    </w:p>
    <w:p w:rsidR="007507C1" w:rsidRPr="004D6F2E" w:rsidRDefault="007507C1" w:rsidP="007507C1">
      <w:pPr>
        <w:pStyle w:val="a3"/>
        <w:jc w:val="both"/>
        <w:rPr>
          <w:rFonts w:cs="David"/>
          <w:sz w:val="8"/>
          <w:szCs w:val="8"/>
          <w:rtl/>
        </w:rPr>
      </w:pPr>
    </w:p>
    <w:p w:rsidR="00502D16" w:rsidRPr="004D6F2E" w:rsidRDefault="00502D16" w:rsidP="00267D7A">
      <w:pPr>
        <w:pStyle w:val="a3"/>
        <w:ind w:left="226"/>
        <w:jc w:val="both"/>
        <w:rPr>
          <w:rFonts w:cs="David"/>
          <w:sz w:val="8"/>
          <w:szCs w:val="8"/>
          <w:rtl/>
        </w:rPr>
      </w:pPr>
    </w:p>
    <w:p w:rsidR="007507C1" w:rsidRDefault="007507C1" w:rsidP="00985113">
      <w:pPr>
        <w:pStyle w:val="a3"/>
        <w:numPr>
          <w:ilvl w:val="1"/>
          <w:numId w:val="1"/>
        </w:numPr>
        <w:ind w:left="226" w:hanging="425"/>
        <w:jc w:val="both"/>
        <w:rPr>
          <w:rFonts w:cs="David"/>
          <w:sz w:val="24"/>
          <w:szCs w:val="24"/>
        </w:rPr>
      </w:pPr>
      <w:r>
        <w:rPr>
          <w:rFonts w:cs="David" w:hint="cs"/>
          <w:sz w:val="24"/>
          <w:szCs w:val="24"/>
          <w:rtl/>
        </w:rPr>
        <w:t xml:space="preserve">יצוין עוד שלא רק התובע ובית הדין האזורי בחיפה הבינו שהחוזה אינו כפוף לחוק הגימלאות ולתקנה המגבילה את ההתישנות ל-60 יום, אלא כל המערכת, לרבות כל הנתבעים הבינו </w:t>
      </w:r>
      <w:r w:rsidR="002572D3">
        <w:rPr>
          <w:rFonts w:cs="David" w:hint="cs"/>
          <w:sz w:val="24"/>
          <w:szCs w:val="24"/>
          <w:rtl/>
        </w:rPr>
        <w:t xml:space="preserve">זאת </w:t>
      </w:r>
      <w:r>
        <w:rPr>
          <w:rFonts w:cs="David" w:hint="cs"/>
          <w:sz w:val="24"/>
          <w:szCs w:val="24"/>
          <w:rtl/>
        </w:rPr>
        <w:t>והיו מודעים ל</w:t>
      </w:r>
      <w:r w:rsidR="002572D3">
        <w:rPr>
          <w:rFonts w:cs="David" w:hint="cs"/>
          <w:sz w:val="24"/>
          <w:szCs w:val="24"/>
          <w:rtl/>
        </w:rPr>
        <w:t>כך</w:t>
      </w:r>
      <w:r w:rsidR="00985113">
        <w:rPr>
          <w:rFonts w:cs="David" w:hint="cs"/>
          <w:sz w:val="24"/>
          <w:szCs w:val="24"/>
          <w:rtl/>
        </w:rPr>
        <w:t>.</w:t>
      </w:r>
    </w:p>
    <w:p w:rsidR="00BF1397" w:rsidRDefault="00267D7A" w:rsidP="00A71B73">
      <w:pPr>
        <w:pStyle w:val="a3"/>
        <w:numPr>
          <w:ilvl w:val="2"/>
          <w:numId w:val="1"/>
        </w:numPr>
        <w:ind w:left="368" w:hanging="567"/>
        <w:jc w:val="both"/>
        <w:rPr>
          <w:rFonts w:cs="David"/>
          <w:sz w:val="24"/>
          <w:szCs w:val="24"/>
        </w:rPr>
      </w:pPr>
      <w:r w:rsidRPr="00502D16">
        <w:rPr>
          <w:rFonts w:cs="David" w:hint="cs"/>
          <w:sz w:val="24"/>
          <w:szCs w:val="24"/>
          <w:rtl/>
        </w:rPr>
        <w:t xml:space="preserve">הפניה הראשונה של התובע היתה </w:t>
      </w:r>
      <w:r w:rsidR="00A71B73" w:rsidRPr="00502D16">
        <w:rPr>
          <w:rFonts w:cs="David" w:hint="cs"/>
          <w:sz w:val="24"/>
          <w:szCs w:val="24"/>
          <w:rtl/>
        </w:rPr>
        <w:t>ב</w:t>
      </w:r>
      <w:r w:rsidR="00A71B73">
        <w:rPr>
          <w:rFonts w:cs="David" w:hint="cs"/>
          <w:sz w:val="24"/>
          <w:szCs w:val="24"/>
          <w:rtl/>
        </w:rPr>
        <w:t xml:space="preserve">מחצית השניה של </w:t>
      </w:r>
      <w:r w:rsidR="00A71B73" w:rsidRPr="00502D16">
        <w:rPr>
          <w:rFonts w:cs="David" w:hint="cs"/>
          <w:sz w:val="24"/>
          <w:szCs w:val="24"/>
          <w:rtl/>
        </w:rPr>
        <w:t>חודש דצמבר 2012</w:t>
      </w:r>
      <w:r w:rsidR="00A71B73">
        <w:rPr>
          <w:rFonts w:cs="David" w:hint="cs"/>
          <w:sz w:val="24"/>
          <w:szCs w:val="24"/>
          <w:rtl/>
        </w:rPr>
        <w:t xml:space="preserve">, </w:t>
      </w:r>
      <w:r w:rsidR="00A71B73" w:rsidRPr="00502D16">
        <w:rPr>
          <w:rFonts w:cs="David" w:hint="cs"/>
          <w:sz w:val="24"/>
          <w:szCs w:val="24"/>
          <w:rtl/>
        </w:rPr>
        <w:t>ל</w:t>
      </w:r>
      <w:r w:rsidR="00A71B73">
        <w:rPr>
          <w:rFonts w:cs="David" w:hint="cs"/>
          <w:sz w:val="24"/>
          <w:szCs w:val="24"/>
          <w:rtl/>
        </w:rPr>
        <w:t>גב' חנה שוורץ,  הממונה במינהל הגימלאות</w:t>
      </w:r>
      <w:r w:rsidR="00A71B73">
        <w:rPr>
          <w:rFonts w:cs="David" w:hint="cs"/>
          <w:sz w:val="24"/>
          <w:szCs w:val="24"/>
          <w:rtl/>
        </w:rPr>
        <w:t>,</w:t>
      </w:r>
      <w:r w:rsidR="00A71B73">
        <w:rPr>
          <w:rFonts w:cs="David" w:hint="cs"/>
          <w:sz w:val="24"/>
          <w:szCs w:val="24"/>
          <w:rtl/>
        </w:rPr>
        <w:t xml:space="preserve"> והחתומה על </w:t>
      </w:r>
      <w:r w:rsidR="00A71B73">
        <w:rPr>
          <w:rFonts w:cs="David" w:hint="cs"/>
          <w:sz w:val="24"/>
          <w:szCs w:val="24"/>
          <w:rtl/>
        </w:rPr>
        <w:t xml:space="preserve">מכתב האישור לגימלאות </w:t>
      </w:r>
      <w:r w:rsidR="00A71B73">
        <w:rPr>
          <w:rFonts w:cs="David" w:hint="cs"/>
          <w:sz w:val="24"/>
          <w:szCs w:val="24"/>
          <w:rtl/>
        </w:rPr>
        <w:t>מיום 10.12.21 (פיסקא 38 לכתב התביעה)</w:t>
      </w:r>
      <w:r w:rsidR="00A71B73">
        <w:rPr>
          <w:rFonts w:cs="David" w:hint="cs"/>
          <w:sz w:val="24"/>
          <w:szCs w:val="24"/>
          <w:rtl/>
        </w:rPr>
        <w:t xml:space="preserve">, </w:t>
      </w:r>
      <w:r w:rsidR="00A71B73">
        <w:rPr>
          <w:rFonts w:cs="David" w:hint="cs"/>
          <w:sz w:val="24"/>
          <w:szCs w:val="24"/>
          <w:rtl/>
        </w:rPr>
        <w:t>מיד עם קבלת מסמך האישור לגימלאות בו כלול המשפט הסטנדרטי על אפשרות העירעור ע"פ חוק הגימלאות המוגבלת ל-60 יום</w:t>
      </w:r>
      <w:r w:rsidR="00A71B73">
        <w:rPr>
          <w:rFonts w:cs="David" w:hint="cs"/>
          <w:sz w:val="24"/>
          <w:szCs w:val="24"/>
          <w:rtl/>
        </w:rPr>
        <w:t>.</w:t>
      </w:r>
    </w:p>
    <w:p w:rsidR="00CD60DC" w:rsidRPr="00CD60DC" w:rsidRDefault="00CD60DC" w:rsidP="00CD60DC">
      <w:pPr>
        <w:pStyle w:val="a3"/>
        <w:ind w:left="368"/>
        <w:jc w:val="both"/>
        <w:rPr>
          <w:rFonts w:cs="David"/>
          <w:sz w:val="10"/>
          <w:szCs w:val="10"/>
        </w:rPr>
      </w:pPr>
    </w:p>
    <w:p w:rsidR="005662EA" w:rsidRDefault="00CD60DC" w:rsidP="00A71B73">
      <w:pPr>
        <w:pStyle w:val="a3"/>
        <w:numPr>
          <w:ilvl w:val="2"/>
          <w:numId w:val="1"/>
        </w:numPr>
        <w:ind w:left="368" w:hanging="567"/>
        <w:jc w:val="both"/>
        <w:rPr>
          <w:rFonts w:cs="David"/>
          <w:sz w:val="24"/>
          <w:szCs w:val="24"/>
        </w:rPr>
      </w:pPr>
      <w:r w:rsidRPr="00CD60DC">
        <w:rPr>
          <w:rFonts w:cs="David" w:hint="cs"/>
          <w:sz w:val="24"/>
          <w:szCs w:val="24"/>
          <w:rtl/>
        </w:rPr>
        <w:t xml:space="preserve">  </w:t>
      </w:r>
      <w:r w:rsidR="00BF1397" w:rsidRPr="00CD60DC">
        <w:rPr>
          <w:rFonts w:cs="David" w:hint="cs"/>
          <w:sz w:val="24"/>
          <w:szCs w:val="24"/>
          <w:rtl/>
        </w:rPr>
        <w:t xml:space="preserve">הממונה </w:t>
      </w:r>
      <w:r w:rsidR="009B7BC4" w:rsidRPr="00CD60DC">
        <w:rPr>
          <w:rFonts w:cs="David" w:hint="cs"/>
          <w:sz w:val="24"/>
          <w:szCs w:val="24"/>
          <w:rtl/>
        </w:rPr>
        <w:t>הסכימה</w:t>
      </w:r>
      <w:r w:rsidR="00267D7A" w:rsidRPr="00CD60DC">
        <w:rPr>
          <w:rFonts w:cs="David" w:hint="cs"/>
          <w:sz w:val="24"/>
          <w:szCs w:val="24"/>
          <w:rtl/>
        </w:rPr>
        <w:t xml:space="preserve"> עקרונית עם טיעוני התובע </w:t>
      </w:r>
      <w:r w:rsidR="00BF1397" w:rsidRPr="00CD60DC">
        <w:rPr>
          <w:rFonts w:cs="David" w:hint="cs"/>
          <w:sz w:val="24"/>
          <w:szCs w:val="24"/>
          <w:rtl/>
        </w:rPr>
        <w:t>אך הבהירה לתובע שאינה יכולה לסטות מהנחיות סגן נציב שרות המדינה מר מאיר אהרונוב, ש</w:t>
      </w:r>
      <w:r w:rsidR="00536573">
        <w:rPr>
          <w:rFonts w:cs="David" w:hint="cs"/>
          <w:sz w:val="24"/>
          <w:szCs w:val="24"/>
          <w:rtl/>
        </w:rPr>
        <w:t>הנחה</w:t>
      </w:r>
      <w:r w:rsidR="00985113">
        <w:rPr>
          <w:rFonts w:cs="David" w:hint="cs"/>
          <w:sz w:val="24"/>
          <w:szCs w:val="24"/>
          <w:rtl/>
        </w:rPr>
        <w:t xml:space="preserve"> וקבע</w:t>
      </w:r>
      <w:r w:rsidR="00BF1397" w:rsidRPr="00CD60DC">
        <w:rPr>
          <w:rFonts w:cs="David" w:hint="cs"/>
          <w:sz w:val="24"/>
          <w:szCs w:val="24"/>
          <w:rtl/>
        </w:rPr>
        <w:t xml:space="preserve"> את גובה ושיטת חישוב הגימלא של התובע</w:t>
      </w:r>
      <w:r w:rsidR="00A71B73">
        <w:rPr>
          <w:rFonts w:cs="David" w:hint="cs"/>
          <w:sz w:val="24"/>
          <w:szCs w:val="24"/>
          <w:rtl/>
        </w:rPr>
        <w:t>,</w:t>
      </w:r>
      <w:r w:rsidR="00985113" w:rsidRPr="00985113">
        <w:rPr>
          <w:rFonts w:cs="David" w:hint="cs"/>
          <w:sz w:val="24"/>
          <w:szCs w:val="24"/>
          <w:rtl/>
        </w:rPr>
        <w:t xml:space="preserve"> </w:t>
      </w:r>
      <w:r w:rsidR="00985113">
        <w:rPr>
          <w:rFonts w:cs="David" w:hint="cs"/>
          <w:sz w:val="24"/>
          <w:szCs w:val="24"/>
          <w:rtl/>
        </w:rPr>
        <w:t>במכתב</w:t>
      </w:r>
      <w:r w:rsidR="00985113" w:rsidRPr="00CD60DC">
        <w:rPr>
          <w:rFonts w:cs="David" w:hint="cs"/>
          <w:sz w:val="24"/>
          <w:szCs w:val="24"/>
          <w:rtl/>
        </w:rPr>
        <w:t xml:space="preserve"> שהגיע אליה </w:t>
      </w:r>
      <w:r w:rsidR="00985113">
        <w:rPr>
          <w:rFonts w:cs="David" w:hint="cs"/>
          <w:sz w:val="24"/>
          <w:szCs w:val="24"/>
          <w:rtl/>
        </w:rPr>
        <w:t xml:space="preserve">לראשונה </w:t>
      </w:r>
      <w:r w:rsidR="00985113" w:rsidRPr="00CD60DC">
        <w:rPr>
          <w:rFonts w:cs="David" w:hint="cs"/>
          <w:sz w:val="24"/>
          <w:szCs w:val="24"/>
          <w:rtl/>
        </w:rPr>
        <w:t xml:space="preserve">בפקס </w:t>
      </w:r>
      <w:r w:rsidR="00985113">
        <w:rPr>
          <w:rFonts w:cs="David" w:hint="cs"/>
          <w:sz w:val="24"/>
          <w:szCs w:val="24"/>
          <w:rtl/>
        </w:rPr>
        <w:t xml:space="preserve">רק </w:t>
      </w:r>
      <w:r w:rsidR="00985113" w:rsidRPr="00CD60DC">
        <w:rPr>
          <w:rFonts w:cs="David" w:hint="cs"/>
          <w:sz w:val="24"/>
          <w:szCs w:val="24"/>
          <w:rtl/>
        </w:rPr>
        <w:t>ביום 3.12.12</w:t>
      </w:r>
      <w:r w:rsidR="00BF1397" w:rsidRPr="00CD60DC">
        <w:rPr>
          <w:rFonts w:cs="David" w:hint="cs"/>
          <w:sz w:val="24"/>
          <w:szCs w:val="24"/>
          <w:rtl/>
        </w:rPr>
        <w:t xml:space="preserve">. היא </w:t>
      </w:r>
      <w:r w:rsidR="00267D7A" w:rsidRPr="00CD60DC">
        <w:rPr>
          <w:rFonts w:cs="David" w:hint="cs"/>
          <w:b/>
          <w:bCs/>
          <w:sz w:val="24"/>
          <w:szCs w:val="24"/>
          <w:rtl/>
        </w:rPr>
        <w:t>המליצ</w:t>
      </w:r>
      <w:r w:rsidR="009B7BC4" w:rsidRPr="00CD60DC">
        <w:rPr>
          <w:rFonts w:cs="David" w:hint="cs"/>
          <w:b/>
          <w:bCs/>
          <w:sz w:val="24"/>
          <w:szCs w:val="24"/>
          <w:rtl/>
        </w:rPr>
        <w:t>ה</w:t>
      </w:r>
      <w:r w:rsidR="00267D7A" w:rsidRPr="00CD60DC">
        <w:rPr>
          <w:rFonts w:cs="David" w:hint="cs"/>
          <w:b/>
          <w:bCs/>
          <w:sz w:val="24"/>
          <w:szCs w:val="24"/>
          <w:rtl/>
        </w:rPr>
        <w:t xml:space="preserve"> בפני</w:t>
      </w:r>
      <w:r w:rsidR="00536573">
        <w:rPr>
          <w:rFonts w:cs="David" w:hint="cs"/>
          <w:b/>
          <w:bCs/>
          <w:sz w:val="24"/>
          <w:szCs w:val="24"/>
          <w:rtl/>
        </w:rPr>
        <w:t xml:space="preserve"> התובע</w:t>
      </w:r>
      <w:r w:rsidR="00267D7A" w:rsidRPr="00CD60DC">
        <w:rPr>
          <w:rFonts w:cs="David" w:hint="cs"/>
          <w:b/>
          <w:bCs/>
          <w:sz w:val="24"/>
          <w:szCs w:val="24"/>
          <w:rtl/>
        </w:rPr>
        <w:t xml:space="preserve"> שלא לערער בבית הדין</w:t>
      </w:r>
      <w:r w:rsidR="00267D7A" w:rsidRPr="00CD60DC">
        <w:rPr>
          <w:rFonts w:cs="David" w:hint="cs"/>
          <w:sz w:val="24"/>
          <w:szCs w:val="24"/>
          <w:rtl/>
        </w:rPr>
        <w:t xml:space="preserve"> </w:t>
      </w:r>
      <w:r w:rsidR="009B7BC4" w:rsidRPr="00CD60DC">
        <w:rPr>
          <w:rFonts w:cs="David" w:hint="cs"/>
          <w:sz w:val="24"/>
          <w:szCs w:val="24"/>
          <w:rtl/>
        </w:rPr>
        <w:t>(ר' פיסקא</w:t>
      </w:r>
      <w:r w:rsidR="00665433" w:rsidRPr="00CD60DC">
        <w:rPr>
          <w:rFonts w:cs="David" w:hint="cs"/>
          <w:sz w:val="24"/>
          <w:szCs w:val="24"/>
          <w:rtl/>
        </w:rPr>
        <w:t xml:space="preserve"> 45 לתשובה לבקשה</w:t>
      </w:r>
      <w:r w:rsidR="00B734D9" w:rsidRPr="00CD60DC">
        <w:rPr>
          <w:rFonts w:cs="David" w:hint="cs"/>
          <w:sz w:val="24"/>
          <w:szCs w:val="24"/>
          <w:rtl/>
        </w:rPr>
        <w:t xml:space="preserve"> </w:t>
      </w:r>
      <w:r w:rsidR="00665433" w:rsidRPr="00CD60DC">
        <w:rPr>
          <w:rFonts w:cs="David" w:hint="cs"/>
          <w:sz w:val="24"/>
          <w:szCs w:val="24"/>
          <w:rtl/>
        </w:rPr>
        <w:t>לדחיה על הסף)</w:t>
      </w:r>
      <w:r w:rsidR="00BF1397" w:rsidRPr="00CD60DC">
        <w:rPr>
          <w:rFonts w:cs="David" w:hint="cs"/>
          <w:sz w:val="24"/>
          <w:szCs w:val="24"/>
          <w:rtl/>
        </w:rPr>
        <w:t xml:space="preserve"> </w:t>
      </w:r>
      <w:r w:rsidR="0003371E">
        <w:rPr>
          <w:rFonts w:cs="David" w:hint="cs"/>
          <w:sz w:val="24"/>
          <w:szCs w:val="24"/>
          <w:rtl/>
        </w:rPr>
        <w:t xml:space="preserve">אלא קודם כל </w:t>
      </w:r>
      <w:r w:rsidR="00BF1397" w:rsidRPr="00CD60DC">
        <w:rPr>
          <w:rFonts w:cs="David" w:hint="cs"/>
          <w:sz w:val="24"/>
          <w:szCs w:val="24"/>
          <w:rtl/>
        </w:rPr>
        <w:t>להפנות את הערעור למר אהרונוב.</w:t>
      </w:r>
      <w:r w:rsidR="0003371E">
        <w:rPr>
          <w:rFonts w:cs="David" w:hint="cs"/>
          <w:sz w:val="24"/>
          <w:szCs w:val="24"/>
          <w:rtl/>
        </w:rPr>
        <w:t xml:space="preserve"> לצורך כך אף מסרה לו העתק מהפקס </w:t>
      </w:r>
      <w:r w:rsidR="005662EA">
        <w:rPr>
          <w:rFonts w:cs="David" w:hint="cs"/>
          <w:sz w:val="24"/>
          <w:szCs w:val="24"/>
          <w:rtl/>
        </w:rPr>
        <w:t xml:space="preserve">עם הנחיות אהרונוב, </w:t>
      </w:r>
      <w:r w:rsidR="0003371E">
        <w:rPr>
          <w:rFonts w:cs="David" w:hint="cs"/>
          <w:sz w:val="24"/>
          <w:szCs w:val="24"/>
          <w:rtl/>
        </w:rPr>
        <w:t>ש</w:t>
      </w:r>
      <w:r w:rsidR="00A71B73">
        <w:rPr>
          <w:rFonts w:cs="David" w:hint="cs"/>
          <w:sz w:val="24"/>
          <w:szCs w:val="24"/>
          <w:rtl/>
        </w:rPr>
        <w:t xml:space="preserve">לדבריה </w:t>
      </w:r>
      <w:r w:rsidR="0003371E">
        <w:rPr>
          <w:rFonts w:cs="David" w:hint="cs"/>
          <w:sz w:val="24"/>
          <w:szCs w:val="24"/>
          <w:rtl/>
        </w:rPr>
        <w:t>ק</w:t>
      </w:r>
      <w:r w:rsidR="00A71B73">
        <w:rPr>
          <w:rFonts w:cs="David" w:hint="cs"/>
          <w:sz w:val="24"/>
          <w:szCs w:val="24"/>
          <w:rtl/>
        </w:rPr>
        <w:t>י</w:t>
      </w:r>
      <w:r w:rsidR="0003371E">
        <w:rPr>
          <w:rFonts w:cs="David" w:hint="cs"/>
          <w:sz w:val="24"/>
          <w:szCs w:val="24"/>
          <w:rtl/>
        </w:rPr>
        <w:t xml:space="preserve">בלה </w:t>
      </w:r>
      <w:r w:rsidR="00A71B73">
        <w:rPr>
          <w:rFonts w:cs="David" w:hint="cs"/>
          <w:sz w:val="24"/>
          <w:szCs w:val="24"/>
          <w:rtl/>
        </w:rPr>
        <w:t xml:space="preserve">לראשונה </w:t>
      </w:r>
      <w:r w:rsidR="0003371E">
        <w:rPr>
          <w:rFonts w:cs="David" w:hint="cs"/>
          <w:sz w:val="24"/>
          <w:szCs w:val="24"/>
          <w:rtl/>
        </w:rPr>
        <w:t>ב</w:t>
      </w:r>
      <w:r w:rsidR="00A71B73">
        <w:rPr>
          <w:rFonts w:cs="David" w:hint="cs"/>
          <w:sz w:val="24"/>
          <w:szCs w:val="24"/>
          <w:rtl/>
        </w:rPr>
        <w:t>-</w:t>
      </w:r>
      <w:r w:rsidR="0003371E">
        <w:rPr>
          <w:rFonts w:cs="David" w:hint="cs"/>
          <w:sz w:val="24"/>
          <w:szCs w:val="24"/>
          <w:rtl/>
        </w:rPr>
        <w:t>3.12.12</w:t>
      </w:r>
      <w:r w:rsidR="00985113">
        <w:rPr>
          <w:rFonts w:cs="David" w:hint="cs"/>
          <w:sz w:val="24"/>
          <w:szCs w:val="24"/>
          <w:rtl/>
        </w:rPr>
        <w:t xml:space="preserve"> (מצ"ב כנספח 2. שים לב לתאריך שליחת הפקס בראש העמוד).</w:t>
      </w:r>
    </w:p>
    <w:p w:rsidR="005662EA" w:rsidRPr="005662EA" w:rsidRDefault="005662EA" w:rsidP="005662EA">
      <w:pPr>
        <w:pStyle w:val="a3"/>
        <w:rPr>
          <w:rFonts w:cs="David" w:hint="cs"/>
          <w:sz w:val="8"/>
          <w:szCs w:val="8"/>
          <w:rtl/>
        </w:rPr>
      </w:pPr>
    </w:p>
    <w:p w:rsidR="00267D7A" w:rsidRDefault="00267D7A" w:rsidP="00267D7A">
      <w:pPr>
        <w:pStyle w:val="a3"/>
        <w:ind w:left="368"/>
        <w:jc w:val="both"/>
        <w:rPr>
          <w:rFonts w:cs="David"/>
          <w:sz w:val="24"/>
          <w:szCs w:val="24"/>
          <w:rtl/>
        </w:rPr>
      </w:pPr>
      <w:r w:rsidRPr="00267D7A">
        <w:rPr>
          <w:rFonts w:cs="David" w:hint="cs"/>
          <w:sz w:val="24"/>
          <w:szCs w:val="24"/>
          <w:rtl/>
        </w:rPr>
        <w:t>במילים אחרות: אותו מינהל גימלאות שהוציא את אישור הגימלאות הכולל את הסעיף הסטנדרטי של זכות ערעור מוגבלת ל-60 יו</w:t>
      </w:r>
      <w:r w:rsidR="00BB6FF1">
        <w:rPr>
          <w:rFonts w:cs="David" w:hint="cs"/>
          <w:sz w:val="24"/>
          <w:szCs w:val="24"/>
          <w:rtl/>
        </w:rPr>
        <w:t>ם</w:t>
      </w:r>
      <w:r w:rsidRPr="00267D7A">
        <w:rPr>
          <w:rFonts w:cs="David" w:hint="cs"/>
          <w:sz w:val="24"/>
          <w:szCs w:val="24"/>
          <w:rtl/>
        </w:rPr>
        <w:t>, הנחה את התובע שלא לפעול כך.</w:t>
      </w:r>
    </w:p>
    <w:p w:rsidR="00ED4C9B" w:rsidRPr="00ED4C9B" w:rsidRDefault="00ED4C9B" w:rsidP="00267D7A">
      <w:pPr>
        <w:pStyle w:val="a3"/>
        <w:ind w:left="368"/>
        <w:jc w:val="both"/>
        <w:rPr>
          <w:rFonts w:cs="David" w:hint="cs"/>
          <w:sz w:val="8"/>
          <w:szCs w:val="8"/>
          <w:rtl/>
        </w:rPr>
      </w:pPr>
    </w:p>
    <w:p w:rsidR="005662EA" w:rsidRDefault="00702319" w:rsidP="005662EA">
      <w:pPr>
        <w:pStyle w:val="a3"/>
        <w:numPr>
          <w:ilvl w:val="2"/>
          <w:numId w:val="1"/>
        </w:numPr>
        <w:tabs>
          <w:tab w:val="left" w:pos="368"/>
        </w:tabs>
        <w:ind w:left="368" w:hanging="567"/>
        <w:jc w:val="both"/>
        <w:rPr>
          <w:rFonts w:cs="David"/>
          <w:sz w:val="24"/>
          <w:szCs w:val="24"/>
        </w:rPr>
      </w:pPr>
      <w:r w:rsidRPr="005662EA">
        <w:rPr>
          <w:rFonts w:cs="David" w:hint="cs"/>
          <w:sz w:val="24"/>
          <w:szCs w:val="24"/>
          <w:rtl/>
        </w:rPr>
        <w:t>בהתאם להנחיות אלו,</w:t>
      </w:r>
      <w:r w:rsidR="00536573" w:rsidRPr="005662EA">
        <w:rPr>
          <w:rFonts w:cs="David" w:hint="cs"/>
          <w:sz w:val="24"/>
          <w:szCs w:val="24"/>
          <w:rtl/>
        </w:rPr>
        <w:t xml:space="preserve"> ו</w:t>
      </w:r>
      <w:r w:rsidR="0003371E" w:rsidRPr="005662EA">
        <w:rPr>
          <w:rFonts w:cs="David" w:hint="cs"/>
          <w:sz w:val="24"/>
          <w:szCs w:val="24"/>
          <w:rtl/>
        </w:rPr>
        <w:t xml:space="preserve">בתוך שבוע ימים מיום </w:t>
      </w:r>
      <w:r w:rsidR="0003371E" w:rsidRPr="005662EA">
        <w:rPr>
          <w:rFonts w:cs="David" w:hint="cs"/>
          <w:sz w:val="24"/>
          <w:szCs w:val="24"/>
          <w:rtl/>
        </w:rPr>
        <w:t>קבלת הגימלה הראשונה</w:t>
      </w:r>
      <w:r w:rsidR="0003371E" w:rsidRPr="005662EA">
        <w:rPr>
          <w:rFonts w:cs="David" w:hint="cs"/>
          <w:sz w:val="24"/>
          <w:szCs w:val="24"/>
          <w:rtl/>
        </w:rPr>
        <w:t xml:space="preserve"> (ב-1.1.2013)</w:t>
      </w:r>
      <w:r w:rsidR="0003371E" w:rsidRPr="005662EA">
        <w:rPr>
          <w:rFonts w:cs="David" w:hint="cs"/>
          <w:sz w:val="24"/>
          <w:szCs w:val="24"/>
          <w:rtl/>
        </w:rPr>
        <w:t xml:space="preserve"> </w:t>
      </w:r>
      <w:r w:rsidR="0003371E" w:rsidRPr="005662EA">
        <w:rPr>
          <w:rFonts w:cs="David" w:hint="cs"/>
          <w:sz w:val="24"/>
          <w:szCs w:val="24"/>
          <w:rtl/>
        </w:rPr>
        <w:t xml:space="preserve">ואיסוף  </w:t>
      </w:r>
      <w:r w:rsidR="0003371E" w:rsidRPr="005662EA">
        <w:rPr>
          <w:rFonts w:cs="David" w:hint="cs"/>
          <w:noProof/>
          <w:sz w:val="24"/>
          <w:szCs w:val="24"/>
          <w:rtl/>
        </w:rPr>
        <w:t>המסמכים ו</w:t>
      </w:r>
      <w:r w:rsidR="0003371E" w:rsidRPr="005662EA">
        <w:rPr>
          <w:rFonts w:cs="David" w:hint="cs"/>
          <w:noProof/>
          <w:sz w:val="24"/>
          <w:szCs w:val="24"/>
          <w:rtl/>
        </w:rPr>
        <w:t>הנתונים הנדרשים</w:t>
      </w:r>
      <w:r w:rsidR="0003371E" w:rsidRPr="005662EA">
        <w:rPr>
          <w:rFonts w:cs="David" w:hint="cs"/>
          <w:noProof/>
          <w:sz w:val="24"/>
          <w:szCs w:val="24"/>
          <w:rtl/>
        </w:rPr>
        <w:t xml:space="preserve">, לרבות </w:t>
      </w:r>
      <w:r w:rsidR="0003371E" w:rsidRPr="005662EA">
        <w:rPr>
          <w:rFonts w:cs="David" w:hint="cs"/>
          <w:noProof/>
          <w:sz w:val="24"/>
          <w:szCs w:val="24"/>
          <w:rtl/>
        </w:rPr>
        <w:t xml:space="preserve">תלוש הגימלה </w:t>
      </w:r>
      <w:r w:rsidR="0003371E" w:rsidRPr="005662EA">
        <w:rPr>
          <w:rFonts w:cs="David" w:hint="cs"/>
          <w:noProof/>
          <w:sz w:val="24"/>
          <w:szCs w:val="24"/>
          <w:rtl/>
        </w:rPr>
        <w:t xml:space="preserve">הראשון </w:t>
      </w:r>
      <w:r w:rsidR="0003371E" w:rsidRPr="005662EA">
        <w:rPr>
          <w:rFonts w:cs="David" w:hint="cs"/>
          <w:noProof/>
          <w:sz w:val="24"/>
          <w:szCs w:val="24"/>
          <w:rtl/>
        </w:rPr>
        <w:t>המפרט את מרכיבי הגימלה</w:t>
      </w:r>
      <w:r w:rsidR="0003371E" w:rsidRPr="005662EA">
        <w:rPr>
          <w:rFonts w:cs="David" w:hint="cs"/>
          <w:noProof/>
          <w:sz w:val="24"/>
          <w:szCs w:val="24"/>
          <w:rtl/>
        </w:rPr>
        <w:t xml:space="preserve">,  </w:t>
      </w:r>
      <w:r w:rsidRPr="005662EA">
        <w:rPr>
          <w:rFonts w:cs="David" w:hint="cs"/>
          <w:noProof/>
          <w:sz w:val="24"/>
          <w:szCs w:val="24"/>
          <w:rtl/>
        </w:rPr>
        <w:t>פנה</w:t>
      </w:r>
      <w:r w:rsidRPr="005662EA">
        <w:rPr>
          <w:rFonts w:cs="David" w:hint="cs"/>
          <w:sz w:val="24"/>
          <w:szCs w:val="24"/>
          <w:rtl/>
        </w:rPr>
        <w:t xml:space="preserve"> התובע </w:t>
      </w:r>
      <w:r w:rsidR="00536573" w:rsidRPr="005662EA">
        <w:rPr>
          <w:rFonts w:cs="David" w:hint="cs"/>
          <w:sz w:val="24"/>
          <w:szCs w:val="24"/>
          <w:rtl/>
        </w:rPr>
        <w:t xml:space="preserve">כבר </w:t>
      </w:r>
      <w:r w:rsidR="00536573" w:rsidRPr="005662EA">
        <w:rPr>
          <w:rFonts w:cs="David" w:hint="cs"/>
          <w:sz w:val="24"/>
          <w:szCs w:val="24"/>
          <w:rtl/>
        </w:rPr>
        <w:t>ביום 8.1.13</w:t>
      </w:r>
      <w:r w:rsidR="00536573" w:rsidRPr="005662EA">
        <w:rPr>
          <w:rFonts w:cs="David" w:hint="cs"/>
          <w:sz w:val="24"/>
          <w:szCs w:val="24"/>
          <w:rtl/>
        </w:rPr>
        <w:t xml:space="preserve">, </w:t>
      </w:r>
      <w:r w:rsidRPr="005662EA">
        <w:rPr>
          <w:rFonts w:cs="David" w:hint="cs"/>
          <w:sz w:val="24"/>
          <w:szCs w:val="24"/>
          <w:rtl/>
        </w:rPr>
        <w:t>אל סגן נציב שרות המדינה מר מאיר אהרונוב</w:t>
      </w:r>
      <w:r w:rsidR="00536573" w:rsidRPr="005662EA">
        <w:rPr>
          <w:rFonts w:cs="David" w:hint="cs"/>
          <w:sz w:val="24"/>
          <w:szCs w:val="24"/>
          <w:rtl/>
        </w:rPr>
        <w:t>,</w:t>
      </w:r>
      <w:r w:rsidRPr="005662EA">
        <w:rPr>
          <w:rFonts w:cs="David" w:hint="cs"/>
          <w:sz w:val="24"/>
          <w:szCs w:val="24"/>
          <w:rtl/>
        </w:rPr>
        <w:t xml:space="preserve"> במסמך מפורט המסביר את השגיאות ו</w:t>
      </w:r>
      <w:r w:rsidR="00536573" w:rsidRPr="005662EA">
        <w:rPr>
          <w:rFonts w:cs="David" w:hint="cs"/>
          <w:sz w:val="24"/>
          <w:szCs w:val="24"/>
          <w:rtl/>
        </w:rPr>
        <w:t>ה</w:t>
      </w:r>
      <w:r w:rsidRPr="005662EA">
        <w:rPr>
          <w:rFonts w:cs="David" w:hint="cs"/>
          <w:sz w:val="24"/>
          <w:szCs w:val="24"/>
          <w:rtl/>
        </w:rPr>
        <w:t xml:space="preserve">עיוותים שנפלו </w:t>
      </w:r>
      <w:r w:rsidR="0003371E" w:rsidRPr="005662EA">
        <w:rPr>
          <w:rFonts w:cs="David" w:hint="cs"/>
          <w:sz w:val="24"/>
          <w:szCs w:val="24"/>
          <w:rtl/>
        </w:rPr>
        <w:t>ב</w:t>
      </w:r>
      <w:r w:rsidR="005662EA" w:rsidRPr="005662EA">
        <w:rPr>
          <w:rFonts w:cs="David" w:hint="cs"/>
          <w:sz w:val="24"/>
          <w:szCs w:val="24"/>
          <w:rtl/>
        </w:rPr>
        <w:t xml:space="preserve">הנחיותיו לחישוב גימלת התובע , </w:t>
      </w:r>
      <w:r w:rsidR="00536573" w:rsidRPr="005662EA">
        <w:rPr>
          <w:rFonts w:cs="David" w:hint="cs"/>
          <w:sz w:val="24"/>
          <w:szCs w:val="24"/>
          <w:rtl/>
        </w:rPr>
        <w:t>ואת בקשתו לתקון ה</w:t>
      </w:r>
      <w:r w:rsidR="0003371E" w:rsidRPr="005662EA">
        <w:rPr>
          <w:rFonts w:cs="David" w:hint="cs"/>
          <w:sz w:val="24"/>
          <w:szCs w:val="24"/>
          <w:rtl/>
        </w:rPr>
        <w:t>נחיותיו למינהל הגימלאות.</w:t>
      </w:r>
      <w:r w:rsidR="005662EA" w:rsidRPr="005662EA">
        <w:rPr>
          <w:rFonts w:cs="David" w:hint="cs"/>
          <w:sz w:val="24"/>
          <w:szCs w:val="24"/>
          <w:rtl/>
        </w:rPr>
        <w:t xml:space="preserve"> </w:t>
      </w:r>
      <w:r w:rsidR="005662EA">
        <w:rPr>
          <w:rFonts w:cs="David" w:hint="cs"/>
          <w:sz w:val="24"/>
          <w:szCs w:val="24"/>
          <w:rtl/>
        </w:rPr>
        <w:t xml:space="preserve"> </w:t>
      </w:r>
    </w:p>
    <w:p w:rsidR="00A15EBB" w:rsidRPr="00A15EBB" w:rsidRDefault="00A15EBB" w:rsidP="00694467">
      <w:pPr>
        <w:pStyle w:val="a3"/>
        <w:numPr>
          <w:ilvl w:val="2"/>
          <w:numId w:val="1"/>
        </w:numPr>
        <w:tabs>
          <w:tab w:val="left" w:pos="368"/>
        </w:tabs>
        <w:ind w:left="368" w:hanging="567"/>
        <w:jc w:val="both"/>
        <w:rPr>
          <w:rFonts w:cs="David"/>
          <w:sz w:val="24"/>
          <w:szCs w:val="24"/>
          <w:rtl/>
        </w:rPr>
      </w:pPr>
      <w:r>
        <w:rPr>
          <w:rFonts w:cs="David" w:hint="cs"/>
          <w:sz w:val="24"/>
          <w:szCs w:val="24"/>
          <w:rtl/>
        </w:rPr>
        <w:t xml:space="preserve"> </w:t>
      </w:r>
      <w:r w:rsidRPr="00A15EBB">
        <w:rPr>
          <w:rFonts w:cs="David" w:hint="cs"/>
          <w:sz w:val="24"/>
          <w:szCs w:val="24"/>
          <w:rtl/>
        </w:rPr>
        <w:t xml:space="preserve">מתחת לכותרת </w:t>
      </w:r>
      <w:r w:rsidR="00694467" w:rsidRPr="00A15EBB">
        <w:rPr>
          <w:rFonts w:cs="David" w:hint="cs"/>
          <w:sz w:val="24"/>
          <w:szCs w:val="24"/>
          <w:rtl/>
        </w:rPr>
        <w:t xml:space="preserve">"הנדון: שיטת חישוב הגימלא" </w:t>
      </w:r>
      <w:r w:rsidR="00694467">
        <w:rPr>
          <w:rFonts w:cs="David" w:hint="cs"/>
          <w:sz w:val="24"/>
          <w:szCs w:val="24"/>
          <w:rtl/>
        </w:rPr>
        <w:t>ב</w:t>
      </w:r>
      <w:r w:rsidRPr="00A15EBB">
        <w:rPr>
          <w:rFonts w:cs="David" w:hint="cs"/>
          <w:sz w:val="24"/>
          <w:szCs w:val="24"/>
          <w:rtl/>
        </w:rPr>
        <w:t>מכתב אל אהרונוב צויין כסימוכין וצורף עתק  מ"מכתבך .....אל הגב' חנה שוורץ....נשלח בפקס ב-3.12.12..".</w:t>
      </w:r>
    </w:p>
    <w:p w:rsidR="00A15EBB" w:rsidRPr="00A15EBB" w:rsidRDefault="00A15EBB" w:rsidP="00694467">
      <w:pPr>
        <w:pStyle w:val="a3"/>
        <w:ind w:left="368"/>
        <w:jc w:val="both"/>
        <w:rPr>
          <w:rFonts w:cs="David"/>
          <w:sz w:val="24"/>
          <w:szCs w:val="24"/>
          <w:rtl/>
        </w:rPr>
      </w:pPr>
      <w:r w:rsidRPr="00A15EBB">
        <w:rPr>
          <w:rFonts w:cs="David" w:hint="cs"/>
          <w:sz w:val="24"/>
          <w:szCs w:val="24"/>
          <w:rtl/>
        </w:rPr>
        <w:t>בפתיח למכתב הסביר התובע את הרקע לפנייתו הישירה למר אהרונוב וציין במפורש כי העתק ממכתב ההנחיות שבסימוכין "..הועבר אלי בימים אלו לבקשתי ממינהל הגימלאות" וכן כי "ממינהל הגמלאות....הובהר לי כי עלי להפנות אליך את הערותי לנוסחת חישוב הגימלה שבמכתב". העתק מהמכתב לאהרונוב שלח התובע במקביל גם לגב' חנה שוורץ.</w:t>
      </w:r>
    </w:p>
    <w:p w:rsidR="00A15EBB" w:rsidRPr="00957265" w:rsidRDefault="00A15EBB" w:rsidP="00957265">
      <w:pPr>
        <w:pStyle w:val="a3"/>
        <w:ind w:left="368"/>
        <w:rPr>
          <w:rFonts w:cs="David"/>
          <w:sz w:val="8"/>
          <w:szCs w:val="8"/>
        </w:rPr>
      </w:pPr>
    </w:p>
    <w:p w:rsidR="00A15EBB" w:rsidRPr="00A15EBB" w:rsidRDefault="00A15EBB" w:rsidP="00BB6FF1">
      <w:pPr>
        <w:pStyle w:val="a3"/>
        <w:tabs>
          <w:tab w:val="left" w:pos="368"/>
        </w:tabs>
        <w:ind w:left="368"/>
        <w:jc w:val="both"/>
        <w:rPr>
          <w:rFonts w:cs="David" w:hint="cs"/>
          <w:sz w:val="24"/>
          <w:szCs w:val="24"/>
          <w:rtl/>
        </w:rPr>
      </w:pPr>
      <w:r w:rsidRPr="00A15EBB">
        <w:rPr>
          <w:rFonts w:cs="David" w:hint="cs"/>
          <w:sz w:val="24"/>
          <w:szCs w:val="24"/>
          <w:rtl/>
        </w:rPr>
        <w:t>בתגובה,</w:t>
      </w:r>
      <w:r w:rsidR="00BB6FF1">
        <w:rPr>
          <w:rFonts w:cs="David" w:hint="cs"/>
          <w:sz w:val="24"/>
          <w:szCs w:val="24"/>
          <w:rtl/>
        </w:rPr>
        <w:t xml:space="preserve"> נתבקש התובע</w:t>
      </w:r>
      <w:r w:rsidRPr="00A15EBB">
        <w:rPr>
          <w:rFonts w:cs="David" w:hint="cs"/>
          <w:sz w:val="24"/>
          <w:szCs w:val="24"/>
          <w:rtl/>
        </w:rPr>
        <w:t xml:space="preserve"> מלשכתו של אהרונוב לצרף מסמכים נוספים וכך עשה התובע </w:t>
      </w:r>
      <w:r w:rsidR="00694467">
        <w:rPr>
          <w:rFonts w:cs="David" w:hint="cs"/>
          <w:sz w:val="24"/>
          <w:szCs w:val="24"/>
          <w:rtl/>
        </w:rPr>
        <w:t>ב</w:t>
      </w:r>
      <w:r w:rsidRPr="00A15EBB">
        <w:rPr>
          <w:rFonts w:cs="David" w:hint="cs"/>
          <w:sz w:val="24"/>
          <w:szCs w:val="24"/>
          <w:rtl/>
        </w:rPr>
        <w:t>אי</w:t>
      </w:r>
      <w:r w:rsidR="00BB6FF1">
        <w:rPr>
          <w:rFonts w:cs="David" w:hint="cs"/>
          <w:sz w:val="24"/>
          <w:szCs w:val="24"/>
          <w:rtl/>
        </w:rPr>
        <w:t>=</w:t>
      </w:r>
      <w:r w:rsidRPr="00A15EBB">
        <w:rPr>
          <w:rFonts w:cs="David" w:hint="cs"/>
          <w:sz w:val="24"/>
          <w:szCs w:val="24"/>
          <w:rtl/>
        </w:rPr>
        <w:t xml:space="preserve">מיילים </w:t>
      </w:r>
      <w:r w:rsidR="00694467">
        <w:rPr>
          <w:rFonts w:cs="David" w:hint="cs"/>
          <w:sz w:val="24"/>
          <w:szCs w:val="24"/>
          <w:rtl/>
        </w:rPr>
        <w:t>מ</w:t>
      </w:r>
      <w:r w:rsidRPr="00A15EBB">
        <w:rPr>
          <w:rFonts w:cs="David" w:hint="cs"/>
          <w:sz w:val="24"/>
          <w:szCs w:val="24"/>
          <w:rtl/>
        </w:rPr>
        <w:t xml:space="preserve">-13.1.13, 17.1.13, ו-23.1.13. (מצ"ב, </w:t>
      </w:r>
      <w:r w:rsidR="00694467">
        <w:rPr>
          <w:rFonts w:cs="David" w:hint="cs"/>
          <w:sz w:val="24"/>
          <w:szCs w:val="24"/>
          <w:rtl/>
        </w:rPr>
        <w:t>כ</w:t>
      </w:r>
      <w:r w:rsidRPr="00A15EBB">
        <w:rPr>
          <w:rFonts w:cs="David" w:hint="cs"/>
          <w:sz w:val="24"/>
          <w:szCs w:val="24"/>
          <w:rtl/>
        </w:rPr>
        <w:t>נספח 3)</w:t>
      </w:r>
    </w:p>
    <w:p w:rsidR="00957265" w:rsidRDefault="00957265" w:rsidP="00694467">
      <w:pPr>
        <w:pStyle w:val="a3"/>
        <w:numPr>
          <w:ilvl w:val="2"/>
          <w:numId w:val="1"/>
        </w:numPr>
        <w:tabs>
          <w:tab w:val="left" w:pos="368"/>
        </w:tabs>
        <w:ind w:left="368" w:hanging="567"/>
        <w:jc w:val="both"/>
        <w:rPr>
          <w:rFonts w:cs="David"/>
          <w:sz w:val="24"/>
          <w:szCs w:val="24"/>
        </w:rPr>
      </w:pPr>
      <w:r w:rsidRPr="00957265">
        <w:rPr>
          <w:rFonts w:cs="David"/>
          <w:sz w:val="24"/>
          <w:szCs w:val="24"/>
          <w:rtl/>
        </w:rPr>
        <w:t>על אף שהתובע פנה כאמור לנתבעים מיד ובסמוך ל</w:t>
      </w:r>
      <w:r w:rsidR="00694467">
        <w:rPr>
          <w:rFonts w:cs="David" w:hint="cs"/>
          <w:sz w:val="24"/>
          <w:szCs w:val="24"/>
          <w:rtl/>
        </w:rPr>
        <w:t xml:space="preserve">מועד </w:t>
      </w:r>
      <w:r w:rsidRPr="00957265">
        <w:rPr>
          <w:rFonts w:cs="David"/>
          <w:sz w:val="24"/>
          <w:szCs w:val="24"/>
          <w:rtl/>
        </w:rPr>
        <w:t xml:space="preserve">קבלת אישור הגמלאות, תשובה מנציבות שרות המדינה </w:t>
      </w:r>
      <w:r w:rsidR="00694467">
        <w:rPr>
          <w:rFonts w:cs="David" w:hint="cs"/>
          <w:sz w:val="24"/>
          <w:szCs w:val="24"/>
          <w:rtl/>
        </w:rPr>
        <w:t xml:space="preserve">הגיעה </w:t>
      </w:r>
      <w:r w:rsidRPr="00957265">
        <w:rPr>
          <w:rFonts w:cs="David"/>
          <w:sz w:val="24"/>
          <w:szCs w:val="24"/>
          <w:rtl/>
        </w:rPr>
        <w:t>לראשונה רק ביום 27.2.13, דהיינו כ-</w:t>
      </w:r>
      <w:r w:rsidR="00694467">
        <w:rPr>
          <w:rFonts w:cs="David" w:hint="cs"/>
          <w:sz w:val="24"/>
          <w:szCs w:val="24"/>
          <w:rtl/>
        </w:rPr>
        <w:t>7</w:t>
      </w:r>
      <w:r w:rsidRPr="00957265">
        <w:rPr>
          <w:rFonts w:cs="David"/>
          <w:sz w:val="24"/>
          <w:szCs w:val="24"/>
          <w:rtl/>
        </w:rPr>
        <w:t xml:space="preserve">0(!) יום מהמועד שבו קיבל את האישור לגימלאות </w:t>
      </w:r>
      <w:r w:rsidR="00694467">
        <w:rPr>
          <w:rFonts w:cs="David" w:hint="cs"/>
          <w:sz w:val="24"/>
          <w:szCs w:val="24"/>
          <w:rtl/>
        </w:rPr>
        <w:t>(</w:t>
      </w:r>
      <w:r w:rsidRPr="00957265">
        <w:rPr>
          <w:rFonts w:cs="David"/>
          <w:sz w:val="24"/>
          <w:szCs w:val="24"/>
          <w:rtl/>
        </w:rPr>
        <w:t>מ-10.12.12</w:t>
      </w:r>
      <w:r w:rsidR="00694467">
        <w:rPr>
          <w:rFonts w:cs="David" w:hint="cs"/>
          <w:sz w:val="24"/>
          <w:szCs w:val="24"/>
          <w:rtl/>
        </w:rPr>
        <w:t>)</w:t>
      </w:r>
      <w:r w:rsidR="000A26B1">
        <w:rPr>
          <w:rFonts w:cs="David" w:hint="cs"/>
          <w:sz w:val="24"/>
          <w:szCs w:val="24"/>
          <w:rtl/>
        </w:rPr>
        <w:t xml:space="preserve"> ואחרי תום 60 הימים מיום מתן האישור לגימלאות</w:t>
      </w:r>
      <w:r w:rsidRPr="00957265">
        <w:rPr>
          <w:rFonts w:cs="David"/>
          <w:sz w:val="24"/>
          <w:szCs w:val="24"/>
          <w:rtl/>
        </w:rPr>
        <w:t>. עיקרו של מכתב התשובה, לעיניינינו, היה:  מבצעים חשיבה ולאחר סיומה נודיעך.</w:t>
      </w:r>
    </w:p>
    <w:p w:rsidR="0090606F" w:rsidRPr="004152C5" w:rsidRDefault="0090606F" w:rsidP="0090606F">
      <w:pPr>
        <w:pStyle w:val="a3"/>
        <w:tabs>
          <w:tab w:val="left" w:pos="368"/>
        </w:tabs>
        <w:ind w:left="368"/>
        <w:jc w:val="both"/>
        <w:rPr>
          <w:rFonts w:cs="David"/>
          <w:sz w:val="16"/>
          <w:szCs w:val="16"/>
        </w:rPr>
      </w:pPr>
    </w:p>
    <w:p w:rsidR="004152C5" w:rsidRDefault="0090606F" w:rsidP="00BB6FF1">
      <w:pPr>
        <w:pStyle w:val="a3"/>
        <w:numPr>
          <w:ilvl w:val="2"/>
          <w:numId w:val="1"/>
        </w:numPr>
        <w:tabs>
          <w:tab w:val="left" w:pos="368"/>
        </w:tabs>
        <w:ind w:left="368" w:hanging="567"/>
        <w:jc w:val="both"/>
        <w:rPr>
          <w:rFonts w:cs="David"/>
          <w:sz w:val="24"/>
          <w:szCs w:val="24"/>
        </w:rPr>
      </w:pPr>
      <w:r>
        <w:rPr>
          <w:rFonts w:cs="David" w:hint="cs"/>
          <w:sz w:val="24"/>
          <w:szCs w:val="24"/>
          <w:rtl/>
        </w:rPr>
        <w:t>כש</w:t>
      </w:r>
      <w:r w:rsidR="000A26B1">
        <w:rPr>
          <w:rFonts w:cs="David" w:hint="cs"/>
          <w:sz w:val="24"/>
          <w:szCs w:val="24"/>
          <w:rtl/>
        </w:rPr>
        <w:t>התובע ביקש שוב ושוב</w:t>
      </w:r>
      <w:r w:rsidR="00BB6FF1">
        <w:rPr>
          <w:rFonts w:cs="David" w:hint="cs"/>
          <w:sz w:val="24"/>
          <w:szCs w:val="24"/>
          <w:rtl/>
        </w:rPr>
        <w:t>,</w:t>
      </w:r>
      <w:r w:rsidR="000A26B1">
        <w:rPr>
          <w:rFonts w:cs="David" w:hint="cs"/>
          <w:sz w:val="24"/>
          <w:szCs w:val="24"/>
          <w:rtl/>
        </w:rPr>
        <w:t xml:space="preserve"> </w:t>
      </w:r>
      <w:r w:rsidR="00BB6FF1">
        <w:rPr>
          <w:rFonts w:cs="David" w:hint="cs"/>
          <w:sz w:val="24"/>
          <w:szCs w:val="24"/>
          <w:rtl/>
        </w:rPr>
        <w:t>בכתב ובע"פ</w:t>
      </w:r>
      <w:r w:rsidR="00BB6FF1">
        <w:rPr>
          <w:rFonts w:cs="David" w:hint="cs"/>
          <w:sz w:val="24"/>
          <w:szCs w:val="24"/>
          <w:rtl/>
        </w:rPr>
        <w:t>,</w:t>
      </w:r>
      <w:r w:rsidR="00BB6FF1">
        <w:rPr>
          <w:rFonts w:cs="David" w:hint="cs"/>
          <w:sz w:val="24"/>
          <w:szCs w:val="24"/>
          <w:rtl/>
        </w:rPr>
        <w:t xml:space="preserve"> </w:t>
      </w:r>
      <w:r w:rsidR="000A26B1">
        <w:rPr>
          <w:rFonts w:cs="David" w:hint="cs"/>
          <w:sz w:val="24"/>
          <w:szCs w:val="24"/>
          <w:rtl/>
        </w:rPr>
        <w:t xml:space="preserve">לדעת מה עלה בתוצאות ה"בדיקות" ו"החשיבה" </w:t>
      </w:r>
      <w:r>
        <w:rPr>
          <w:rFonts w:cs="David" w:hint="cs"/>
          <w:sz w:val="24"/>
          <w:szCs w:val="24"/>
          <w:rtl/>
        </w:rPr>
        <w:t xml:space="preserve">וככל </w:t>
      </w:r>
      <w:r w:rsidR="000A26B1">
        <w:rPr>
          <w:rFonts w:cs="David" w:hint="cs"/>
          <w:sz w:val="24"/>
          <w:szCs w:val="24"/>
          <w:rtl/>
        </w:rPr>
        <w:t xml:space="preserve"> שהוא לחץ ובקש </w:t>
      </w:r>
      <w:r>
        <w:rPr>
          <w:rFonts w:cs="David" w:hint="cs"/>
          <w:sz w:val="24"/>
          <w:szCs w:val="24"/>
          <w:rtl/>
        </w:rPr>
        <w:t>פעם אחר פעם</w:t>
      </w:r>
      <w:r w:rsidR="000A26B1">
        <w:rPr>
          <w:rFonts w:cs="David" w:hint="cs"/>
          <w:sz w:val="24"/>
          <w:szCs w:val="24"/>
          <w:rtl/>
        </w:rPr>
        <w:t xml:space="preserve"> </w:t>
      </w:r>
      <w:r w:rsidR="00BB6FF1">
        <w:rPr>
          <w:rFonts w:cs="David" w:hint="cs"/>
          <w:sz w:val="24"/>
          <w:szCs w:val="24"/>
          <w:rtl/>
        </w:rPr>
        <w:t>התייחסו</w:t>
      </w:r>
      <w:r w:rsidR="00BB6FF1">
        <w:rPr>
          <w:rFonts w:cs="David" w:hint="eastAsia"/>
          <w:sz w:val="24"/>
          <w:szCs w:val="24"/>
          <w:rtl/>
        </w:rPr>
        <w:t>ת</w:t>
      </w:r>
      <w:r w:rsidR="000A26B1">
        <w:rPr>
          <w:rFonts w:cs="David" w:hint="cs"/>
          <w:sz w:val="24"/>
          <w:szCs w:val="24"/>
          <w:rtl/>
        </w:rPr>
        <w:t xml:space="preserve"> </w:t>
      </w:r>
      <w:r w:rsidR="00BB6FF1">
        <w:rPr>
          <w:rFonts w:cs="David" w:hint="cs"/>
          <w:sz w:val="24"/>
          <w:szCs w:val="24"/>
          <w:rtl/>
        </w:rPr>
        <w:t>עניינית</w:t>
      </w:r>
      <w:r w:rsidR="000A26B1">
        <w:rPr>
          <w:rFonts w:cs="David" w:hint="cs"/>
          <w:sz w:val="24"/>
          <w:szCs w:val="24"/>
          <w:rtl/>
        </w:rPr>
        <w:t xml:space="preserve"> לטענותיו, במשך שנים ארוכות</w:t>
      </w:r>
      <w:r>
        <w:rPr>
          <w:rFonts w:cs="David" w:hint="cs"/>
          <w:sz w:val="24"/>
          <w:szCs w:val="24"/>
          <w:rtl/>
        </w:rPr>
        <w:t xml:space="preserve">, </w:t>
      </w:r>
      <w:r>
        <w:rPr>
          <w:rFonts w:cs="David" w:hint="cs"/>
          <w:sz w:val="24"/>
          <w:szCs w:val="24"/>
          <w:rtl/>
        </w:rPr>
        <w:t>כמתואר בכתב התביעה חזר</w:t>
      </w:r>
      <w:r>
        <w:rPr>
          <w:rFonts w:cs="David" w:hint="cs"/>
          <w:sz w:val="24"/>
          <w:szCs w:val="24"/>
          <w:rtl/>
        </w:rPr>
        <w:t xml:space="preserve"> </w:t>
      </w:r>
      <w:r w:rsidR="00BB6FF1">
        <w:rPr>
          <w:rFonts w:cs="David" w:hint="cs"/>
          <w:sz w:val="24"/>
          <w:szCs w:val="24"/>
          <w:rtl/>
        </w:rPr>
        <w:t xml:space="preserve">כל פעם </w:t>
      </w:r>
      <w:r>
        <w:rPr>
          <w:rFonts w:cs="David" w:hint="cs"/>
          <w:sz w:val="24"/>
          <w:szCs w:val="24"/>
          <w:rtl/>
        </w:rPr>
        <w:t>ה</w:t>
      </w:r>
      <w:r w:rsidR="00BB6FF1">
        <w:rPr>
          <w:rFonts w:cs="David" w:hint="cs"/>
          <w:sz w:val="24"/>
          <w:szCs w:val="24"/>
          <w:rtl/>
        </w:rPr>
        <w:t>מסר:</w:t>
      </w:r>
      <w:r w:rsidRPr="00957265">
        <w:rPr>
          <w:rFonts w:cs="David"/>
          <w:sz w:val="24"/>
          <w:szCs w:val="24"/>
          <w:rtl/>
        </w:rPr>
        <w:t xml:space="preserve"> </w:t>
      </w:r>
      <w:r>
        <w:rPr>
          <w:rFonts w:cs="David" w:hint="cs"/>
          <w:sz w:val="24"/>
          <w:szCs w:val="24"/>
          <w:rtl/>
        </w:rPr>
        <w:t>המתן. אנו בודקים ו</w:t>
      </w:r>
      <w:r w:rsidRPr="00957265">
        <w:rPr>
          <w:rFonts w:cs="David"/>
          <w:sz w:val="24"/>
          <w:szCs w:val="24"/>
          <w:rtl/>
        </w:rPr>
        <w:t>עם סיום הבדיקה נודיעך</w:t>
      </w:r>
      <w:r>
        <w:rPr>
          <w:rFonts w:cs="David" w:hint="cs"/>
          <w:sz w:val="24"/>
          <w:szCs w:val="24"/>
          <w:rtl/>
        </w:rPr>
        <w:t>.</w:t>
      </w:r>
      <w:r w:rsidRPr="0090606F">
        <w:rPr>
          <w:rFonts w:cs="David"/>
          <w:sz w:val="24"/>
          <w:szCs w:val="24"/>
          <w:rtl/>
        </w:rPr>
        <w:t xml:space="preserve"> </w:t>
      </w:r>
    </w:p>
    <w:p w:rsidR="004152C5" w:rsidRPr="004152C5" w:rsidRDefault="004152C5" w:rsidP="004152C5">
      <w:pPr>
        <w:pStyle w:val="a3"/>
        <w:rPr>
          <w:rFonts w:cs="David" w:hint="cs"/>
          <w:sz w:val="8"/>
          <w:szCs w:val="8"/>
          <w:rtl/>
        </w:rPr>
      </w:pPr>
    </w:p>
    <w:p w:rsidR="000A26B1" w:rsidRDefault="0090606F" w:rsidP="004152C5">
      <w:pPr>
        <w:pStyle w:val="a3"/>
        <w:tabs>
          <w:tab w:val="left" w:pos="368"/>
        </w:tabs>
        <w:ind w:left="368"/>
        <w:jc w:val="both"/>
        <w:rPr>
          <w:rFonts w:cs="David"/>
          <w:sz w:val="24"/>
          <w:szCs w:val="24"/>
        </w:rPr>
      </w:pPr>
      <w:r>
        <w:rPr>
          <w:rFonts w:cs="David" w:hint="cs"/>
          <w:sz w:val="24"/>
          <w:szCs w:val="24"/>
          <w:rtl/>
        </w:rPr>
        <w:t xml:space="preserve">מעולם </w:t>
      </w:r>
      <w:r w:rsidRPr="0090606F">
        <w:rPr>
          <w:rFonts w:cs="David"/>
          <w:sz w:val="24"/>
          <w:szCs w:val="24"/>
          <w:rtl/>
        </w:rPr>
        <w:t>לא הועלתה הטענה של התישנות ו/או ה</w:t>
      </w:r>
      <w:r>
        <w:rPr>
          <w:rFonts w:cs="David"/>
          <w:sz w:val="24"/>
          <w:szCs w:val="24"/>
          <w:rtl/>
        </w:rPr>
        <w:t>חמצת המועד לעירעור, ולו פעם אחת</w:t>
      </w:r>
      <w:r>
        <w:rPr>
          <w:rFonts w:cs="David" w:hint="cs"/>
          <w:sz w:val="24"/>
          <w:szCs w:val="24"/>
          <w:rtl/>
        </w:rPr>
        <w:t xml:space="preserve"> ע"י אף אחד מהגורמים </w:t>
      </w:r>
      <w:r w:rsidRPr="0090606F">
        <w:rPr>
          <w:rFonts w:cs="David"/>
          <w:sz w:val="24"/>
          <w:szCs w:val="24"/>
          <w:rtl/>
        </w:rPr>
        <w:t>שהיו מעורבים בענין</w:t>
      </w:r>
      <w:r>
        <w:rPr>
          <w:rFonts w:cs="David" w:hint="cs"/>
          <w:sz w:val="24"/>
          <w:szCs w:val="24"/>
          <w:rtl/>
        </w:rPr>
        <w:t xml:space="preserve"> </w:t>
      </w:r>
      <w:r w:rsidRPr="0090606F">
        <w:rPr>
          <w:rFonts w:cs="David"/>
          <w:sz w:val="24"/>
          <w:szCs w:val="24"/>
          <w:rtl/>
        </w:rPr>
        <w:t>בנציבות שרות המדינה, משרד האוצר ומינהל הגימלאות, לרבות היועצים המשפטיים למיניהם במשרדים אלו המומחים בהוראות חוק הגימלאות ותקנותיו ונציב תלונות הציבור שגם אליו פנה התובע</w:t>
      </w:r>
      <w:r>
        <w:rPr>
          <w:rFonts w:cs="David" w:hint="cs"/>
          <w:sz w:val="24"/>
          <w:szCs w:val="24"/>
          <w:rtl/>
        </w:rPr>
        <w:t>.</w:t>
      </w:r>
    </w:p>
    <w:p w:rsidR="0090606F" w:rsidRPr="004152C5" w:rsidRDefault="0090606F" w:rsidP="0090606F">
      <w:pPr>
        <w:pStyle w:val="a3"/>
        <w:tabs>
          <w:tab w:val="left" w:pos="368"/>
        </w:tabs>
        <w:ind w:left="368"/>
        <w:jc w:val="both"/>
        <w:rPr>
          <w:rFonts w:cs="David"/>
          <w:sz w:val="8"/>
          <w:szCs w:val="8"/>
        </w:rPr>
      </w:pPr>
    </w:p>
    <w:p w:rsidR="0090606F" w:rsidRDefault="004152C5" w:rsidP="004152C5">
      <w:pPr>
        <w:pStyle w:val="a3"/>
        <w:rPr>
          <w:rFonts w:cs="David" w:hint="cs"/>
          <w:sz w:val="24"/>
          <w:szCs w:val="24"/>
          <w:rtl/>
        </w:rPr>
      </w:pPr>
      <w:r w:rsidRPr="0090606F">
        <w:rPr>
          <w:rFonts w:cs="David"/>
          <w:sz w:val="24"/>
          <w:szCs w:val="24"/>
          <w:rtl/>
        </w:rPr>
        <w:t>ר' לדוגמא את פיסקה 67 ואת הסיפא של נספח 17 לכתב התביעה (סיכום דיון של ישיבה בנושא שהתקיימה באוצר ב-1.11.16, כ-4 שנים(!</w:t>
      </w:r>
      <w:r>
        <w:rPr>
          <w:rFonts w:cs="David"/>
          <w:sz w:val="24"/>
          <w:szCs w:val="24"/>
          <w:rtl/>
        </w:rPr>
        <w:t>) אחרי אישור הגימלא ב-10.12.12</w:t>
      </w:r>
      <w:r>
        <w:rPr>
          <w:rFonts w:cs="David" w:hint="cs"/>
          <w:sz w:val="24"/>
          <w:szCs w:val="24"/>
          <w:rtl/>
        </w:rPr>
        <w:t>.</w:t>
      </w:r>
    </w:p>
    <w:p w:rsidR="004152C5" w:rsidRPr="004152C5" w:rsidRDefault="004152C5" w:rsidP="004152C5">
      <w:pPr>
        <w:pStyle w:val="a3"/>
        <w:rPr>
          <w:rFonts w:cs="David" w:hint="cs"/>
          <w:sz w:val="16"/>
          <w:szCs w:val="16"/>
        </w:rPr>
      </w:pPr>
    </w:p>
    <w:p w:rsidR="004152C5" w:rsidRPr="004152C5" w:rsidRDefault="004152C5" w:rsidP="00DB28E9">
      <w:pPr>
        <w:pStyle w:val="a3"/>
        <w:numPr>
          <w:ilvl w:val="2"/>
          <w:numId w:val="1"/>
        </w:numPr>
        <w:tabs>
          <w:tab w:val="left" w:pos="368"/>
        </w:tabs>
        <w:ind w:left="368" w:hanging="567"/>
        <w:jc w:val="both"/>
        <w:rPr>
          <w:rFonts w:cs="David"/>
          <w:sz w:val="24"/>
          <w:szCs w:val="24"/>
          <w:rtl/>
        </w:rPr>
      </w:pPr>
      <w:r>
        <w:rPr>
          <w:rFonts w:cs="David" w:hint="cs"/>
          <w:sz w:val="24"/>
          <w:szCs w:val="24"/>
          <w:rtl/>
        </w:rPr>
        <w:t xml:space="preserve"> </w:t>
      </w:r>
      <w:r w:rsidRPr="004152C5">
        <w:rPr>
          <w:rFonts w:cs="David"/>
          <w:sz w:val="24"/>
          <w:szCs w:val="24"/>
          <w:rtl/>
        </w:rPr>
        <w:t xml:space="preserve">כלאמר: </w:t>
      </w:r>
      <w:r w:rsidRPr="004152C5">
        <w:rPr>
          <w:rFonts w:cs="David" w:hint="cs"/>
          <w:sz w:val="24"/>
          <w:szCs w:val="24"/>
          <w:rtl/>
        </w:rPr>
        <w:t>התובע שהיה משוכנע שההגבלה של 60 יום לעירעור ע"פ תקנות חוק הגימלאות אינה חלה עליו</w:t>
      </w:r>
      <w:r w:rsidR="00C043D2">
        <w:rPr>
          <w:rFonts w:cs="David" w:hint="cs"/>
          <w:sz w:val="24"/>
          <w:szCs w:val="24"/>
          <w:rtl/>
        </w:rPr>
        <w:t xml:space="preserve"> קיבל איש</w:t>
      </w:r>
      <w:r w:rsidRPr="004152C5">
        <w:rPr>
          <w:rFonts w:cs="David" w:hint="cs"/>
          <w:sz w:val="24"/>
          <w:szCs w:val="24"/>
          <w:rtl/>
        </w:rPr>
        <w:t>ר</w:t>
      </w:r>
      <w:r w:rsidR="00C043D2">
        <w:rPr>
          <w:rFonts w:cs="David" w:hint="cs"/>
          <w:sz w:val="24"/>
          <w:szCs w:val="24"/>
          <w:rtl/>
        </w:rPr>
        <w:t xml:space="preserve">ור </w:t>
      </w:r>
      <w:r w:rsidRPr="004152C5">
        <w:rPr>
          <w:rFonts w:cs="David" w:hint="cs"/>
          <w:sz w:val="24"/>
          <w:szCs w:val="24"/>
          <w:rtl/>
        </w:rPr>
        <w:t xml:space="preserve"> לכך </w:t>
      </w:r>
      <w:r w:rsidR="00C043D2">
        <w:rPr>
          <w:rFonts w:cs="David" w:hint="cs"/>
          <w:sz w:val="24"/>
          <w:szCs w:val="24"/>
          <w:rtl/>
        </w:rPr>
        <w:t xml:space="preserve">גם מבית הדין לעבודה וגם </w:t>
      </w:r>
      <w:r w:rsidRPr="004152C5">
        <w:rPr>
          <w:rFonts w:cs="David" w:hint="cs"/>
          <w:sz w:val="24"/>
          <w:szCs w:val="24"/>
          <w:rtl/>
        </w:rPr>
        <w:t>מכל הנתבעים</w:t>
      </w:r>
      <w:r w:rsidR="00C043D2">
        <w:rPr>
          <w:rFonts w:cs="David" w:hint="cs"/>
          <w:sz w:val="24"/>
          <w:szCs w:val="24"/>
          <w:rtl/>
        </w:rPr>
        <w:t xml:space="preserve"> עצמם</w:t>
      </w:r>
      <w:r w:rsidR="00DB28E9">
        <w:rPr>
          <w:rFonts w:cs="David" w:hint="cs"/>
          <w:sz w:val="24"/>
          <w:szCs w:val="24"/>
          <w:rtl/>
        </w:rPr>
        <w:t xml:space="preserve"> ש</w:t>
      </w:r>
      <w:r w:rsidRPr="004152C5">
        <w:rPr>
          <w:rFonts w:cs="David" w:hint="cs"/>
          <w:sz w:val="24"/>
          <w:szCs w:val="24"/>
          <w:rtl/>
        </w:rPr>
        <w:t>היו ללא ספק "מנפנפים" את התובע בטיעון שאיחר/החמיץ את מועד העירעור, אילו חשבו שחוק הגימלאות חל עליו.</w:t>
      </w:r>
    </w:p>
    <w:p w:rsidR="004152C5" w:rsidRPr="00C043D2" w:rsidRDefault="004152C5" w:rsidP="00C043D2">
      <w:pPr>
        <w:ind w:left="-199"/>
        <w:rPr>
          <w:rFonts w:cs="David"/>
          <w:sz w:val="24"/>
          <w:szCs w:val="24"/>
          <w:rtl/>
        </w:rPr>
      </w:pPr>
    </w:p>
    <w:p w:rsidR="00CF710E" w:rsidRDefault="00DB28E9" w:rsidP="00BB6FF1">
      <w:pPr>
        <w:pStyle w:val="a3"/>
        <w:numPr>
          <w:ilvl w:val="2"/>
          <w:numId w:val="1"/>
        </w:numPr>
        <w:tabs>
          <w:tab w:val="left" w:pos="368"/>
        </w:tabs>
        <w:ind w:left="368" w:hanging="567"/>
        <w:jc w:val="both"/>
        <w:rPr>
          <w:rFonts w:cs="David"/>
          <w:sz w:val="24"/>
          <w:szCs w:val="24"/>
        </w:rPr>
      </w:pPr>
      <w:r w:rsidRPr="00DB28E9">
        <w:rPr>
          <w:rFonts w:cs="David" w:hint="cs"/>
          <w:sz w:val="24"/>
          <w:szCs w:val="24"/>
          <w:rtl/>
        </w:rPr>
        <w:lastRenderedPageBreak/>
        <w:t xml:space="preserve"> </w:t>
      </w:r>
      <w:r>
        <w:rPr>
          <w:rFonts w:cs="David" w:hint="cs"/>
          <w:sz w:val="24"/>
          <w:szCs w:val="24"/>
          <w:rtl/>
        </w:rPr>
        <w:t>הנה כי כן לא סביר ש</w:t>
      </w:r>
      <w:r w:rsidR="00CF710E">
        <w:rPr>
          <w:rFonts w:cs="David" w:hint="cs"/>
          <w:sz w:val="24"/>
          <w:szCs w:val="24"/>
          <w:rtl/>
        </w:rPr>
        <w:t>בית הדין יחסום</w:t>
      </w:r>
      <w:r>
        <w:rPr>
          <w:rFonts w:cs="David" w:hint="cs"/>
          <w:sz w:val="24"/>
          <w:szCs w:val="24"/>
          <w:rtl/>
        </w:rPr>
        <w:t xml:space="preserve"> את דרכו של התובע לפנות לערכאות כאשר כל הגורמים, </w:t>
      </w:r>
      <w:r w:rsidR="00CF710E">
        <w:rPr>
          <w:rFonts w:cs="David" w:hint="cs"/>
          <w:sz w:val="24"/>
          <w:szCs w:val="24"/>
          <w:rtl/>
        </w:rPr>
        <w:t>ובעיקר הנתבעים, גופים גדולים ומקצועיים שחובת ההגינות מוטלת עליהם, נותנים לתובע להבין לאורך שנים ש</w:t>
      </w:r>
      <w:r w:rsidR="00BB6FF1">
        <w:rPr>
          <w:rFonts w:cs="David" w:hint="cs"/>
          <w:sz w:val="24"/>
          <w:szCs w:val="24"/>
          <w:rtl/>
        </w:rPr>
        <w:t>גם מסכימים לכך ש</w:t>
      </w:r>
      <w:r w:rsidR="00CF710E">
        <w:rPr>
          <w:rFonts w:cs="David" w:hint="cs"/>
          <w:sz w:val="24"/>
          <w:szCs w:val="24"/>
          <w:rtl/>
        </w:rPr>
        <w:t xml:space="preserve">חוק הגימלאות לא חל על החוזה כפי שהוא מבין, ובית הדין לעבודה מאשרר זאת. </w:t>
      </w:r>
    </w:p>
    <w:p w:rsidR="00CF710E" w:rsidRPr="00CF710E" w:rsidRDefault="00CF710E" w:rsidP="00CF710E">
      <w:pPr>
        <w:pStyle w:val="a3"/>
        <w:rPr>
          <w:rFonts w:cs="David" w:hint="cs"/>
          <w:sz w:val="24"/>
          <w:szCs w:val="24"/>
          <w:rtl/>
        </w:rPr>
      </w:pPr>
    </w:p>
    <w:p w:rsidR="00220911" w:rsidRDefault="00BB6FF1" w:rsidP="008232B3">
      <w:pPr>
        <w:pStyle w:val="a3"/>
        <w:numPr>
          <w:ilvl w:val="1"/>
          <w:numId w:val="1"/>
        </w:numPr>
        <w:tabs>
          <w:tab w:val="left" w:pos="368"/>
        </w:tabs>
        <w:ind w:left="368"/>
        <w:jc w:val="both"/>
        <w:rPr>
          <w:rFonts w:cs="David"/>
          <w:sz w:val="24"/>
          <w:szCs w:val="24"/>
        </w:rPr>
      </w:pPr>
      <w:r>
        <w:rPr>
          <w:rFonts w:cs="David" w:hint="cs"/>
          <w:sz w:val="24"/>
          <w:szCs w:val="24"/>
          <w:rtl/>
        </w:rPr>
        <w:t>נראה שהסיבה היחידה לכך מסתתרת</w:t>
      </w:r>
      <w:r w:rsidR="008232B3">
        <w:rPr>
          <w:rFonts w:cs="David" w:hint="cs"/>
          <w:sz w:val="24"/>
          <w:szCs w:val="24"/>
          <w:rtl/>
        </w:rPr>
        <w:t xml:space="preserve"> ב</w:t>
      </w:r>
      <w:r w:rsidR="00220911" w:rsidRPr="00DB28E9">
        <w:rPr>
          <w:rFonts w:cs="David" w:hint="cs"/>
          <w:sz w:val="24"/>
          <w:szCs w:val="24"/>
          <w:rtl/>
        </w:rPr>
        <w:t>פיסקא 43 לפסה"ד</w:t>
      </w:r>
      <w:r w:rsidR="00CF710E">
        <w:rPr>
          <w:rFonts w:cs="David" w:hint="cs"/>
          <w:sz w:val="24"/>
          <w:szCs w:val="24"/>
          <w:rtl/>
        </w:rPr>
        <w:t xml:space="preserve"> </w:t>
      </w:r>
      <w:r>
        <w:rPr>
          <w:rFonts w:cs="David" w:hint="cs"/>
          <w:sz w:val="24"/>
          <w:szCs w:val="24"/>
          <w:rtl/>
        </w:rPr>
        <w:t xml:space="preserve">בו </w:t>
      </w:r>
      <w:r w:rsidR="00CF710E">
        <w:rPr>
          <w:rFonts w:cs="David" w:hint="cs"/>
          <w:sz w:val="24"/>
          <w:szCs w:val="24"/>
          <w:rtl/>
        </w:rPr>
        <w:t xml:space="preserve">מציין </w:t>
      </w:r>
      <w:r w:rsidR="00220911" w:rsidRPr="00DB28E9">
        <w:rPr>
          <w:rFonts w:cs="David" w:hint="cs"/>
          <w:sz w:val="24"/>
          <w:szCs w:val="24"/>
          <w:rtl/>
        </w:rPr>
        <w:t xml:space="preserve">בית הדין </w:t>
      </w:r>
      <w:r w:rsidR="00CF710E">
        <w:rPr>
          <w:rFonts w:cs="David" w:hint="cs"/>
          <w:sz w:val="24"/>
          <w:szCs w:val="24"/>
          <w:rtl/>
        </w:rPr>
        <w:t>כי אמנם</w:t>
      </w:r>
      <w:r w:rsidR="00934B8D" w:rsidRPr="00DB28E9">
        <w:rPr>
          <w:rFonts w:cs="David" w:hint="cs"/>
          <w:sz w:val="24"/>
          <w:szCs w:val="24"/>
          <w:rtl/>
        </w:rPr>
        <w:t xml:space="preserve"> </w:t>
      </w:r>
      <w:r w:rsidR="00220911" w:rsidRPr="00DB28E9">
        <w:rPr>
          <w:rFonts w:cs="David" w:hint="cs"/>
          <w:sz w:val="24"/>
          <w:szCs w:val="24"/>
          <w:rtl/>
        </w:rPr>
        <w:t>"התובע</w:t>
      </w:r>
      <w:r w:rsidR="00220911" w:rsidRPr="00DB28E9">
        <w:rPr>
          <w:rFonts w:cs="David"/>
          <w:sz w:val="24"/>
          <w:szCs w:val="24"/>
        </w:rPr>
        <w:t xml:space="preserve"> </w:t>
      </w:r>
      <w:r w:rsidR="00220911" w:rsidRPr="00DB28E9">
        <w:rPr>
          <w:rFonts w:cs="David" w:hint="cs"/>
          <w:sz w:val="24"/>
          <w:szCs w:val="24"/>
          <w:rtl/>
        </w:rPr>
        <w:t>טען</w:t>
      </w:r>
      <w:r w:rsidR="00220911" w:rsidRPr="00DB28E9">
        <w:rPr>
          <w:rFonts w:cs="David"/>
          <w:sz w:val="24"/>
          <w:szCs w:val="24"/>
        </w:rPr>
        <w:t xml:space="preserve"> </w:t>
      </w:r>
      <w:r w:rsidR="00220911" w:rsidRPr="00DB28E9">
        <w:rPr>
          <w:rFonts w:cs="David" w:hint="cs"/>
          <w:sz w:val="24"/>
          <w:szCs w:val="24"/>
          <w:rtl/>
        </w:rPr>
        <w:t>לפנינו</w:t>
      </w:r>
      <w:r w:rsidR="00220911" w:rsidRPr="00DB28E9">
        <w:rPr>
          <w:rFonts w:cs="David"/>
          <w:sz w:val="24"/>
          <w:szCs w:val="24"/>
        </w:rPr>
        <w:t xml:space="preserve"> </w:t>
      </w:r>
      <w:r w:rsidR="00220911" w:rsidRPr="00DB28E9">
        <w:rPr>
          <w:rFonts w:cs="David" w:hint="cs"/>
          <w:sz w:val="24"/>
          <w:szCs w:val="24"/>
          <w:rtl/>
        </w:rPr>
        <w:t>כי</w:t>
      </w:r>
      <w:r w:rsidR="00220911" w:rsidRPr="00DB28E9">
        <w:rPr>
          <w:rFonts w:cs="David"/>
          <w:sz w:val="24"/>
          <w:szCs w:val="24"/>
        </w:rPr>
        <w:t xml:space="preserve"> </w:t>
      </w:r>
      <w:r w:rsidR="00220911" w:rsidRPr="00DB28E9">
        <w:rPr>
          <w:rFonts w:cs="David" w:hint="cs"/>
          <w:sz w:val="24"/>
          <w:szCs w:val="24"/>
          <w:rtl/>
        </w:rPr>
        <w:t>פנה</w:t>
      </w:r>
      <w:r w:rsidR="00220911" w:rsidRPr="00DB28E9">
        <w:rPr>
          <w:rFonts w:cs="David"/>
          <w:sz w:val="24"/>
          <w:szCs w:val="24"/>
        </w:rPr>
        <w:t xml:space="preserve"> </w:t>
      </w:r>
      <w:r w:rsidR="00220911" w:rsidRPr="00DB28E9">
        <w:rPr>
          <w:rFonts w:cs="David" w:hint="cs"/>
          <w:sz w:val="24"/>
          <w:szCs w:val="24"/>
          <w:rtl/>
        </w:rPr>
        <w:t>לאורך</w:t>
      </w:r>
      <w:r w:rsidR="00220911" w:rsidRPr="00DB28E9">
        <w:rPr>
          <w:rFonts w:cs="David"/>
          <w:sz w:val="24"/>
          <w:szCs w:val="24"/>
        </w:rPr>
        <w:t xml:space="preserve"> </w:t>
      </w:r>
      <w:r w:rsidR="00220911" w:rsidRPr="00DB28E9">
        <w:rPr>
          <w:rFonts w:cs="David" w:hint="cs"/>
          <w:sz w:val="24"/>
          <w:szCs w:val="24"/>
          <w:rtl/>
        </w:rPr>
        <w:t>השנים</w:t>
      </w:r>
      <w:r w:rsidR="00220911" w:rsidRPr="00DB28E9">
        <w:rPr>
          <w:rFonts w:cs="David"/>
          <w:sz w:val="24"/>
          <w:szCs w:val="24"/>
        </w:rPr>
        <w:t xml:space="preserve"> </w:t>
      </w:r>
      <w:r w:rsidR="00220911" w:rsidRPr="00DB28E9">
        <w:rPr>
          <w:rFonts w:cs="David" w:hint="cs"/>
          <w:sz w:val="24"/>
          <w:szCs w:val="24"/>
          <w:rtl/>
        </w:rPr>
        <w:t>לגורמים</w:t>
      </w:r>
      <w:r w:rsidR="00220911" w:rsidRPr="00DB28E9">
        <w:rPr>
          <w:rFonts w:cs="David"/>
          <w:sz w:val="24"/>
          <w:szCs w:val="24"/>
        </w:rPr>
        <w:t xml:space="preserve"> </w:t>
      </w:r>
      <w:r w:rsidR="00220911" w:rsidRPr="00DB28E9">
        <w:rPr>
          <w:rFonts w:cs="David" w:hint="cs"/>
          <w:sz w:val="24"/>
          <w:szCs w:val="24"/>
          <w:rtl/>
        </w:rPr>
        <w:t>שונים</w:t>
      </w:r>
      <w:r w:rsidR="00220911" w:rsidRPr="00DB28E9">
        <w:rPr>
          <w:rFonts w:cs="David"/>
          <w:sz w:val="24"/>
          <w:szCs w:val="24"/>
        </w:rPr>
        <w:t xml:space="preserve"> </w:t>
      </w:r>
      <w:r w:rsidR="00220911" w:rsidRPr="00DB28E9">
        <w:rPr>
          <w:rFonts w:cs="David" w:hint="cs"/>
          <w:sz w:val="24"/>
          <w:szCs w:val="24"/>
          <w:rtl/>
        </w:rPr>
        <w:t>בנציבות</w:t>
      </w:r>
      <w:r w:rsidR="00220911" w:rsidRPr="00DB28E9">
        <w:rPr>
          <w:rFonts w:cs="David"/>
          <w:sz w:val="24"/>
          <w:szCs w:val="24"/>
        </w:rPr>
        <w:t xml:space="preserve"> </w:t>
      </w:r>
      <w:r w:rsidR="00220911" w:rsidRPr="00DB28E9">
        <w:rPr>
          <w:rFonts w:cs="David" w:hint="cs"/>
          <w:sz w:val="24"/>
          <w:szCs w:val="24"/>
          <w:rtl/>
        </w:rPr>
        <w:t>שירות</w:t>
      </w:r>
      <w:r w:rsidR="00220911" w:rsidRPr="00DB28E9">
        <w:rPr>
          <w:rFonts w:cs="David"/>
          <w:sz w:val="24"/>
          <w:szCs w:val="24"/>
        </w:rPr>
        <w:t xml:space="preserve"> </w:t>
      </w:r>
      <w:r w:rsidR="00220911" w:rsidRPr="00DB28E9">
        <w:rPr>
          <w:rFonts w:cs="David" w:hint="cs"/>
          <w:sz w:val="24"/>
          <w:szCs w:val="24"/>
          <w:rtl/>
        </w:rPr>
        <w:t>המדינה</w:t>
      </w:r>
      <w:r w:rsidR="00220911" w:rsidRPr="00DB28E9">
        <w:rPr>
          <w:rFonts w:cs="David"/>
          <w:sz w:val="24"/>
          <w:szCs w:val="24"/>
        </w:rPr>
        <w:t xml:space="preserve"> </w:t>
      </w:r>
      <w:r w:rsidR="00220911" w:rsidRPr="00DB28E9">
        <w:rPr>
          <w:rFonts w:cs="David" w:hint="cs"/>
          <w:sz w:val="24"/>
          <w:szCs w:val="24"/>
          <w:rtl/>
        </w:rPr>
        <w:t>על</w:t>
      </w:r>
      <w:r w:rsidR="00220911" w:rsidRPr="00DB28E9">
        <w:rPr>
          <w:rFonts w:cs="David"/>
          <w:sz w:val="24"/>
          <w:szCs w:val="24"/>
        </w:rPr>
        <w:t>-</w:t>
      </w:r>
      <w:r w:rsidR="00220911" w:rsidRPr="00DB28E9">
        <w:rPr>
          <w:rFonts w:cs="David" w:hint="cs"/>
          <w:sz w:val="24"/>
          <w:szCs w:val="24"/>
          <w:rtl/>
        </w:rPr>
        <w:t>מנת</w:t>
      </w:r>
      <w:r w:rsidR="00220911" w:rsidRPr="00DB28E9">
        <w:rPr>
          <w:rFonts w:cs="David"/>
          <w:sz w:val="24"/>
          <w:szCs w:val="24"/>
        </w:rPr>
        <w:t xml:space="preserve"> </w:t>
      </w:r>
      <w:r w:rsidR="00220911" w:rsidRPr="00DB28E9">
        <w:rPr>
          <w:rFonts w:cs="David" w:hint="cs"/>
          <w:sz w:val="24"/>
          <w:szCs w:val="24"/>
          <w:rtl/>
        </w:rPr>
        <w:t>להשיג</w:t>
      </w:r>
      <w:r w:rsidR="00220911" w:rsidRPr="00DB28E9">
        <w:rPr>
          <w:rFonts w:cs="David"/>
          <w:sz w:val="24"/>
          <w:szCs w:val="24"/>
        </w:rPr>
        <w:t xml:space="preserve"> </w:t>
      </w:r>
      <w:r w:rsidR="00220911" w:rsidRPr="00DB28E9">
        <w:rPr>
          <w:rFonts w:cs="David" w:hint="cs"/>
          <w:sz w:val="24"/>
          <w:szCs w:val="24"/>
          <w:rtl/>
        </w:rPr>
        <w:t>על</w:t>
      </w:r>
      <w:r w:rsidR="00220911" w:rsidRPr="00DB28E9">
        <w:rPr>
          <w:rFonts w:cs="David"/>
          <w:sz w:val="24"/>
          <w:szCs w:val="24"/>
        </w:rPr>
        <w:t xml:space="preserve"> </w:t>
      </w:r>
      <w:r w:rsidR="00220911" w:rsidRPr="00DB28E9">
        <w:rPr>
          <w:rFonts w:cs="David" w:hint="cs"/>
          <w:sz w:val="24"/>
          <w:szCs w:val="24"/>
          <w:rtl/>
        </w:rPr>
        <w:t>הקביעה</w:t>
      </w:r>
      <w:r w:rsidR="00220911" w:rsidRPr="00DB28E9">
        <w:rPr>
          <w:rFonts w:cs="David"/>
          <w:sz w:val="24"/>
          <w:szCs w:val="24"/>
        </w:rPr>
        <w:t xml:space="preserve"> </w:t>
      </w:r>
      <w:r w:rsidR="00220911" w:rsidRPr="00DB28E9">
        <w:rPr>
          <w:rFonts w:cs="David" w:hint="cs"/>
          <w:sz w:val="24"/>
          <w:szCs w:val="24"/>
          <w:rtl/>
        </w:rPr>
        <w:t>לעניין</w:t>
      </w:r>
      <w:r w:rsidR="00220911" w:rsidRPr="00DB28E9">
        <w:rPr>
          <w:rFonts w:cs="David"/>
          <w:sz w:val="24"/>
          <w:szCs w:val="24"/>
        </w:rPr>
        <w:t xml:space="preserve"> </w:t>
      </w:r>
      <w:r w:rsidR="00220911" w:rsidRPr="00DB28E9">
        <w:rPr>
          <w:rFonts w:cs="David" w:hint="cs"/>
          <w:sz w:val="24"/>
          <w:szCs w:val="24"/>
          <w:rtl/>
        </w:rPr>
        <w:t>שיעור</w:t>
      </w:r>
      <w:r w:rsidR="00220911" w:rsidRPr="00DB28E9">
        <w:rPr>
          <w:rFonts w:cs="David"/>
          <w:sz w:val="24"/>
          <w:szCs w:val="24"/>
        </w:rPr>
        <w:t xml:space="preserve"> </w:t>
      </w:r>
      <w:r w:rsidR="00220911" w:rsidRPr="00DB28E9">
        <w:rPr>
          <w:rFonts w:cs="David" w:hint="cs"/>
          <w:sz w:val="24"/>
          <w:szCs w:val="24"/>
          <w:rtl/>
        </w:rPr>
        <w:t>גמלתו,</w:t>
      </w:r>
      <w:r w:rsidR="00220911" w:rsidRPr="00DB28E9">
        <w:rPr>
          <w:rFonts w:cs="David"/>
          <w:sz w:val="24"/>
          <w:szCs w:val="24"/>
        </w:rPr>
        <w:t xml:space="preserve"> </w:t>
      </w:r>
      <w:r w:rsidR="00220911" w:rsidRPr="00DB28E9">
        <w:rPr>
          <w:rFonts w:cs="David" w:hint="cs"/>
          <w:sz w:val="24"/>
          <w:szCs w:val="24"/>
          <w:rtl/>
        </w:rPr>
        <w:t>תוך</w:t>
      </w:r>
      <w:r w:rsidR="00220911" w:rsidRPr="00DB28E9">
        <w:rPr>
          <w:rFonts w:cs="David"/>
          <w:sz w:val="24"/>
          <w:szCs w:val="24"/>
        </w:rPr>
        <w:t xml:space="preserve"> </w:t>
      </w:r>
      <w:r w:rsidR="00220911" w:rsidRPr="00DB28E9">
        <w:rPr>
          <w:rFonts w:cs="David" w:hint="cs"/>
          <w:sz w:val="24"/>
          <w:szCs w:val="24"/>
          <w:rtl/>
        </w:rPr>
        <w:t>ניסיון</w:t>
      </w:r>
      <w:r w:rsidR="00220911" w:rsidRPr="00DB28E9">
        <w:rPr>
          <w:rFonts w:cs="David"/>
          <w:sz w:val="24"/>
          <w:szCs w:val="24"/>
        </w:rPr>
        <w:t xml:space="preserve"> </w:t>
      </w:r>
      <w:r w:rsidR="00220911" w:rsidRPr="00DB28E9">
        <w:rPr>
          <w:rFonts w:cs="David" w:hint="cs"/>
          <w:sz w:val="24"/>
          <w:szCs w:val="24"/>
          <w:rtl/>
        </w:rPr>
        <w:t>להגיע</w:t>
      </w:r>
      <w:r w:rsidR="00220911" w:rsidRPr="00DB28E9">
        <w:rPr>
          <w:rFonts w:cs="David"/>
          <w:sz w:val="24"/>
          <w:szCs w:val="24"/>
        </w:rPr>
        <w:t xml:space="preserve"> </w:t>
      </w:r>
      <w:r w:rsidR="00220911" w:rsidRPr="00DB28E9">
        <w:rPr>
          <w:rFonts w:cs="David" w:hint="cs"/>
          <w:sz w:val="24"/>
          <w:szCs w:val="24"/>
          <w:rtl/>
        </w:rPr>
        <w:t>להסכמה</w:t>
      </w:r>
      <w:r w:rsidR="00220911" w:rsidRPr="00DB28E9">
        <w:rPr>
          <w:rFonts w:cs="David"/>
          <w:sz w:val="24"/>
          <w:szCs w:val="24"/>
        </w:rPr>
        <w:t xml:space="preserve"> </w:t>
      </w:r>
      <w:r w:rsidR="00220911" w:rsidRPr="00DB28E9">
        <w:rPr>
          <w:rFonts w:cs="David" w:hint="cs"/>
          <w:sz w:val="24"/>
          <w:szCs w:val="24"/>
          <w:rtl/>
        </w:rPr>
        <w:t>מחוץ</w:t>
      </w:r>
      <w:r w:rsidR="00220911" w:rsidRPr="00DB28E9">
        <w:rPr>
          <w:rFonts w:cs="David"/>
          <w:sz w:val="24"/>
          <w:szCs w:val="24"/>
        </w:rPr>
        <w:t xml:space="preserve"> </w:t>
      </w:r>
      <w:r w:rsidR="00220911" w:rsidRPr="00DB28E9">
        <w:rPr>
          <w:rFonts w:cs="David" w:hint="cs"/>
          <w:sz w:val="24"/>
          <w:szCs w:val="24"/>
          <w:rtl/>
        </w:rPr>
        <w:t>לכתלי</w:t>
      </w:r>
      <w:r w:rsidR="00220911" w:rsidRPr="00DB28E9">
        <w:rPr>
          <w:rFonts w:cs="David"/>
          <w:sz w:val="24"/>
          <w:szCs w:val="24"/>
        </w:rPr>
        <w:t xml:space="preserve"> </w:t>
      </w:r>
      <w:r w:rsidR="00220911" w:rsidRPr="00DB28E9">
        <w:rPr>
          <w:rFonts w:cs="David" w:hint="cs"/>
          <w:sz w:val="24"/>
          <w:szCs w:val="24"/>
          <w:rtl/>
        </w:rPr>
        <w:t>בית</w:t>
      </w:r>
      <w:r w:rsidR="00220911" w:rsidRPr="00DB28E9">
        <w:rPr>
          <w:rFonts w:cs="David"/>
          <w:sz w:val="24"/>
          <w:szCs w:val="24"/>
        </w:rPr>
        <w:t>-</w:t>
      </w:r>
      <w:r w:rsidR="00220911" w:rsidRPr="00DB28E9">
        <w:rPr>
          <w:rFonts w:cs="David" w:hint="cs"/>
          <w:sz w:val="24"/>
          <w:szCs w:val="24"/>
          <w:rtl/>
        </w:rPr>
        <w:t>הדין</w:t>
      </w:r>
      <w:r w:rsidR="00CF710E">
        <w:rPr>
          <w:rFonts w:cs="David" w:hint="cs"/>
          <w:sz w:val="24"/>
          <w:szCs w:val="24"/>
          <w:rtl/>
        </w:rPr>
        <w:t xml:space="preserve">"  אך ביה"ד </w:t>
      </w:r>
      <w:r w:rsidR="008232B3">
        <w:rPr>
          <w:rFonts w:cs="David" w:hint="cs"/>
          <w:sz w:val="24"/>
          <w:szCs w:val="24"/>
          <w:rtl/>
        </w:rPr>
        <w:t xml:space="preserve">לא מתחשב בטיעון </w:t>
      </w:r>
      <w:r>
        <w:rPr>
          <w:rFonts w:cs="David" w:hint="cs"/>
          <w:sz w:val="24"/>
          <w:szCs w:val="24"/>
          <w:rtl/>
        </w:rPr>
        <w:t xml:space="preserve">זה </w:t>
      </w:r>
      <w:r w:rsidR="008232B3">
        <w:rPr>
          <w:rFonts w:cs="David" w:hint="cs"/>
          <w:sz w:val="24"/>
          <w:szCs w:val="24"/>
          <w:rtl/>
        </w:rPr>
        <w:t>כי</w:t>
      </w:r>
      <w:r w:rsidR="00934B8D" w:rsidRPr="00DB28E9">
        <w:rPr>
          <w:rFonts w:cs="David" w:hint="cs"/>
          <w:sz w:val="24"/>
          <w:szCs w:val="24"/>
          <w:rtl/>
        </w:rPr>
        <w:t xml:space="preserve"> </w:t>
      </w:r>
      <w:r w:rsidR="00CF710E">
        <w:rPr>
          <w:rFonts w:cs="David" w:hint="cs"/>
          <w:sz w:val="24"/>
          <w:szCs w:val="24"/>
          <w:rtl/>
        </w:rPr>
        <w:t>"</w:t>
      </w:r>
      <w:r w:rsidR="00220911" w:rsidRPr="00DB28E9">
        <w:rPr>
          <w:rFonts w:cs="David" w:hint="cs"/>
          <w:sz w:val="24"/>
          <w:szCs w:val="24"/>
          <w:rtl/>
        </w:rPr>
        <w:t>התובע</w:t>
      </w:r>
      <w:r w:rsidR="00220911" w:rsidRPr="00DB28E9">
        <w:rPr>
          <w:rFonts w:cs="David"/>
          <w:sz w:val="24"/>
          <w:szCs w:val="24"/>
        </w:rPr>
        <w:t xml:space="preserve"> </w:t>
      </w:r>
      <w:r w:rsidR="00220911" w:rsidRPr="00DB28E9">
        <w:rPr>
          <w:rFonts w:cs="David" w:hint="cs"/>
          <w:sz w:val="24"/>
          <w:szCs w:val="24"/>
          <w:rtl/>
        </w:rPr>
        <w:t>לא</w:t>
      </w:r>
      <w:r w:rsidR="00220911" w:rsidRPr="00DB28E9">
        <w:rPr>
          <w:rFonts w:cs="David"/>
          <w:sz w:val="24"/>
          <w:szCs w:val="24"/>
        </w:rPr>
        <w:t xml:space="preserve"> </w:t>
      </w:r>
      <w:r w:rsidR="00220911" w:rsidRPr="00DB28E9">
        <w:rPr>
          <w:rFonts w:cs="David" w:hint="cs"/>
          <w:sz w:val="24"/>
          <w:szCs w:val="24"/>
          <w:rtl/>
        </w:rPr>
        <w:t>הציג לפנינו</w:t>
      </w:r>
      <w:r w:rsidR="00220911" w:rsidRPr="00DB28E9">
        <w:rPr>
          <w:rFonts w:cs="David"/>
          <w:sz w:val="24"/>
          <w:szCs w:val="24"/>
        </w:rPr>
        <w:t xml:space="preserve"> </w:t>
      </w:r>
      <w:r w:rsidR="00220911" w:rsidRPr="00DB28E9">
        <w:rPr>
          <w:rFonts w:cs="David" w:hint="cs"/>
          <w:sz w:val="24"/>
          <w:szCs w:val="24"/>
          <w:rtl/>
        </w:rPr>
        <w:t>אסמכתאות</w:t>
      </w:r>
      <w:r w:rsidR="00220911" w:rsidRPr="00DB28E9">
        <w:rPr>
          <w:rFonts w:cs="David"/>
          <w:sz w:val="24"/>
          <w:szCs w:val="24"/>
        </w:rPr>
        <w:t xml:space="preserve"> </w:t>
      </w:r>
      <w:r w:rsidR="00220911" w:rsidRPr="00DB28E9">
        <w:rPr>
          <w:rFonts w:cs="David" w:hint="cs"/>
          <w:sz w:val="24"/>
          <w:szCs w:val="24"/>
          <w:rtl/>
        </w:rPr>
        <w:t>למכלול</w:t>
      </w:r>
      <w:r w:rsidR="00220911" w:rsidRPr="00DB28E9">
        <w:rPr>
          <w:rFonts w:cs="David"/>
          <w:sz w:val="24"/>
          <w:szCs w:val="24"/>
        </w:rPr>
        <w:t xml:space="preserve"> </w:t>
      </w:r>
      <w:r w:rsidR="00220911" w:rsidRPr="00DB28E9">
        <w:rPr>
          <w:rFonts w:cs="David" w:hint="cs"/>
          <w:sz w:val="24"/>
          <w:szCs w:val="24"/>
          <w:rtl/>
        </w:rPr>
        <w:t>הפניות</w:t>
      </w:r>
      <w:r w:rsidR="00220911" w:rsidRPr="00DB28E9">
        <w:rPr>
          <w:rFonts w:cs="David"/>
          <w:sz w:val="24"/>
          <w:szCs w:val="24"/>
        </w:rPr>
        <w:t xml:space="preserve"> </w:t>
      </w:r>
      <w:r w:rsidR="00220911" w:rsidRPr="00DB28E9">
        <w:rPr>
          <w:rFonts w:cs="David" w:hint="cs"/>
          <w:sz w:val="24"/>
          <w:szCs w:val="24"/>
          <w:rtl/>
        </w:rPr>
        <w:t>האמורות</w:t>
      </w:r>
      <w:r w:rsidR="007C1FC4" w:rsidRPr="00DB28E9">
        <w:rPr>
          <w:rFonts w:cs="David" w:hint="cs"/>
          <w:sz w:val="24"/>
          <w:szCs w:val="24"/>
          <w:rtl/>
        </w:rPr>
        <w:t xml:space="preserve">, </w:t>
      </w:r>
      <w:r w:rsidR="00220911" w:rsidRPr="00DB28E9">
        <w:rPr>
          <w:rFonts w:cs="David" w:hint="cs"/>
          <w:sz w:val="24"/>
          <w:szCs w:val="24"/>
          <w:rtl/>
        </w:rPr>
        <w:t>לא</w:t>
      </w:r>
      <w:r w:rsidR="00220911" w:rsidRPr="00DB28E9">
        <w:rPr>
          <w:rFonts w:cs="David"/>
          <w:sz w:val="24"/>
          <w:szCs w:val="24"/>
        </w:rPr>
        <w:t xml:space="preserve"> </w:t>
      </w:r>
      <w:r w:rsidR="00220911" w:rsidRPr="00DB28E9">
        <w:rPr>
          <w:rFonts w:cs="David" w:hint="cs"/>
          <w:sz w:val="24"/>
          <w:szCs w:val="24"/>
          <w:rtl/>
        </w:rPr>
        <w:t>הבהיר</w:t>
      </w:r>
      <w:r w:rsidR="00220911" w:rsidRPr="00DB28E9">
        <w:rPr>
          <w:rFonts w:cs="David"/>
          <w:sz w:val="24"/>
          <w:szCs w:val="24"/>
        </w:rPr>
        <w:t xml:space="preserve"> </w:t>
      </w:r>
      <w:r w:rsidR="00220911" w:rsidRPr="00DB28E9">
        <w:rPr>
          <w:rFonts w:cs="David" w:hint="cs"/>
          <w:sz w:val="24"/>
          <w:szCs w:val="24"/>
          <w:rtl/>
        </w:rPr>
        <w:t>את</w:t>
      </w:r>
      <w:r w:rsidR="00220911" w:rsidRPr="00DB28E9">
        <w:rPr>
          <w:rFonts w:cs="David"/>
          <w:sz w:val="24"/>
          <w:szCs w:val="24"/>
        </w:rPr>
        <w:t xml:space="preserve"> </w:t>
      </w:r>
      <w:r w:rsidR="007C1FC4" w:rsidRPr="00DB28E9">
        <w:rPr>
          <w:rFonts w:cs="David" w:hint="cs"/>
          <w:sz w:val="24"/>
          <w:szCs w:val="24"/>
          <w:rtl/>
        </w:rPr>
        <w:t>מועדן</w:t>
      </w:r>
      <w:r w:rsidR="00220911" w:rsidRPr="00DB28E9">
        <w:rPr>
          <w:rFonts w:cs="David"/>
          <w:sz w:val="24"/>
          <w:szCs w:val="24"/>
        </w:rPr>
        <w:t xml:space="preserve"> </w:t>
      </w:r>
      <w:r w:rsidR="00220911" w:rsidRPr="00DB28E9">
        <w:rPr>
          <w:rFonts w:cs="David" w:hint="cs"/>
          <w:sz w:val="24"/>
          <w:szCs w:val="24"/>
          <w:rtl/>
        </w:rPr>
        <w:t>ובפרט</w:t>
      </w:r>
      <w:r w:rsidR="00220911" w:rsidRPr="00DB28E9">
        <w:rPr>
          <w:rFonts w:cs="David"/>
          <w:sz w:val="24"/>
          <w:szCs w:val="24"/>
        </w:rPr>
        <w:t xml:space="preserve"> </w:t>
      </w:r>
      <w:r w:rsidR="00220911" w:rsidRPr="00DB28E9">
        <w:rPr>
          <w:rFonts w:cs="David" w:hint="cs"/>
          <w:sz w:val="24"/>
          <w:szCs w:val="24"/>
          <w:rtl/>
        </w:rPr>
        <w:t>לא</w:t>
      </w:r>
      <w:r w:rsidR="00220911" w:rsidRPr="00DB28E9">
        <w:rPr>
          <w:rFonts w:cs="David"/>
          <w:sz w:val="24"/>
          <w:szCs w:val="24"/>
        </w:rPr>
        <w:t xml:space="preserve"> </w:t>
      </w:r>
      <w:r w:rsidR="00220911" w:rsidRPr="00DB28E9">
        <w:rPr>
          <w:rFonts w:cs="David" w:hint="cs"/>
          <w:sz w:val="24"/>
          <w:szCs w:val="24"/>
          <w:rtl/>
        </w:rPr>
        <w:t>ציין</w:t>
      </w:r>
      <w:r w:rsidR="00220911" w:rsidRPr="00DB28E9">
        <w:rPr>
          <w:rFonts w:cs="David"/>
          <w:sz w:val="24"/>
          <w:szCs w:val="24"/>
        </w:rPr>
        <w:t xml:space="preserve"> </w:t>
      </w:r>
      <w:r w:rsidR="00220911" w:rsidRPr="00DB28E9">
        <w:rPr>
          <w:rFonts w:cs="David" w:hint="cs"/>
          <w:sz w:val="24"/>
          <w:szCs w:val="24"/>
          <w:rtl/>
        </w:rPr>
        <w:t>מתי</w:t>
      </w:r>
      <w:r w:rsidR="00220911" w:rsidRPr="00DB28E9">
        <w:rPr>
          <w:rFonts w:cs="David"/>
          <w:sz w:val="24"/>
          <w:szCs w:val="24"/>
        </w:rPr>
        <w:t xml:space="preserve"> </w:t>
      </w:r>
      <w:r w:rsidR="00220911" w:rsidRPr="00DB28E9">
        <w:rPr>
          <w:rFonts w:cs="David" w:hint="cs"/>
          <w:sz w:val="24"/>
          <w:szCs w:val="24"/>
          <w:rtl/>
        </w:rPr>
        <w:t>פנה</w:t>
      </w:r>
      <w:r w:rsidR="00220911" w:rsidRPr="00DB28E9">
        <w:rPr>
          <w:rFonts w:cs="David"/>
          <w:sz w:val="24"/>
          <w:szCs w:val="24"/>
        </w:rPr>
        <w:t xml:space="preserve"> </w:t>
      </w:r>
      <w:r w:rsidR="00220911" w:rsidRPr="00DB28E9">
        <w:rPr>
          <w:rFonts w:cs="David" w:hint="cs"/>
          <w:sz w:val="24"/>
          <w:szCs w:val="24"/>
          <w:rtl/>
        </w:rPr>
        <w:t>לנציבות</w:t>
      </w:r>
      <w:r w:rsidR="00220911" w:rsidRPr="00DB28E9">
        <w:rPr>
          <w:rFonts w:cs="David"/>
          <w:sz w:val="24"/>
          <w:szCs w:val="24"/>
        </w:rPr>
        <w:t xml:space="preserve"> </w:t>
      </w:r>
      <w:r w:rsidR="00220911" w:rsidRPr="00DB28E9">
        <w:rPr>
          <w:rFonts w:cs="David" w:hint="cs"/>
          <w:sz w:val="24"/>
          <w:szCs w:val="24"/>
          <w:rtl/>
        </w:rPr>
        <w:t>שירות</w:t>
      </w:r>
      <w:r w:rsidR="00220911" w:rsidRPr="00DB28E9">
        <w:rPr>
          <w:rFonts w:cs="David"/>
          <w:sz w:val="24"/>
          <w:szCs w:val="24"/>
        </w:rPr>
        <w:t xml:space="preserve"> </w:t>
      </w:r>
      <w:r w:rsidR="00220911" w:rsidRPr="00DB28E9">
        <w:rPr>
          <w:rFonts w:cs="David" w:hint="cs"/>
          <w:sz w:val="24"/>
          <w:szCs w:val="24"/>
          <w:rtl/>
        </w:rPr>
        <w:t>המדינה</w:t>
      </w:r>
      <w:r w:rsidR="00220911" w:rsidRPr="00DB28E9">
        <w:rPr>
          <w:rFonts w:cs="David"/>
          <w:sz w:val="24"/>
          <w:szCs w:val="24"/>
        </w:rPr>
        <w:t xml:space="preserve"> </w:t>
      </w:r>
      <w:r w:rsidR="00220911" w:rsidRPr="00DB28E9">
        <w:rPr>
          <w:rFonts w:cs="David" w:hint="cs"/>
          <w:sz w:val="24"/>
          <w:szCs w:val="24"/>
          <w:rtl/>
        </w:rPr>
        <w:t>לראשונה</w:t>
      </w:r>
      <w:r w:rsidR="00220911" w:rsidRPr="00DB28E9">
        <w:rPr>
          <w:rFonts w:cs="David"/>
          <w:sz w:val="24"/>
          <w:szCs w:val="24"/>
        </w:rPr>
        <w:t xml:space="preserve"> </w:t>
      </w:r>
      <w:r w:rsidR="00220911" w:rsidRPr="00DB28E9">
        <w:rPr>
          <w:rFonts w:cs="David" w:hint="cs"/>
          <w:sz w:val="24"/>
          <w:szCs w:val="24"/>
          <w:rtl/>
        </w:rPr>
        <w:t>בעניין</w:t>
      </w:r>
      <w:r w:rsidR="00220911" w:rsidRPr="00DB28E9">
        <w:rPr>
          <w:rFonts w:cs="David"/>
          <w:sz w:val="24"/>
          <w:szCs w:val="24"/>
        </w:rPr>
        <w:t xml:space="preserve"> </w:t>
      </w:r>
      <w:r w:rsidR="007C1FC4" w:rsidRPr="00DB28E9">
        <w:rPr>
          <w:rFonts w:cs="David" w:hint="cs"/>
          <w:sz w:val="24"/>
          <w:szCs w:val="24"/>
          <w:rtl/>
        </w:rPr>
        <w:t>זה</w:t>
      </w:r>
      <w:r w:rsidR="00A80C55" w:rsidRPr="00DB28E9">
        <w:rPr>
          <w:rFonts w:cs="David" w:hint="cs"/>
          <w:sz w:val="24"/>
          <w:szCs w:val="24"/>
          <w:rtl/>
        </w:rPr>
        <w:t>"</w:t>
      </w:r>
      <w:r w:rsidR="007C1FC4" w:rsidRPr="00DB28E9">
        <w:rPr>
          <w:rFonts w:cs="David" w:hint="cs"/>
          <w:sz w:val="24"/>
          <w:szCs w:val="24"/>
          <w:rtl/>
        </w:rPr>
        <w:t>.</w:t>
      </w:r>
    </w:p>
    <w:p w:rsidR="00CF710E" w:rsidRPr="00CF710E" w:rsidRDefault="00CF710E" w:rsidP="00CF710E">
      <w:pPr>
        <w:pStyle w:val="a3"/>
        <w:rPr>
          <w:rFonts w:cs="David" w:hint="cs"/>
          <w:sz w:val="24"/>
          <w:szCs w:val="24"/>
          <w:rtl/>
        </w:rPr>
      </w:pPr>
    </w:p>
    <w:p w:rsidR="008232B3" w:rsidRDefault="008232B3" w:rsidP="008232B3">
      <w:pPr>
        <w:pStyle w:val="a3"/>
        <w:numPr>
          <w:ilvl w:val="2"/>
          <w:numId w:val="1"/>
        </w:numPr>
        <w:tabs>
          <w:tab w:val="left" w:pos="368"/>
        </w:tabs>
        <w:ind w:left="368"/>
        <w:jc w:val="both"/>
        <w:rPr>
          <w:rFonts w:cs="David"/>
          <w:sz w:val="24"/>
          <w:szCs w:val="24"/>
        </w:rPr>
      </w:pPr>
      <w:r w:rsidRPr="008232B3">
        <w:rPr>
          <w:rFonts w:cs="David"/>
          <w:sz w:val="24"/>
          <w:szCs w:val="24"/>
          <w:rtl/>
        </w:rPr>
        <w:t>כמוסבר כבר בפיסקא 1 לעיל, אסמכתאות אלו לא פורטו ולא הוצגו בעת הגשת כתב התביעה כמודגש כבר בפיסקא 45 לכתב התביעה, רק כדי ש"לא להלאות את בית הדין הנכבד ....</w:t>
      </w:r>
      <w:r w:rsidRPr="00BB6FF1">
        <w:rPr>
          <w:rFonts w:cs="David"/>
          <w:b/>
          <w:bCs/>
          <w:sz w:val="24"/>
          <w:szCs w:val="24"/>
          <w:rtl/>
        </w:rPr>
        <w:t xml:space="preserve">בשלב זה </w:t>
      </w:r>
      <w:r w:rsidRPr="008232B3">
        <w:rPr>
          <w:rFonts w:cs="David"/>
          <w:sz w:val="24"/>
          <w:szCs w:val="24"/>
          <w:rtl/>
        </w:rPr>
        <w:t>במסגרת כתב התביעה". כוונת התובע היתה לפרט ולצרף את כל המסמכים והאסמכתאות בתצהיר לקרא הדיון בתביעה.</w:t>
      </w:r>
    </w:p>
    <w:p w:rsidR="008232B3" w:rsidRPr="008232B3" w:rsidRDefault="008232B3" w:rsidP="00BB6FF1">
      <w:pPr>
        <w:pStyle w:val="a3"/>
        <w:numPr>
          <w:ilvl w:val="2"/>
          <w:numId w:val="1"/>
        </w:numPr>
        <w:tabs>
          <w:tab w:val="left" w:pos="368"/>
        </w:tabs>
        <w:ind w:left="368"/>
        <w:jc w:val="both"/>
        <w:rPr>
          <w:rFonts w:cs="David"/>
          <w:sz w:val="24"/>
          <w:szCs w:val="24"/>
          <w:rtl/>
        </w:rPr>
      </w:pPr>
      <w:r>
        <w:rPr>
          <w:rFonts w:cs="David" w:hint="cs"/>
          <w:sz w:val="24"/>
          <w:szCs w:val="24"/>
          <w:rtl/>
        </w:rPr>
        <w:t xml:space="preserve">גם אם </w:t>
      </w:r>
      <w:r w:rsidRPr="008232B3">
        <w:rPr>
          <w:rFonts w:cs="David"/>
          <w:sz w:val="24"/>
          <w:szCs w:val="24"/>
          <w:rtl/>
        </w:rPr>
        <w:t xml:space="preserve">התובע שגה בשיקול דעתו בנקודה זו, ברור לגמרי שזו </w:t>
      </w:r>
      <w:r w:rsidR="00BB6FF1">
        <w:rPr>
          <w:rFonts w:cs="David" w:hint="cs"/>
          <w:sz w:val="24"/>
          <w:szCs w:val="24"/>
          <w:rtl/>
        </w:rPr>
        <w:t xml:space="preserve">היתה </w:t>
      </w:r>
      <w:r w:rsidRPr="008232B3">
        <w:rPr>
          <w:rFonts w:cs="David"/>
          <w:sz w:val="24"/>
          <w:szCs w:val="24"/>
          <w:rtl/>
        </w:rPr>
        <w:t>לכל היותר "טעות אנוש  שאין מקורה ברשלנות, הזנחה, או זלזול בבית המשפט ...." ו</w:t>
      </w:r>
      <w:r>
        <w:rPr>
          <w:rFonts w:cs="David" w:hint="cs"/>
          <w:sz w:val="24"/>
          <w:szCs w:val="24"/>
          <w:rtl/>
        </w:rPr>
        <w:t xml:space="preserve">בהתחשב במידת הזהירות הגדולה </w:t>
      </w:r>
      <w:r w:rsidR="00BB6FF1">
        <w:rPr>
          <w:rFonts w:cs="David" w:hint="cs"/>
          <w:sz w:val="24"/>
          <w:szCs w:val="24"/>
          <w:rtl/>
        </w:rPr>
        <w:t xml:space="preserve">שבית המשפט </w:t>
      </w:r>
      <w:r>
        <w:rPr>
          <w:rFonts w:cs="David" w:hint="cs"/>
          <w:sz w:val="24"/>
          <w:szCs w:val="24"/>
          <w:rtl/>
        </w:rPr>
        <w:t xml:space="preserve">צריך לנקוט בה לפני שלילת זכות תובע לגישה לערכאות, ובהתחשב בכך שברור שהתובע פעל לכל אורך הדרך בתום לב, </w:t>
      </w:r>
      <w:r w:rsidRPr="008232B3">
        <w:rPr>
          <w:rFonts w:cs="David"/>
          <w:sz w:val="24"/>
          <w:szCs w:val="24"/>
          <w:rtl/>
        </w:rPr>
        <w:t xml:space="preserve">בית המשפט יכול היה בקלות לבקש מהתובע ולקבל מיידית את כל האסמכתאות </w:t>
      </w:r>
      <w:r>
        <w:rPr>
          <w:rFonts w:cs="David"/>
          <w:sz w:val="24"/>
          <w:szCs w:val="24"/>
          <w:rtl/>
        </w:rPr>
        <w:t>הללו</w:t>
      </w:r>
      <w:r>
        <w:rPr>
          <w:rFonts w:cs="David" w:hint="cs"/>
          <w:sz w:val="24"/>
          <w:szCs w:val="24"/>
          <w:rtl/>
        </w:rPr>
        <w:t xml:space="preserve">, </w:t>
      </w:r>
    </w:p>
    <w:p w:rsidR="008232B3" w:rsidRPr="008232B3" w:rsidRDefault="008232B3" w:rsidP="008232B3">
      <w:pPr>
        <w:pStyle w:val="a3"/>
        <w:tabs>
          <w:tab w:val="left" w:pos="368"/>
        </w:tabs>
        <w:ind w:left="1287"/>
        <w:jc w:val="both"/>
        <w:rPr>
          <w:rFonts w:cs="David"/>
          <w:sz w:val="24"/>
          <w:szCs w:val="24"/>
          <w:rtl/>
        </w:rPr>
      </w:pPr>
    </w:p>
    <w:p w:rsidR="00BB6FF1" w:rsidRDefault="00943B2A" w:rsidP="00502D16">
      <w:pPr>
        <w:pStyle w:val="a3"/>
        <w:numPr>
          <w:ilvl w:val="1"/>
          <w:numId w:val="1"/>
        </w:numPr>
        <w:tabs>
          <w:tab w:val="left" w:pos="368"/>
        </w:tabs>
        <w:ind w:left="226" w:hanging="567"/>
        <w:jc w:val="both"/>
      </w:pPr>
      <w:r w:rsidRPr="00BB6FF1">
        <w:rPr>
          <w:rFonts w:cs="David" w:hint="cs"/>
          <w:sz w:val="24"/>
          <w:szCs w:val="24"/>
          <w:rtl/>
        </w:rPr>
        <w:t xml:space="preserve">על רקע כל הנ"ל לא מובן מדוע </w:t>
      </w:r>
      <w:r w:rsidR="00A71B73" w:rsidRPr="00BB6FF1">
        <w:rPr>
          <w:rFonts w:cs="David" w:hint="cs"/>
          <w:sz w:val="24"/>
          <w:szCs w:val="24"/>
          <w:rtl/>
        </w:rPr>
        <w:t xml:space="preserve">על אף </w:t>
      </w:r>
      <w:r w:rsidR="00502D16" w:rsidRPr="00BB6FF1">
        <w:rPr>
          <w:rFonts w:cs="David" w:hint="cs"/>
          <w:sz w:val="24"/>
          <w:szCs w:val="24"/>
          <w:rtl/>
        </w:rPr>
        <w:t xml:space="preserve">תום הלב הברור של התובע והסתמכותו על כך שכל </w:t>
      </w:r>
      <w:r w:rsidR="00010351" w:rsidRPr="00BB6FF1">
        <w:rPr>
          <w:rFonts w:cs="David" w:hint="cs"/>
          <w:sz w:val="24"/>
          <w:szCs w:val="24"/>
          <w:rtl/>
        </w:rPr>
        <w:t xml:space="preserve">חלקי </w:t>
      </w:r>
      <w:r w:rsidR="00502D16" w:rsidRPr="00BB6FF1">
        <w:rPr>
          <w:rFonts w:cs="David" w:hint="cs"/>
          <w:sz w:val="24"/>
          <w:szCs w:val="24"/>
          <w:rtl/>
        </w:rPr>
        <w:t>המערכת, לרבות</w:t>
      </w:r>
      <w:r w:rsidR="00010351" w:rsidRPr="00BB6FF1">
        <w:rPr>
          <w:rFonts w:cs="David" w:hint="cs"/>
          <w:sz w:val="24"/>
          <w:szCs w:val="24"/>
          <w:rtl/>
        </w:rPr>
        <w:t xml:space="preserve"> </w:t>
      </w:r>
      <w:r w:rsidRPr="00BB6FF1">
        <w:rPr>
          <w:rFonts w:cs="David" w:hint="cs"/>
          <w:sz w:val="24"/>
          <w:szCs w:val="24"/>
          <w:rtl/>
        </w:rPr>
        <w:t xml:space="preserve">כל ההנתבעים, </w:t>
      </w:r>
      <w:r w:rsidR="00010351" w:rsidRPr="00BB6FF1">
        <w:rPr>
          <w:rFonts w:cs="David" w:hint="cs"/>
          <w:sz w:val="24"/>
          <w:szCs w:val="24"/>
          <w:rtl/>
        </w:rPr>
        <w:t>בנוסף לבית הדין האזורי</w:t>
      </w:r>
      <w:r w:rsidR="00502D16" w:rsidRPr="00BB6FF1">
        <w:rPr>
          <w:rFonts w:cs="David" w:hint="cs"/>
          <w:sz w:val="24"/>
          <w:szCs w:val="24"/>
          <w:rtl/>
        </w:rPr>
        <w:t xml:space="preserve"> בחיפה, הבינו </w:t>
      </w:r>
      <w:r w:rsidR="009567A9" w:rsidRPr="00BB6FF1">
        <w:rPr>
          <w:rFonts w:cs="David" w:hint="cs"/>
          <w:sz w:val="24"/>
          <w:szCs w:val="24"/>
          <w:rtl/>
        </w:rPr>
        <w:t xml:space="preserve">כמוהו </w:t>
      </w:r>
      <w:r w:rsidR="00502D16" w:rsidRPr="00BB6FF1">
        <w:rPr>
          <w:rFonts w:cs="David" w:hint="cs"/>
          <w:sz w:val="24"/>
          <w:szCs w:val="24"/>
          <w:rtl/>
        </w:rPr>
        <w:t>ש</w:t>
      </w:r>
      <w:r w:rsidR="00F63521" w:rsidRPr="00BB6FF1">
        <w:rPr>
          <w:rFonts w:cs="David" w:hint="cs"/>
          <w:sz w:val="24"/>
          <w:szCs w:val="24"/>
          <w:rtl/>
        </w:rPr>
        <w:t>חוק הגימלאות ו</w:t>
      </w:r>
      <w:r w:rsidR="00502D16" w:rsidRPr="00BB6FF1">
        <w:rPr>
          <w:rFonts w:cs="David" w:hint="cs"/>
          <w:sz w:val="24"/>
          <w:szCs w:val="24"/>
          <w:rtl/>
        </w:rPr>
        <w:t>ההגבלה של 60 יום לעירעור אינה חלה</w:t>
      </w:r>
      <w:r w:rsidR="00010351" w:rsidRPr="00BB6FF1">
        <w:rPr>
          <w:rFonts w:cs="David" w:hint="cs"/>
          <w:sz w:val="24"/>
          <w:szCs w:val="24"/>
          <w:rtl/>
        </w:rPr>
        <w:t xml:space="preserve"> על הגימלא של התובע</w:t>
      </w:r>
      <w:r w:rsidR="00934B8D" w:rsidRPr="00BB6FF1">
        <w:rPr>
          <w:rFonts w:cs="David" w:hint="cs"/>
          <w:sz w:val="24"/>
          <w:szCs w:val="24"/>
          <w:rtl/>
        </w:rPr>
        <w:t>,</w:t>
      </w:r>
      <w:r w:rsidR="00ED6718" w:rsidRPr="00BB6FF1">
        <w:rPr>
          <w:rFonts w:cs="David" w:hint="cs"/>
          <w:sz w:val="24"/>
          <w:szCs w:val="24"/>
          <w:rtl/>
        </w:rPr>
        <w:t xml:space="preserve"> </w:t>
      </w:r>
      <w:r w:rsidR="00F63521" w:rsidRPr="00BB6FF1">
        <w:rPr>
          <w:rFonts w:cs="David" w:hint="cs"/>
          <w:sz w:val="24"/>
          <w:szCs w:val="24"/>
          <w:rtl/>
        </w:rPr>
        <w:t>ולמרות</w:t>
      </w:r>
      <w:r w:rsidRPr="00BB6FF1">
        <w:rPr>
          <w:rFonts w:cs="David" w:hint="cs"/>
          <w:sz w:val="24"/>
          <w:szCs w:val="24"/>
          <w:rtl/>
        </w:rPr>
        <w:t xml:space="preserve"> </w:t>
      </w:r>
      <w:r w:rsidR="00F91321" w:rsidRPr="00BB6FF1">
        <w:rPr>
          <w:rFonts w:cs="David" w:hint="cs"/>
          <w:sz w:val="24"/>
          <w:szCs w:val="24"/>
          <w:rtl/>
        </w:rPr>
        <w:t>ש</w:t>
      </w:r>
      <w:r w:rsidRPr="00BB6FF1">
        <w:rPr>
          <w:rFonts w:cs="David" w:hint="cs"/>
          <w:sz w:val="24"/>
          <w:szCs w:val="24"/>
          <w:rtl/>
        </w:rPr>
        <w:t xml:space="preserve">לא כל האסמכתאות </w:t>
      </w:r>
      <w:r w:rsidR="00F91321" w:rsidRPr="00BB6FF1">
        <w:rPr>
          <w:rFonts w:cs="David" w:hint="cs"/>
          <w:sz w:val="24"/>
          <w:szCs w:val="24"/>
          <w:rtl/>
        </w:rPr>
        <w:t>לפניות הרבות</w:t>
      </w:r>
      <w:r w:rsidR="00F63521" w:rsidRPr="00BB6FF1">
        <w:rPr>
          <w:rFonts w:cs="David" w:hint="cs"/>
          <w:sz w:val="24"/>
          <w:szCs w:val="24"/>
          <w:rtl/>
        </w:rPr>
        <w:t xml:space="preserve"> של התובע </w:t>
      </w:r>
      <w:r w:rsidR="00BB6FF1" w:rsidRPr="00BB6FF1">
        <w:rPr>
          <w:rFonts w:cs="David" w:hint="cs"/>
          <w:sz w:val="24"/>
          <w:szCs w:val="24"/>
          <w:rtl/>
        </w:rPr>
        <w:t xml:space="preserve"> ולמועדן </w:t>
      </w:r>
      <w:r w:rsidR="00F91321" w:rsidRPr="00BB6FF1">
        <w:rPr>
          <w:rFonts w:cs="David" w:hint="cs"/>
          <w:sz w:val="24"/>
          <w:szCs w:val="24"/>
          <w:rtl/>
        </w:rPr>
        <w:t>צורפו לכתב התביע</w:t>
      </w:r>
      <w:r w:rsidR="009567A9" w:rsidRPr="00BB6FF1">
        <w:rPr>
          <w:rFonts w:cs="David" w:hint="cs"/>
          <w:sz w:val="24"/>
          <w:szCs w:val="24"/>
          <w:rtl/>
        </w:rPr>
        <w:t>ה</w:t>
      </w:r>
      <w:r w:rsidR="00F63521" w:rsidRPr="00BB6FF1">
        <w:rPr>
          <w:rFonts w:cs="David" w:hint="cs"/>
          <w:sz w:val="24"/>
          <w:szCs w:val="24"/>
          <w:rtl/>
        </w:rPr>
        <w:t xml:space="preserve">, לכל היותר </w:t>
      </w:r>
      <w:r w:rsidRPr="00BB6FF1">
        <w:rPr>
          <w:rFonts w:cs="David" w:hint="cs"/>
          <w:sz w:val="24"/>
          <w:szCs w:val="24"/>
          <w:rtl/>
        </w:rPr>
        <w:t xml:space="preserve">בגלל טעות אנוש תמימה, </w:t>
      </w:r>
      <w:r w:rsidR="00F91321" w:rsidRPr="00BB6FF1">
        <w:rPr>
          <w:rFonts w:cs="David" w:hint="cs"/>
          <w:sz w:val="24"/>
          <w:szCs w:val="24"/>
          <w:rtl/>
        </w:rPr>
        <w:t xml:space="preserve"> </w:t>
      </w:r>
      <w:r w:rsidR="00BB6FF1" w:rsidRPr="00BB6FF1">
        <w:rPr>
          <w:rFonts w:cs="David" w:hint="cs"/>
          <w:sz w:val="24"/>
          <w:szCs w:val="24"/>
          <w:rtl/>
        </w:rPr>
        <w:t>ה</w:t>
      </w:r>
      <w:r w:rsidR="009567A9" w:rsidRPr="00BB6FF1">
        <w:rPr>
          <w:rFonts w:cs="David" w:hint="cs"/>
          <w:sz w:val="24"/>
          <w:szCs w:val="24"/>
          <w:rtl/>
        </w:rPr>
        <w:t xml:space="preserve">תעלם בית הדין </w:t>
      </w:r>
      <w:r w:rsidRPr="00BB6FF1">
        <w:rPr>
          <w:rFonts w:cs="David" w:hint="cs"/>
          <w:sz w:val="24"/>
          <w:szCs w:val="24"/>
          <w:rtl/>
        </w:rPr>
        <w:t xml:space="preserve">לחלוטין </w:t>
      </w:r>
      <w:r w:rsidR="009567A9" w:rsidRPr="00BB6FF1">
        <w:rPr>
          <w:rFonts w:cs="David" w:hint="cs"/>
          <w:sz w:val="24"/>
          <w:szCs w:val="24"/>
          <w:rtl/>
        </w:rPr>
        <w:t>מ</w:t>
      </w:r>
      <w:r w:rsidR="00502D16" w:rsidRPr="00BB6FF1">
        <w:rPr>
          <w:rFonts w:cs="David" w:hint="cs"/>
          <w:sz w:val="24"/>
          <w:szCs w:val="24"/>
          <w:rtl/>
        </w:rPr>
        <w:t xml:space="preserve">פסיקת בית המשפט העליון </w:t>
      </w:r>
      <w:r w:rsidR="008232B3" w:rsidRPr="00BB6FF1">
        <w:rPr>
          <w:rFonts w:cs="David" w:hint="cs"/>
          <w:sz w:val="24"/>
          <w:szCs w:val="24"/>
          <w:rtl/>
        </w:rPr>
        <w:t>כפי ש</w:t>
      </w:r>
      <w:r w:rsidRPr="00BB6FF1">
        <w:rPr>
          <w:rFonts w:cs="David" w:hint="cs"/>
          <w:sz w:val="24"/>
          <w:szCs w:val="24"/>
          <w:rtl/>
        </w:rPr>
        <w:t xml:space="preserve">מצוטט בפיסקא 42 לפסה"ד, </w:t>
      </w:r>
      <w:r w:rsidR="009567A9" w:rsidRPr="00BB6FF1">
        <w:rPr>
          <w:rFonts w:cs="David" w:hint="cs"/>
          <w:sz w:val="24"/>
          <w:szCs w:val="24"/>
          <w:rtl/>
        </w:rPr>
        <w:t>והחליט לדחו</w:t>
      </w:r>
      <w:r w:rsidR="00502D16" w:rsidRPr="00BB6FF1">
        <w:rPr>
          <w:rFonts w:cs="David" w:hint="cs"/>
          <w:sz w:val="24"/>
          <w:szCs w:val="24"/>
          <w:rtl/>
        </w:rPr>
        <w:t>ת</w:t>
      </w:r>
      <w:r w:rsidR="009567A9" w:rsidRPr="00BB6FF1">
        <w:rPr>
          <w:rFonts w:cs="David" w:hint="cs"/>
          <w:sz w:val="24"/>
          <w:szCs w:val="24"/>
          <w:rtl/>
        </w:rPr>
        <w:t xml:space="preserve"> את</w:t>
      </w:r>
      <w:r w:rsidR="00502D16" w:rsidRPr="00BB6FF1">
        <w:rPr>
          <w:rFonts w:cs="David" w:hint="cs"/>
          <w:sz w:val="24"/>
          <w:szCs w:val="24"/>
          <w:rtl/>
        </w:rPr>
        <w:t xml:space="preserve"> התביעה על הסף </w:t>
      </w:r>
      <w:r w:rsidR="00502D16" w:rsidRPr="00BB6FF1">
        <w:rPr>
          <w:rFonts w:cs="David" w:hint="cs"/>
          <w:b/>
          <w:bCs/>
          <w:sz w:val="24"/>
          <w:szCs w:val="24"/>
          <w:rtl/>
        </w:rPr>
        <w:t>ו</w:t>
      </w:r>
      <w:r w:rsidR="009567A9" w:rsidRPr="00BB6FF1">
        <w:rPr>
          <w:rFonts w:cs="David" w:hint="cs"/>
          <w:b/>
          <w:bCs/>
          <w:sz w:val="24"/>
          <w:szCs w:val="24"/>
          <w:rtl/>
        </w:rPr>
        <w:t xml:space="preserve">בכך לשלול מהתובע את </w:t>
      </w:r>
      <w:r w:rsidR="00502D16" w:rsidRPr="00BB6FF1">
        <w:rPr>
          <w:rFonts w:cs="David" w:hint="cs"/>
          <w:b/>
          <w:bCs/>
          <w:sz w:val="24"/>
          <w:szCs w:val="24"/>
          <w:rtl/>
        </w:rPr>
        <w:t xml:space="preserve">הזכות הבסיסית </w:t>
      </w:r>
      <w:r w:rsidR="00F63521" w:rsidRPr="00BB6FF1">
        <w:rPr>
          <w:rFonts w:cs="David" w:hint="cs"/>
          <w:b/>
          <w:bCs/>
          <w:sz w:val="24"/>
          <w:szCs w:val="24"/>
          <w:rtl/>
        </w:rPr>
        <w:t xml:space="preserve">והחוקתית </w:t>
      </w:r>
      <w:r w:rsidR="009567A9" w:rsidRPr="00BB6FF1">
        <w:rPr>
          <w:rFonts w:cs="David" w:hint="cs"/>
          <w:b/>
          <w:bCs/>
          <w:sz w:val="24"/>
          <w:szCs w:val="24"/>
          <w:rtl/>
        </w:rPr>
        <w:t xml:space="preserve">של פניה </w:t>
      </w:r>
      <w:r w:rsidR="00502D16" w:rsidRPr="00BB6FF1">
        <w:rPr>
          <w:rFonts w:cs="David" w:hint="cs"/>
          <w:b/>
          <w:bCs/>
          <w:sz w:val="24"/>
          <w:szCs w:val="24"/>
          <w:rtl/>
        </w:rPr>
        <w:t>לערכאות לברור עניינו</w:t>
      </w:r>
      <w:r w:rsidR="00F91321" w:rsidRPr="00BB6FF1">
        <w:rPr>
          <w:rFonts w:cs="David" w:hint="cs"/>
          <w:b/>
          <w:bCs/>
          <w:sz w:val="24"/>
          <w:szCs w:val="24"/>
          <w:rtl/>
        </w:rPr>
        <w:t xml:space="preserve"> </w:t>
      </w:r>
      <w:r w:rsidR="009567A9" w:rsidRPr="00BB6FF1">
        <w:rPr>
          <w:rFonts w:cs="David" w:hint="cs"/>
          <w:b/>
          <w:bCs/>
          <w:sz w:val="24"/>
          <w:szCs w:val="24"/>
          <w:rtl/>
        </w:rPr>
        <w:t>.</w:t>
      </w:r>
      <w:r w:rsidR="007C1FC4" w:rsidRPr="00BB6FF1">
        <w:rPr>
          <w:rFonts w:cs="David" w:hint="cs"/>
          <w:b/>
          <w:bCs/>
          <w:sz w:val="24"/>
          <w:szCs w:val="24"/>
          <w:rtl/>
        </w:rPr>
        <w:t xml:space="preserve"> </w:t>
      </w:r>
    </w:p>
    <w:p w:rsidR="00BB6FF1" w:rsidRDefault="00BB6FF1" w:rsidP="00BB6FF1">
      <w:pPr>
        <w:tabs>
          <w:tab w:val="left" w:pos="368"/>
        </w:tabs>
        <w:jc w:val="both"/>
        <w:rPr>
          <w:rtl/>
        </w:rPr>
      </w:pPr>
    </w:p>
    <w:p w:rsidR="00BB6FF1" w:rsidRDefault="006022A6" w:rsidP="00BB6FF1">
      <w:pPr>
        <w:tabs>
          <w:tab w:val="left" w:pos="368"/>
        </w:tabs>
        <w:jc w:val="both"/>
        <w:rPr>
          <w:rtl/>
        </w:rPr>
      </w:pPr>
      <w:r>
        <w:rPr>
          <w:rFonts w:hint="cs"/>
          <w:rtl/>
        </w:rPr>
        <w:t xml:space="preserve">מצ"ב: נספחים              </w:t>
      </w:r>
    </w:p>
    <w:p w:rsidR="00BB6FF1" w:rsidRDefault="00BB6FF1" w:rsidP="00BB6FF1">
      <w:pPr>
        <w:tabs>
          <w:tab w:val="left" w:pos="368"/>
        </w:tabs>
        <w:jc w:val="both"/>
        <w:rPr>
          <w:rtl/>
        </w:rPr>
      </w:pPr>
    </w:p>
    <w:p w:rsidR="00BB6FF1" w:rsidRDefault="00BB6FF1" w:rsidP="00BB6FF1">
      <w:pPr>
        <w:tabs>
          <w:tab w:val="left" w:pos="368"/>
        </w:tabs>
        <w:jc w:val="both"/>
        <w:rPr>
          <w:rtl/>
        </w:rPr>
      </w:pPr>
      <w:bookmarkStart w:id="0" w:name="_GoBack"/>
      <w:bookmarkEnd w:id="0"/>
    </w:p>
    <w:p w:rsidR="00BB6FF1" w:rsidRDefault="00BB6FF1" w:rsidP="00BB6FF1">
      <w:pPr>
        <w:tabs>
          <w:tab w:val="left" w:pos="368"/>
        </w:tabs>
        <w:jc w:val="both"/>
        <w:rPr>
          <w:rtl/>
        </w:rPr>
      </w:pPr>
    </w:p>
    <w:p w:rsidR="00BB6FF1" w:rsidRDefault="00BB6FF1" w:rsidP="00BB6FF1">
      <w:pPr>
        <w:tabs>
          <w:tab w:val="left" w:pos="368"/>
        </w:tabs>
        <w:jc w:val="both"/>
        <w:rPr>
          <w:rtl/>
        </w:rPr>
      </w:pPr>
    </w:p>
    <w:p w:rsidR="00BB6FF1" w:rsidRDefault="00BB6FF1" w:rsidP="00BB6FF1">
      <w:pPr>
        <w:tabs>
          <w:tab w:val="left" w:pos="368"/>
        </w:tabs>
        <w:jc w:val="both"/>
        <w:rPr>
          <w:rtl/>
        </w:rPr>
      </w:pPr>
    </w:p>
    <w:p w:rsidR="00BB6FF1" w:rsidRDefault="00BB6FF1" w:rsidP="00BB6FF1">
      <w:pPr>
        <w:tabs>
          <w:tab w:val="left" w:pos="368"/>
        </w:tabs>
        <w:jc w:val="both"/>
        <w:rPr>
          <w:rtl/>
        </w:rPr>
      </w:pPr>
    </w:p>
    <w:p w:rsidR="00BB6FF1" w:rsidRDefault="00BB6FF1" w:rsidP="00BB6FF1">
      <w:pPr>
        <w:tabs>
          <w:tab w:val="left" w:pos="368"/>
        </w:tabs>
        <w:jc w:val="both"/>
        <w:rPr>
          <w:rtl/>
        </w:rPr>
      </w:pPr>
    </w:p>
    <w:p w:rsidR="00BB6FF1" w:rsidRDefault="00BB6FF1" w:rsidP="00BB6FF1">
      <w:pPr>
        <w:tabs>
          <w:tab w:val="left" w:pos="368"/>
        </w:tabs>
        <w:jc w:val="both"/>
        <w:rPr>
          <w:rtl/>
        </w:rPr>
      </w:pPr>
    </w:p>
    <w:p w:rsidR="00BB6FF1" w:rsidRDefault="00BB6FF1" w:rsidP="00BB6FF1">
      <w:pPr>
        <w:tabs>
          <w:tab w:val="left" w:pos="368"/>
        </w:tabs>
        <w:jc w:val="both"/>
        <w:rPr>
          <w:rtl/>
        </w:rPr>
      </w:pPr>
    </w:p>
    <w:p w:rsidR="00BB6FF1" w:rsidRDefault="00BB6FF1" w:rsidP="00BB6FF1">
      <w:pPr>
        <w:tabs>
          <w:tab w:val="left" w:pos="368"/>
        </w:tabs>
        <w:jc w:val="both"/>
        <w:rPr>
          <w:rtl/>
        </w:rPr>
      </w:pPr>
    </w:p>
    <w:p w:rsidR="00BB6FF1" w:rsidRDefault="00BB6FF1" w:rsidP="00BB6FF1">
      <w:pPr>
        <w:tabs>
          <w:tab w:val="left" w:pos="368"/>
        </w:tabs>
        <w:jc w:val="both"/>
        <w:rPr>
          <w:rtl/>
        </w:rPr>
      </w:pPr>
    </w:p>
    <w:p w:rsidR="00502D16" w:rsidRDefault="00502D16" w:rsidP="00502D16">
      <w:pPr>
        <w:pStyle w:val="a3"/>
        <w:ind w:left="226"/>
        <w:rPr>
          <w:rtl/>
        </w:rPr>
      </w:pPr>
    </w:p>
    <w:p w:rsidR="00502D16" w:rsidRPr="00961137" w:rsidRDefault="00502D16" w:rsidP="00502D16">
      <w:pPr>
        <w:pStyle w:val="a3"/>
        <w:ind w:left="226"/>
        <w:rPr>
          <w:b/>
          <w:bCs/>
          <w:sz w:val="28"/>
          <w:szCs w:val="28"/>
          <w:rtl/>
        </w:rPr>
      </w:pPr>
      <w:r>
        <w:rPr>
          <w:rFonts w:hint="cs"/>
          <w:rtl/>
        </w:rPr>
        <w:lastRenderedPageBreak/>
        <w:t xml:space="preserve">                                                                                                                     </w:t>
      </w:r>
      <w:r w:rsidRPr="00961137">
        <w:rPr>
          <w:rFonts w:hint="cs"/>
          <w:b/>
          <w:bCs/>
          <w:sz w:val="28"/>
          <w:szCs w:val="28"/>
          <w:rtl/>
        </w:rPr>
        <w:t xml:space="preserve"> נספח 1</w:t>
      </w:r>
    </w:p>
    <w:p w:rsidR="00502D16" w:rsidRDefault="00502D16" w:rsidP="00502D16">
      <w:pPr>
        <w:jc w:val="center"/>
        <w:rPr>
          <w:rFonts w:ascii="David" w:hAnsi="David" w:cs="David"/>
          <w:b/>
          <w:bCs/>
          <w:sz w:val="24"/>
          <w:szCs w:val="24"/>
          <w:u w:val="single"/>
          <w:rtl/>
        </w:rPr>
      </w:pPr>
    </w:p>
    <w:p w:rsidR="00502D16" w:rsidRPr="00216358" w:rsidRDefault="00502D16" w:rsidP="00502D16">
      <w:pPr>
        <w:jc w:val="center"/>
        <w:rPr>
          <w:b/>
          <w:bCs/>
          <w:u w:val="single"/>
          <w:rtl/>
        </w:rPr>
      </w:pPr>
      <w:r w:rsidRPr="00216358">
        <w:rPr>
          <w:rFonts w:ascii="David" w:hAnsi="David" w:cs="David"/>
          <w:b/>
          <w:bCs/>
          <w:sz w:val="24"/>
          <w:szCs w:val="24"/>
          <w:u w:val="single"/>
          <w:rtl/>
        </w:rPr>
        <w:t>רשות מינהלית</w:t>
      </w:r>
      <w:r w:rsidRPr="00216358">
        <w:rPr>
          <w:rFonts w:ascii="David" w:hAnsi="David" w:cs="David" w:hint="cs"/>
          <w:b/>
          <w:bCs/>
          <w:sz w:val="24"/>
          <w:szCs w:val="24"/>
          <w:u w:val="single"/>
          <w:rtl/>
        </w:rPr>
        <w:t xml:space="preserve"> </w:t>
      </w:r>
      <w:r w:rsidRPr="00216358">
        <w:rPr>
          <w:rFonts w:ascii="David" w:hAnsi="David" w:cs="David"/>
          <w:b/>
          <w:bCs/>
          <w:sz w:val="24"/>
          <w:szCs w:val="24"/>
          <w:u w:val="single"/>
          <w:rtl/>
        </w:rPr>
        <w:t>–</w:t>
      </w:r>
      <w:r w:rsidRPr="00216358">
        <w:rPr>
          <w:rFonts w:ascii="David" w:hAnsi="David" w:cs="David" w:hint="cs"/>
          <w:b/>
          <w:bCs/>
          <w:sz w:val="24"/>
          <w:szCs w:val="24"/>
          <w:u w:val="single"/>
          <w:rtl/>
        </w:rPr>
        <w:t>חייבת לפעול בהגינות וע"פ מידת הצדק</w:t>
      </w:r>
    </w:p>
    <w:p w:rsidR="00502D16" w:rsidRDefault="00502D16" w:rsidP="00502D16">
      <w:pPr>
        <w:tabs>
          <w:tab w:val="left" w:pos="5490"/>
        </w:tabs>
        <w:rPr>
          <w:rtl/>
        </w:rPr>
      </w:pPr>
    </w:p>
    <w:p w:rsidR="00502D16" w:rsidRDefault="00502D16" w:rsidP="00502D16">
      <w:pPr>
        <w:spacing w:line="360" w:lineRule="auto"/>
        <w:jc w:val="both"/>
        <w:rPr>
          <w:rFonts w:ascii="David" w:hAnsi="David" w:cs="David"/>
          <w:sz w:val="24"/>
          <w:szCs w:val="24"/>
          <w:rtl/>
        </w:rPr>
      </w:pPr>
      <w:r w:rsidRPr="0020681F">
        <w:rPr>
          <w:rFonts w:ascii="David" w:hAnsi="David" w:cs="David"/>
          <w:sz w:val="24"/>
          <w:szCs w:val="24"/>
          <w:rtl/>
        </w:rPr>
        <w:t>רשות מינהלית היא, כידוע, נאמן של הציבור. הנאמנות הציבורית כמו הנאמנות</w:t>
      </w:r>
      <w:r>
        <w:rPr>
          <w:rFonts w:ascii="David" w:hAnsi="David" w:cs="David" w:hint="cs"/>
          <w:sz w:val="24"/>
          <w:szCs w:val="24"/>
          <w:rtl/>
        </w:rPr>
        <w:t xml:space="preserve"> </w:t>
      </w:r>
      <w:r w:rsidRPr="0020681F">
        <w:rPr>
          <w:rFonts w:ascii="David" w:hAnsi="David" w:cs="David"/>
          <w:sz w:val="24"/>
          <w:szCs w:val="24"/>
          <w:rtl/>
        </w:rPr>
        <w:t xml:space="preserve">הפרטית, היא מקור הן לכוח והן לאחריות. </w:t>
      </w:r>
      <w:r w:rsidRPr="00BC54DA">
        <w:rPr>
          <w:rFonts w:ascii="David" w:hAnsi="David" w:cs="David"/>
          <w:sz w:val="24"/>
          <w:szCs w:val="24"/>
          <w:highlight w:val="yellow"/>
          <w:rtl/>
        </w:rPr>
        <w:t>האחריות מחייבת איפוק והגינות בהפעלת הכוח</w:t>
      </w:r>
      <w:r w:rsidRPr="0020681F">
        <w:rPr>
          <w:rFonts w:ascii="David" w:hAnsi="David" w:cs="David"/>
          <w:sz w:val="24"/>
          <w:szCs w:val="24"/>
          <w:rtl/>
        </w:rPr>
        <w:t xml:space="preserve">. בין היתר, יש נסיבות שבהן </w:t>
      </w:r>
      <w:r w:rsidRPr="0020681F">
        <w:rPr>
          <w:rFonts w:ascii="David" w:hAnsi="David" w:cs="David"/>
          <w:sz w:val="24"/>
          <w:szCs w:val="24"/>
          <w:highlight w:val="yellow"/>
          <w:rtl/>
        </w:rPr>
        <w:t xml:space="preserve">טוב תעשה הרשות </w:t>
      </w:r>
      <w:r w:rsidRPr="004D3F74">
        <w:rPr>
          <w:rFonts w:ascii="David" w:hAnsi="David" w:cs="David"/>
          <w:sz w:val="24"/>
          <w:szCs w:val="24"/>
          <w:rtl/>
        </w:rPr>
        <w:t xml:space="preserve">המינהלית אם תימנע מלהעלות לפני בית המשפט טענות מסוימות, אפילו יש להן יסוד בדין, אם אין הן </w:t>
      </w:r>
      <w:r w:rsidRPr="004D3F74">
        <w:rPr>
          <w:rFonts w:ascii="David" w:hAnsi="David" w:cs="David" w:hint="cs"/>
          <w:sz w:val="24"/>
          <w:szCs w:val="24"/>
          <w:rtl/>
        </w:rPr>
        <w:t>מ</w:t>
      </w:r>
      <w:r w:rsidRPr="004D3F74">
        <w:rPr>
          <w:rFonts w:ascii="David" w:hAnsi="David" w:cs="David"/>
          <w:sz w:val="24"/>
          <w:szCs w:val="24"/>
          <w:rtl/>
        </w:rPr>
        <w:t>תיישבות עם עקרונות יסוד של מינהל תקין או סותרות באופן ברור את מידת הצדק...</w:t>
      </w:r>
    </w:p>
    <w:p w:rsidR="00502D16" w:rsidRPr="0020681F" w:rsidRDefault="00502D16" w:rsidP="00502D16">
      <w:pPr>
        <w:tabs>
          <w:tab w:val="left" w:pos="5490"/>
        </w:tabs>
        <w:spacing w:line="360" w:lineRule="auto"/>
        <w:jc w:val="right"/>
        <w:rPr>
          <w:rFonts w:ascii="David" w:hAnsi="David" w:cs="David"/>
          <w:sz w:val="24"/>
          <w:szCs w:val="24"/>
          <w:rtl/>
        </w:rPr>
      </w:pPr>
    </w:p>
    <w:p w:rsidR="00502D16" w:rsidRDefault="00502D16" w:rsidP="00F63521">
      <w:pPr>
        <w:tabs>
          <w:tab w:val="left" w:pos="5490"/>
        </w:tabs>
        <w:spacing w:line="360" w:lineRule="auto"/>
        <w:jc w:val="both"/>
        <w:rPr>
          <w:sz w:val="20"/>
          <w:szCs w:val="20"/>
          <w:rtl/>
        </w:rPr>
      </w:pPr>
      <w:r w:rsidRPr="0020681F">
        <w:rPr>
          <w:rFonts w:ascii="David" w:hAnsi="David" w:cs="David"/>
          <w:sz w:val="24"/>
          <w:szCs w:val="24"/>
          <w:rtl/>
        </w:rPr>
        <w:t>זאת ועוד. בית</w:t>
      </w:r>
      <w:r w:rsidR="001E6BA6">
        <w:rPr>
          <w:rFonts w:ascii="David" w:hAnsi="David" w:cs="David" w:hint="cs"/>
          <w:sz w:val="24"/>
          <w:szCs w:val="24"/>
          <w:rtl/>
        </w:rPr>
        <w:t xml:space="preserve"> </w:t>
      </w:r>
      <w:r w:rsidRPr="0020681F">
        <w:rPr>
          <w:rFonts w:ascii="David" w:hAnsi="David" w:cs="David"/>
          <w:sz w:val="24"/>
          <w:szCs w:val="24"/>
          <w:rtl/>
        </w:rPr>
        <w:t xml:space="preserve">משפט זה דן, בלשונו של סעיף 15(ג) לחוק־יסוד׃ השפיטה, ׳בעניינים אשר הוא רואה צורך לתת בהם סעד למען </w:t>
      </w:r>
      <w:r>
        <w:rPr>
          <w:rFonts w:ascii="David" w:hAnsi="David" w:cs="David"/>
          <w:sz w:val="24"/>
          <w:szCs w:val="24"/>
          <w:rtl/>
        </w:rPr>
        <w:t>הצדק</w:t>
      </w:r>
      <w:r w:rsidRPr="0020681F">
        <w:rPr>
          <w:rFonts w:ascii="David" w:hAnsi="David" w:cs="David"/>
          <w:sz w:val="24"/>
          <w:szCs w:val="24"/>
          <w:rtl/>
        </w:rPr>
        <w:t xml:space="preserve">...׳ כך כלפי האזרח בריבו עם הרשות המינהלית׃ </w:t>
      </w:r>
      <w:r w:rsidRPr="00216358">
        <w:rPr>
          <w:rFonts w:ascii="David" w:hAnsi="David" w:cs="David"/>
          <w:sz w:val="24"/>
          <w:szCs w:val="24"/>
          <w:highlight w:val="yellow"/>
          <w:rtl/>
        </w:rPr>
        <w:t>מידת הצדק גוברת לעתים על מידת הדין,</w:t>
      </w:r>
      <w:r w:rsidRPr="0020681F">
        <w:rPr>
          <w:rFonts w:ascii="David" w:hAnsi="David" w:cs="David"/>
          <w:sz w:val="24"/>
          <w:szCs w:val="24"/>
          <w:rtl/>
        </w:rPr>
        <w:t xml:space="preserve"> כגון, כאשר עתירת האזרח לוקה בשיהוי או בחוסר נקיון</w:t>
      </w:r>
      <w:r>
        <w:rPr>
          <w:rFonts w:ascii="David" w:hAnsi="David" w:cs="David" w:hint="cs"/>
          <w:sz w:val="24"/>
          <w:szCs w:val="24"/>
          <w:rtl/>
        </w:rPr>
        <w:t xml:space="preserve"> </w:t>
      </w:r>
      <w:r w:rsidRPr="0020681F">
        <w:rPr>
          <w:rFonts w:ascii="David" w:hAnsi="David" w:cs="David"/>
          <w:sz w:val="24"/>
          <w:szCs w:val="24"/>
          <w:rtl/>
        </w:rPr>
        <w:t xml:space="preserve">כפיים. והאם לא כך גם כלפי הרשות המינהלית? </w:t>
      </w:r>
      <w:r w:rsidRPr="004D3F74">
        <w:rPr>
          <w:rFonts w:ascii="David" w:hAnsi="David" w:cs="David"/>
          <w:sz w:val="24"/>
          <w:szCs w:val="24"/>
          <w:highlight w:val="yellow"/>
          <w:rtl/>
        </w:rPr>
        <w:t>הצדק אינו חד־סטרי. כשם שהוא עשוי לחסום טענה של אזרח, כך הוא עשוי לחסום גם טענה של הרשות.</w:t>
      </w:r>
      <w:r w:rsidRPr="0020681F">
        <w:rPr>
          <w:rFonts w:ascii="David" w:hAnsi="David" w:cs="David"/>
          <w:sz w:val="24"/>
          <w:szCs w:val="24"/>
          <w:rtl/>
        </w:rPr>
        <w:t xml:space="preserve"> </w:t>
      </w:r>
      <w:r w:rsidRPr="00216358">
        <w:rPr>
          <w:rFonts w:hint="cs"/>
          <w:sz w:val="20"/>
          <w:szCs w:val="20"/>
          <w:rtl/>
        </w:rPr>
        <w:t>(</w:t>
      </w:r>
      <w:r w:rsidRPr="00216358">
        <w:rPr>
          <w:sz w:val="20"/>
          <w:szCs w:val="20"/>
          <w:rtl/>
        </w:rPr>
        <w:t xml:space="preserve">ע״א </w:t>
      </w:r>
      <w:r w:rsidRPr="00216358">
        <w:rPr>
          <w:rFonts w:asciiTheme="majorBidi" w:hAnsiTheme="majorBidi" w:cstheme="majorBidi"/>
          <w:sz w:val="20"/>
          <w:szCs w:val="20"/>
          <w:rtl/>
        </w:rPr>
        <w:t>92/1188</w:t>
      </w:r>
      <w:r w:rsidRPr="00216358">
        <w:rPr>
          <w:sz w:val="20"/>
          <w:szCs w:val="20"/>
          <w:rtl/>
        </w:rPr>
        <w:t xml:space="preserve"> הוועדה המקומית לתכנון ולבנייה ירושלים נ' ברעלי, פ״ד מט(1</w:t>
      </w:r>
      <w:r w:rsidRPr="00216358">
        <w:rPr>
          <w:rFonts w:hint="cs"/>
          <w:sz w:val="20"/>
          <w:szCs w:val="20"/>
          <w:rtl/>
        </w:rPr>
        <w:t xml:space="preserve">) </w:t>
      </w:r>
      <w:r w:rsidRPr="00216358">
        <w:rPr>
          <w:sz w:val="20"/>
          <w:szCs w:val="20"/>
          <w:rtl/>
        </w:rPr>
        <w:t xml:space="preserve">463 </w:t>
      </w:r>
      <w:r w:rsidRPr="00216358">
        <w:rPr>
          <w:rFonts w:hint="cs"/>
          <w:sz w:val="20"/>
          <w:szCs w:val="20"/>
          <w:rtl/>
        </w:rPr>
        <w:t>(</w:t>
      </w:r>
      <w:r w:rsidRPr="00216358">
        <w:rPr>
          <w:sz w:val="20"/>
          <w:szCs w:val="20"/>
          <w:rtl/>
        </w:rPr>
        <w:t>להלן׃ ע״א ברעלי</w:t>
      </w:r>
      <w:r w:rsidRPr="00216358">
        <w:rPr>
          <w:rFonts w:hint="cs"/>
          <w:sz w:val="20"/>
          <w:szCs w:val="20"/>
          <w:rtl/>
        </w:rPr>
        <w:t xml:space="preserve">) </w:t>
      </w:r>
    </w:p>
    <w:p w:rsidR="00F63521" w:rsidRDefault="00502D16" w:rsidP="00F03E2F">
      <w:pPr>
        <w:tabs>
          <w:tab w:val="left" w:pos="509"/>
          <w:tab w:val="left" w:pos="5490"/>
        </w:tabs>
        <w:rPr>
          <w:rtl/>
        </w:rPr>
      </w:pPr>
      <w:r w:rsidRPr="00216358">
        <w:rPr>
          <w:rFonts w:hint="cs"/>
          <w:b/>
          <w:bCs/>
          <w:i/>
          <w:iCs/>
          <w:sz w:val="20"/>
          <w:szCs w:val="20"/>
          <w:rtl/>
        </w:rPr>
        <w:t>מתוך:</w:t>
      </w:r>
      <w:r w:rsidRPr="00216358">
        <w:rPr>
          <w:b/>
          <w:bCs/>
          <w:i/>
          <w:iCs/>
          <w:sz w:val="20"/>
          <w:szCs w:val="20"/>
          <w:rtl/>
        </w:rPr>
        <w:t xml:space="preserve"> יצחק זמיר</w:t>
      </w:r>
      <w:r w:rsidRPr="00216358">
        <w:rPr>
          <w:rFonts w:hint="cs"/>
          <w:b/>
          <w:bCs/>
          <w:i/>
          <w:iCs/>
          <w:sz w:val="20"/>
          <w:szCs w:val="20"/>
          <w:rtl/>
        </w:rPr>
        <w:t>: "</w:t>
      </w:r>
      <w:r w:rsidRPr="00216358">
        <w:rPr>
          <w:b/>
          <w:bCs/>
          <w:i/>
          <w:iCs/>
          <w:sz w:val="20"/>
          <w:szCs w:val="20"/>
          <w:rtl/>
        </w:rPr>
        <w:t>שיקול הצדק בהחלטות מנהליות</w:t>
      </w:r>
      <w:r w:rsidRPr="00216358">
        <w:rPr>
          <w:rFonts w:hint="cs"/>
          <w:b/>
          <w:bCs/>
          <w:i/>
          <w:iCs/>
          <w:sz w:val="20"/>
          <w:szCs w:val="20"/>
          <w:rtl/>
        </w:rPr>
        <w:t>"</w:t>
      </w:r>
      <w:r w:rsidRPr="00216358">
        <w:rPr>
          <w:b/>
          <w:bCs/>
          <w:i/>
          <w:iCs/>
          <w:sz w:val="20"/>
          <w:szCs w:val="20"/>
          <w:rtl/>
        </w:rPr>
        <w:t xml:space="preserve"> הרצאה שניתנה בכנס על משפט, צדק, דת ומדינה שנערך במלאת שנה למותו של השופט חיים ה׳ כהן בימים 9-11 באפריל 2003</w:t>
      </w:r>
      <w:r w:rsidRPr="00216358">
        <w:rPr>
          <w:b/>
          <w:bCs/>
          <w:i/>
          <w:iCs/>
          <w:sz w:val="20"/>
          <w:szCs w:val="20"/>
        </w:rPr>
        <w:t>.</w:t>
      </w:r>
    </w:p>
    <w:p w:rsidR="00F63521" w:rsidRDefault="00F63521" w:rsidP="00502D16">
      <w:pPr>
        <w:tabs>
          <w:tab w:val="left" w:pos="5490"/>
        </w:tabs>
      </w:pPr>
    </w:p>
    <w:sectPr w:rsidR="00F63521" w:rsidSect="004E2616">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2ED" w:rsidRDefault="009B62ED" w:rsidP="00873C5D">
      <w:pPr>
        <w:spacing w:after="0" w:line="240" w:lineRule="auto"/>
      </w:pPr>
      <w:r>
        <w:separator/>
      </w:r>
    </w:p>
  </w:endnote>
  <w:endnote w:type="continuationSeparator" w:id="0">
    <w:p w:rsidR="009B62ED" w:rsidRDefault="009B62ED" w:rsidP="0087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5676582"/>
      <w:docPartObj>
        <w:docPartGallery w:val="Page Numbers (Bottom of Page)"/>
        <w:docPartUnique/>
      </w:docPartObj>
    </w:sdtPr>
    <w:sdtEndPr>
      <w:rPr>
        <w:cs/>
      </w:rPr>
    </w:sdtEndPr>
    <w:sdtContent>
      <w:p w:rsidR="00A33B21" w:rsidRDefault="00A33B21">
        <w:pPr>
          <w:pStyle w:val="a6"/>
          <w:jc w:val="center"/>
          <w:rPr>
            <w:rtl/>
            <w:cs/>
          </w:rPr>
        </w:pPr>
        <w:r>
          <w:fldChar w:fldCharType="begin"/>
        </w:r>
        <w:r>
          <w:rPr>
            <w:rtl/>
            <w:cs/>
          </w:rPr>
          <w:instrText xml:space="preserve">PAGE   </w:instrText>
        </w:r>
        <w:r>
          <w:rPr>
            <w:cs/>
          </w:rPr>
          <w:instrText>\</w:instrText>
        </w:r>
        <w:r>
          <w:rPr>
            <w:rtl/>
            <w:cs/>
          </w:rPr>
          <w:instrText>* MERGEFORMAT</w:instrText>
        </w:r>
        <w:r>
          <w:fldChar w:fldCharType="separate"/>
        </w:r>
        <w:r w:rsidR="006022A6" w:rsidRPr="006022A6">
          <w:rPr>
            <w:noProof/>
            <w:rtl/>
            <w:lang w:val="he-IL"/>
          </w:rPr>
          <w:t>7</w:t>
        </w:r>
        <w:r>
          <w:fldChar w:fldCharType="end"/>
        </w:r>
      </w:p>
    </w:sdtContent>
  </w:sdt>
  <w:p w:rsidR="00A33B21" w:rsidRDefault="00A33B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2ED" w:rsidRDefault="009B62ED" w:rsidP="00873C5D">
      <w:pPr>
        <w:spacing w:after="0" w:line="240" w:lineRule="auto"/>
      </w:pPr>
      <w:r>
        <w:separator/>
      </w:r>
    </w:p>
  </w:footnote>
  <w:footnote w:type="continuationSeparator" w:id="0">
    <w:p w:rsidR="009B62ED" w:rsidRDefault="009B62ED" w:rsidP="00873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D182F"/>
    <w:multiLevelType w:val="multilevel"/>
    <w:tmpl w:val="60ECD2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5A69CC"/>
    <w:multiLevelType w:val="multilevel"/>
    <w:tmpl w:val="B8760E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lang w:bidi="he-IL"/>
      </w:rPr>
    </w:lvl>
    <w:lvl w:ilvl="2">
      <w:start w:val="1"/>
      <w:numFmt w:val="decimal"/>
      <w:isLgl/>
      <w:lvlText w:val="%1.%2.%3"/>
      <w:lvlJc w:val="left"/>
      <w:pPr>
        <w:ind w:left="1287" w:hanging="720"/>
      </w:pPr>
      <w:rPr>
        <w:rFonts w:hint="default"/>
        <w:lang w:bidi="he-I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16"/>
    <w:rsid w:val="00010351"/>
    <w:rsid w:val="0003371E"/>
    <w:rsid w:val="00071D76"/>
    <w:rsid w:val="000A26B1"/>
    <w:rsid w:val="000C636F"/>
    <w:rsid w:val="00103330"/>
    <w:rsid w:val="001A202D"/>
    <w:rsid w:val="001E3FEE"/>
    <w:rsid w:val="001E6BA6"/>
    <w:rsid w:val="00220911"/>
    <w:rsid w:val="002572D3"/>
    <w:rsid w:val="002649DF"/>
    <w:rsid w:val="00267D7A"/>
    <w:rsid w:val="0033577B"/>
    <w:rsid w:val="003D113A"/>
    <w:rsid w:val="004152C5"/>
    <w:rsid w:val="004406BE"/>
    <w:rsid w:val="004424C3"/>
    <w:rsid w:val="00464D9E"/>
    <w:rsid w:val="00475967"/>
    <w:rsid w:val="00496A98"/>
    <w:rsid w:val="004A4700"/>
    <w:rsid w:val="004D6F2E"/>
    <w:rsid w:val="004E2616"/>
    <w:rsid w:val="00502D16"/>
    <w:rsid w:val="00536573"/>
    <w:rsid w:val="005662EA"/>
    <w:rsid w:val="005E28F4"/>
    <w:rsid w:val="005F3436"/>
    <w:rsid w:val="006022A6"/>
    <w:rsid w:val="006410E2"/>
    <w:rsid w:val="00665433"/>
    <w:rsid w:val="00694467"/>
    <w:rsid w:val="006A2A4D"/>
    <w:rsid w:val="00702319"/>
    <w:rsid w:val="007040E8"/>
    <w:rsid w:val="007507C1"/>
    <w:rsid w:val="00771E98"/>
    <w:rsid w:val="00797702"/>
    <w:rsid w:val="007C1FC4"/>
    <w:rsid w:val="008232B3"/>
    <w:rsid w:val="00854F7E"/>
    <w:rsid w:val="00873C5D"/>
    <w:rsid w:val="00892057"/>
    <w:rsid w:val="00892B41"/>
    <w:rsid w:val="008A0543"/>
    <w:rsid w:val="0090256B"/>
    <w:rsid w:val="0090606F"/>
    <w:rsid w:val="00934B8D"/>
    <w:rsid w:val="00943B2A"/>
    <w:rsid w:val="009567A9"/>
    <w:rsid w:val="00957265"/>
    <w:rsid w:val="00985113"/>
    <w:rsid w:val="009B62ED"/>
    <w:rsid w:val="009B7BC4"/>
    <w:rsid w:val="00A15EBB"/>
    <w:rsid w:val="00A33B21"/>
    <w:rsid w:val="00A71B73"/>
    <w:rsid w:val="00A80C55"/>
    <w:rsid w:val="00A81541"/>
    <w:rsid w:val="00B000C0"/>
    <w:rsid w:val="00B734D9"/>
    <w:rsid w:val="00BB6FF1"/>
    <w:rsid w:val="00BF1397"/>
    <w:rsid w:val="00C043D2"/>
    <w:rsid w:val="00C06BE5"/>
    <w:rsid w:val="00C216DA"/>
    <w:rsid w:val="00CD3DCB"/>
    <w:rsid w:val="00CD60DC"/>
    <w:rsid w:val="00CE40E9"/>
    <w:rsid w:val="00CF153D"/>
    <w:rsid w:val="00CF710E"/>
    <w:rsid w:val="00DB28E9"/>
    <w:rsid w:val="00ED4C9B"/>
    <w:rsid w:val="00ED6718"/>
    <w:rsid w:val="00F03E2F"/>
    <w:rsid w:val="00F6332A"/>
    <w:rsid w:val="00F63521"/>
    <w:rsid w:val="00F729D8"/>
    <w:rsid w:val="00F91321"/>
    <w:rsid w:val="00FA3AFD"/>
    <w:rsid w:val="00FC48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1A54B-9649-49AC-86C4-EF122A04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D16"/>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D16"/>
    <w:pPr>
      <w:ind w:left="720"/>
      <w:contextualSpacing/>
    </w:pPr>
  </w:style>
  <w:style w:type="paragraph" w:styleId="a4">
    <w:name w:val="header"/>
    <w:basedOn w:val="a"/>
    <w:link w:val="a5"/>
    <w:uiPriority w:val="99"/>
    <w:unhideWhenUsed/>
    <w:rsid w:val="00873C5D"/>
    <w:pPr>
      <w:tabs>
        <w:tab w:val="center" w:pos="4153"/>
        <w:tab w:val="right" w:pos="8306"/>
      </w:tabs>
      <w:spacing w:after="0" w:line="240" w:lineRule="auto"/>
    </w:pPr>
  </w:style>
  <w:style w:type="character" w:customStyle="1" w:styleId="a5">
    <w:name w:val="כותרת עליונה תו"/>
    <w:basedOn w:val="a0"/>
    <w:link w:val="a4"/>
    <w:uiPriority w:val="99"/>
    <w:rsid w:val="00873C5D"/>
  </w:style>
  <w:style w:type="paragraph" w:styleId="a6">
    <w:name w:val="footer"/>
    <w:basedOn w:val="a"/>
    <w:link w:val="a7"/>
    <w:uiPriority w:val="99"/>
    <w:unhideWhenUsed/>
    <w:rsid w:val="00873C5D"/>
    <w:pPr>
      <w:tabs>
        <w:tab w:val="center" w:pos="4153"/>
        <w:tab w:val="right" w:pos="8306"/>
      </w:tabs>
      <w:spacing w:after="0" w:line="240" w:lineRule="auto"/>
    </w:pPr>
  </w:style>
  <w:style w:type="character" w:customStyle="1" w:styleId="a7">
    <w:name w:val="כותרת תחתונה תו"/>
    <w:basedOn w:val="a0"/>
    <w:link w:val="a6"/>
    <w:uiPriority w:val="99"/>
    <w:rsid w:val="0087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16349-46AE-4E9B-A754-59AEA7AA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3095</Words>
  <Characters>15475</Characters>
  <Application>Microsoft Office Word</Application>
  <DocSecurity>0</DocSecurity>
  <Lines>128</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3</cp:revision>
  <cp:lastPrinted>2020-06-11T12:29:00Z</cp:lastPrinted>
  <dcterms:created xsi:type="dcterms:W3CDTF">2020-06-14T13:22:00Z</dcterms:created>
  <dcterms:modified xsi:type="dcterms:W3CDTF">2020-06-14T14:58:00Z</dcterms:modified>
</cp:coreProperties>
</file>