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3E" w:rsidRPr="00901A33" w:rsidRDefault="0092613E" w:rsidP="00B0549A">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B0549A">
        <w:rPr>
          <w:rFonts w:hint="cs"/>
          <w:b/>
          <w:bCs/>
          <w:u w:val="single"/>
          <w:rtl/>
          <w:lang w:eastAsia="en-US"/>
        </w:rPr>
        <w:t>סע"ש 6928-10-19</w:t>
      </w:r>
    </w:p>
    <w:p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rsidR="0092613E" w:rsidRPr="00E519EC" w:rsidRDefault="00B0549A" w:rsidP="00B0549A">
      <w:pPr>
        <w:pStyle w:val="40"/>
        <w:spacing w:before="0"/>
        <w:ind w:left="0" w:firstLine="0"/>
        <w:jc w:val="right"/>
        <w:rPr>
          <w:b/>
          <w:bCs/>
          <w:rtl/>
          <w:lang w:eastAsia="en-US"/>
        </w:rPr>
      </w:pPr>
      <w:r w:rsidRPr="00E519EC">
        <w:rPr>
          <w:rFonts w:hint="cs"/>
          <w:b/>
          <w:bCs/>
          <w:rtl/>
          <w:lang w:eastAsia="en-US"/>
        </w:rPr>
        <w:t>בפני סגן נשיא בית הדין,</w:t>
      </w:r>
    </w:p>
    <w:p w:rsidR="00B0549A" w:rsidRPr="00E519EC" w:rsidRDefault="00B0549A" w:rsidP="00B0549A">
      <w:pPr>
        <w:pStyle w:val="40"/>
        <w:spacing w:before="0"/>
        <w:ind w:left="0" w:firstLine="0"/>
        <w:jc w:val="right"/>
        <w:rPr>
          <w:b/>
          <w:bCs/>
          <w:rtl/>
          <w:lang w:eastAsia="en-US"/>
        </w:rPr>
      </w:pPr>
      <w:r w:rsidRPr="00E519EC">
        <w:rPr>
          <w:rFonts w:hint="cs"/>
          <w:b/>
          <w:bCs/>
          <w:rtl/>
          <w:lang w:eastAsia="en-US"/>
        </w:rPr>
        <w:t>כבוד השופט כאמל אבו קאעוד</w:t>
      </w:r>
    </w:p>
    <w:p w:rsidR="00B0549A" w:rsidRDefault="00B0549A" w:rsidP="00442D58">
      <w:pPr>
        <w:pStyle w:val="40"/>
        <w:spacing w:before="0"/>
        <w:ind w:left="0" w:firstLine="0"/>
        <w:rPr>
          <w:rtl/>
          <w:lang w:eastAsia="en-US"/>
        </w:rPr>
      </w:pPr>
    </w:p>
    <w:p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rsidR="0092613E" w:rsidRPr="00901A33" w:rsidRDefault="0092613E" w:rsidP="00442D58">
      <w:pPr>
        <w:pStyle w:val="40"/>
        <w:spacing w:before="0"/>
        <w:ind w:left="0" w:firstLine="0"/>
        <w:rPr>
          <w:rtl/>
          <w:lang w:eastAsia="en-US"/>
        </w:rPr>
      </w:pPr>
    </w:p>
    <w:p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w:t>
      </w:r>
      <w:r w:rsidR="008F5336">
        <w:rPr>
          <w:rFonts w:hint="cs"/>
          <w:b/>
          <w:bCs/>
          <w:u w:val="single"/>
          <w:rtl/>
          <w:lang w:eastAsia="en-US"/>
        </w:rPr>
        <w:t>משיב / ה</w:t>
      </w:r>
      <w:r w:rsidRPr="00901A33">
        <w:rPr>
          <w:rFonts w:hint="cs"/>
          <w:b/>
          <w:bCs/>
          <w:u w:val="single"/>
          <w:rtl/>
          <w:lang w:eastAsia="en-US"/>
        </w:rPr>
        <w:t>תובע</w:t>
      </w:r>
    </w:p>
    <w:p w:rsidR="0092613E" w:rsidRPr="00901A33" w:rsidRDefault="0092613E" w:rsidP="00442D58">
      <w:pPr>
        <w:pStyle w:val="40"/>
        <w:spacing w:before="0"/>
        <w:ind w:left="0" w:firstLine="0"/>
        <w:rPr>
          <w:rtl/>
          <w:lang w:eastAsia="en-US"/>
        </w:rPr>
      </w:pPr>
    </w:p>
    <w:p w:rsidR="0092613E"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xml:space="preserve">- נ  ג  ד </w:t>
      </w:r>
      <w:r w:rsidR="00932D99">
        <w:rPr>
          <w:b/>
          <w:bCs/>
          <w:rtl/>
          <w:lang w:eastAsia="en-US"/>
        </w:rPr>
        <w:t>–</w:t>
      </w:r>
    </w:p>
    <w:p w:rsidR="00932D99" w:rsidRPr="00901A33" w:rsidRDefault="00932D99" w:rsidP="00442D58">
      <w:pPr>
        <w:pStyle w:val="40"/>
        <w:spacing w:before="0"/>
        <w:ind w:left="0" w:firstLine="0"/>
        <w:rPr>
          <w:b/>
          <w:bCs/>
          <w:rtl/>
          <w:lang w:eastAsia="en-US"/>
        </w:rPr>
      </w:pPr>
    </w:p>
    <w:p w:rsidR="0092613E" w:rsidRPr="00901A33" w:rsidRDefault="0092613E" w:rsidP="00442D58">
      <w:pPr>
        <w:pStyle w:val="40"/>
        <w:spacing w:before="0"/>
        <w:ind w:left="0" w:firstLine="0"/>
        <w:rPr>
          <w:rtl/>
          <w:lang w:eastAsia="en-US"/>
        </w:rPr>
      </w:pPr>
    </w:p>
    <w:p w:rsidR="00917C45" w:rsidRPr="00901A33" w:rsidRDefault="00917C45" w:rsidP="00057EF8">
      <w:pPr>
        <w:pStyle w:val="40"/>
        <w:numPr>
          <w:ilvl w:val="0"/>
          <w:numId w:val="3"/>
        </w:numPr>
        <w:tabs>
          <w:tab w:val="clear" w:pos="942"/>
        </w:tabs>
        <w:spacing w:before="0"/>
        <w:rPr>
          <w:b/>
          <w:bCs/>
          <w:rtl/>
        </w:rPr>
      </w:pPr>
      <w:r w:rsidRPr="00901A33">
        <w:rPr>
          <w:rFonts w:hint="eastAsia"/>
          <w:b/>
          <w:bCs/>
          <w:rtl/>
        </w:rPr>
        <w:t>נציבות</w:t>
      </w:r>
      <w:r w:rsidRPr="00901A33">
        <w:rPr>
          <w:b/>
          <w:bCs/>
          <w:rtl/>
        </w:rPr>
        <w:t xml:space="preserve"> שירות המדינה </w:t>
      </w:r>
    </w:p>
    <w:p w:rsidR="001907C8" w:rsidRPr="00901A33" w:rsidRDefault="001907C8" w:rsidP="00057EF8">
      <w:pPr>
        <w:pStyle w:val="40"/>
        <w:numPr>
          <w:ilvl w:val="0"/>
          <w:numId w:val="3"/>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rsidR="00260DD7" w:rsidRPr="00901A33" w:rsidRDefault="00173E98" w:rsidP="00057EF8">
      <w:pPr>
        <w:pStyle w:val="40"/>
        <w:numPr>
          <w:ilvl w:val="0"/>
          <w:numId w:val="3"/>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rsidR="00260DD7" w:rsidRPr="00901A33" w:rsidRDefault="00260DD7" w:rsidP="00260DD7">
      <w:pPr>
        <w:pStyle w:val="40"/>
        <w:tabs>
          <w:tab w:val="clear" w:pos="942"/>
        </w:tabs>
        <w:spacing w:before="0"/>
        <w:ind w:left="2250" w:firstLine="0"/>
        <w:rPr>
          <w:b/>
          <w:bCs/>
          <w:rtl/>
        </w:rPr>
      </w:pPr>
    </w:p>
    <w:p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rsidR="00B67D7A" w:rsidRPr="00901A33" w:rsidRDefault="008F5336" w:rsidP="00442D58">
      <w:pPr>
        <w:pStyle w:val="40"/>
        <w:tabs>
          <w:tab w:val="clear" w:pos="942"/>
        </w:tabs>
        <w:spacing w:before="0"/>
        <w:ind w:left="2250" w:firstLine="0"/>
        <w:rPr>
          <w:rtl/>
        </w:rPr>
      </w:pPr>
      <w:r>
        <w:rPr>
          <w:rFonts w:hint="cs"/>
          <w:rtl/>
        </w:rPr>
        <w:t xml:space="preserve">מח"ל 7, </w:t>
      </w:r>
      <w:r w:rsidR="00B67D7A" w:rsidRPr="00901A33">
        <w:rPr>
          <w:rFonts w:hint="cs"/>
          <w:rtl/>
        </w:rPr>
        <w:t>מעלות דפנה, ירושלים</w:t>
      </w:r>
    </w:p>
    <w:p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008F5336">
        <w:rPr>
          <w:rFonts w:hint="cs"/>
          <w:rtl/>
          <w:lang w:eastAsia="en-US"/>
        </w:rPr>
        <w:tab/>
        <w:t xml:space="preserve">              </w:t>
      </w:r>
      <w:r w:rsidRPr="00901A33">
        <w:rPr>
          <w:rFonts w:hint="cs"/>
          <w:b/>
          <w:bCs/>
          <w:u w:val="single"/>
          <w:rtl/>
          <w:lang w:eastAsia="en-US"/>
        </w:rPr>
        <w:t>ה</w:t>
      </w:r>
      <w:r w:rsidR="008F5336">
        <w:rPr>
          <w:rFonts w:hint="cs"/>
          <w:b/>
          <w:bCs/>
          <w:u w:val="single"/>
          <w:rtl/>
          <w:lang w:eastAsia="en-US"/>
        </w:rPr>
        <w:t>מבקשות / ה</w:t>
      </w:r>
      <w:r w:rsidRPr="00901A33">
        <w:rPr>
          <w:rFonts w:hint="cs"/>
          <w:b/>
          <w:bCs/>
          <w:u w:val="single"/>
          <w:rtl/>
          <w:lang w:eastAsia="en-US"/>
        </w:rPr>
        <w:t>נתבע</w:t>
      </w:r>
      <w:r w:rsidR="00CC350F" w:rsidRPr="00901A33">
        <w:rPr>
          <w:rFonts w:hint="cs"/>
          <w:b/>
          <w:bCs/>
          <w:u w:val="single"/>
          <w:rtl/>
          <w:lang w:eastAsia="en-US"/>
        </w:rPr>
        <w:t>ו</w:t>
      </w:r>
      <w:r w:rsidRPr="00901A33">
        <w:rPr>
          <w:rFonts w:hint="cs"/>
          <w:b/>
          <w:bCs/>
          <w:u w:val="single"/>
          <w:rtl/>
          <w:lang w:eastAsia="en-US"/>
        </w:rPr>
        <w:t>ת</w:t>
      </w:r>
    </w:p>
    <w:p w:rsidR="0092613E" w:rsidRDefault="0092613E" w:rsidP="00442D58">
      <w:pPr>
        <w:pStyle w:val="10"/>
        <w:jc w:val="both"/>
        <w:rPr>
          <w:sz w:val="24"/>
          <w:rtl/>
          <w:lang w:eastAsia="en-US"/>
        </w:rPr>
      </w:pPr>
    </w:p>
    <w:p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p>
    <w:p w:rsidR="009B48BB" w:rsidRPr="00901A33" w:rsidRDefault="008F5336" w:rsidP="000904E5">
      <w:pPr>
        <w:pStyle w:val="10"/>
        <w:spacing w:after="120" w:line="360" w:lineRule="auto"/>
        <w:ind w:left="720" w:hanging="669"/>
        <w:jc w:val="center"/>
        <w:rPr>
          <w:b/>
          <w:bCs/>
          <w:sz w:val="36"/>
          <w:szCs w:val="36"/>
          <w:u w:val="single"/>
          <w:rtl/>
        </w:rPr>
      </w:pPr>
      <w:r>
        <w:rPr>
          <w:rFonts w:hint="cs"/>
          <w:b/>
          <w:bCs/>
          <w:sz w:val="36"/>
          <w:szCs w:val="36"/>
          <w:u w:val="single"/>
          <w:rtl/>
        </w:rPr>
        <w:t>תשובה לבקשה לסילוק על הסף</w:t>
      </w:r>
    </w:p>
    <w:p w:rsidR="008F5336" w:rsidRDefault="008F5336" w:rsidP="008F5336">
      <w:pPr>
        <w:pStyle w:val="a4"/>
        <w:spacing w:after="240" w:line="360" w:lineRule="auto"/>
        <w:jc w:val="both"/>
        <w:rPr>
          <w:rFonts w:cs="David"/>
          <w:rtl/>
        </w:rPr>
      </w:pPr>
      <w:r w:rsidRPr="002433DF">
        <w:rPr>
          <w:rFonts w:cs="David"/>
          <w:rtl/>
        </w:rPr>
        <w:t xml:space="preserve">מוגשת בזאת לבית הדין הנכבד </w:t>
      </w:r>
      <w:r w:rsidRPr="002433DF">
        <w:rPr>
          <w:rFonts w:cs="David" w:hint="eastAsia"/>
          <w:rtl/>
        </w:rPr>
        <w:t>תשובת</w:t>
      </w:r>
      <w:r w:rsidRPr="002433DF">
        <w:rPr>
          <w:rFonts w:cs="David"/>
          <w:rtl/>
        </w:rPr>
        <w:t xml:space="preserve"> </w:t>
      </w:r>
      <w:r w:rsidRPr="002433DF">
        <w:rPr>
          <w:rFonts w:cs="David" w:hint="eastAsia"/>
          <w:rtl/>
        </w:rPr>
        <w:t>המשיב</w:t>
      </w:r>
      <w:r w:rsidRPr="002433DF">
        <w:rPr>
          <w:rFonts w:cs="David"/>
          <w:rtl/>
        </w:rPr>
        <w:t xml:space="preserve"> לבקש</w:t>
      </w:r>
      <w:r w:rsidRPr="002433DF">
        <w:rPr>
          <w:rFonts w:cs="David" w:hint="eastAsia"/>
          <w:rtl/>
        </w:rPr>
        <w:t>ת</w:t>
      </w:r>
      <w:r w:rsidRPr="002433DF">
        <w:rPr>
          <w:rFonts w:cs="David"/>
          <w:rtl/>
        </w:rPr>
        <w:t xml:space="preserve"> </w:t>
      </w:r>
      <w:r>
        <w:rPr>
          <w:rFonts w:cs="David" w:hint="cs"/>
          <w:rtl/>
        </w:rPr>
        <w:t>הנתבעות (המבקשות)</w:t>
      </w:r>
      <w:r w:rsidRPr="002433DF">
        <w:rPr>
          <w:rFonts w:cs="David"/>
          <w:rtl/>
        </w:rPr>
        <w:t xml:space="preserve"> </w:t>
      </w:r>
      <w:r w:rsidRPr="002433DF">
        <w:rPr>
          <w:rFonts w:cs="David" w:hint="eastAsia"/>
          <w:rtl/>
        </w:rPr>
        <w:t>לסילוק</w:t>
      </w:r>
      <w:r w:rsidRPr="002433DF">
        <w:rPr>
          <w:rFonts w:cs="David"/>
          <w:rtl/>
        </w:rPr>
        <w:t xml:space="preserve"> על הסף של התביעה </w:t>
      </w:r>
      <w:r>
        <w:rPr>
          <w:rFonts w:cs="David" w:hint="eastAsia"/>
          <w:rtl/>
        </w:rPr>
        <w:t>נגד</w:t>
      </w:r>
      <w:r w:rsidR="00B0549A">
        <w:rPr>
          <w:rFonts w:cs="David" w:hint="cs"/>
          <w:rtl/>
        </w:rPr>
        <w:t>ן</w:t>
      </w:r>
      <w:r w:rsidRPr="002433DF">
        <w:rPr>
          <w:rFonts w:cs="David"/>
          <w:rtl/>
        </w:rPr>
        <w:t>.</w:t>
      </w:r>
      <w:r w:rsidR="00A31BF2">
        <w:rPr>
          <w:rFonts w:cs="David" w:hint="cs"/>
          <w:rtl/>
        </w:rPr>
        <w:t xml:space="preserve"> כפי שיפורט להלן,</w:t>
      </w:r>
      <w:r w:rsidRPr="002433DF">
        <w:rPr>
          <w:rFonts w:cs="David"/>
          <w:rtl/>
        </w:rPr>
        <w:t xml:space="preserve"> </w:t>
      </w:r>
      <w:r>
        <w:rPr>
          <w:rFonts w:cs="David" w:hint="eastAsia"/>
          <w:rtl/>
        </w:rPr>
        <w:t>המשיב</w:t>
      </w:r>
      <w:r w:rsidRPr="002433DF">
        <w:rPr>
          <w:rFonts w:cs="David"/>
          <w:rtl/>
        </w:rPr>
        <w:t xml:space="preserve"> </w:t>
      </w:r>
      <w:r>
        <w:rPr>
          <w:rFonts w:cs="David" w:hint="cs"/>
          <w:rtl/>
        </w:rPr>
        <w:t>י</w:t>
      </w:r>
      <w:r w:rsidRPr="002433DF">
        <w:rPr>
          <w:rFonts w:cs="David"/>
          <w:rtl/>
        </w:rPr>
        <w:t>עמוד על</w:t>
      </w:r>
      <w:r>
        <w:rPr>
          <w:rFonts w:cs="David"/>
          <w:rtl/>
        </w:rPr>
        <w:t xml:space="preserve"> כך שאין בסיס לבקשה, וכי ניסיונ</w:t>
      </w:r>
      <w:r>
        <w:rPr>
          <w:rFonts w:cs="David" w:hint="cs"/>
          <w:rtl/>
        </w:rPr>
        <w:t>ן</w:t>
      </w:r>
      <w:r w:rsidRPr="002433DF">
        <w:rPr>
          <w:rFonts w:cs="David"/>
          <w:rtl/>
        </w:rPr>
        <w:t xml:space="preserve"> של המבקש</w:t>
      </w:r>
      <w:r>
        <w:rPr>
          <w:rFonts w:cs="David" w:hint="cs"/>
          <w:rtl/>
        </w:rPr>
        <w:t>ות</w:t>
      </w:r>
      <w:r w:rsidRPr="002433DF">
        <w:rPr>
          <w:rFonts w:cs="David"/>
          <w:rtl/>
        </w:rPr>
        <w:t xml:space="preserve"> </w:t>
      </w:r>
      <w:r w:rsidRPr="002433DF">
        <w:rPr>
          <w:rFonts w:cs="David" w:hint="eastAsia"/>
          <w:rtl/>
        </w:rPr>
        <w:t>להתחמק</w:t>
      </w:r>
      <w:r w:rsidRPr="002433DF">
        <w:rPr>
          <w:rFonts w:cs="David"/>
          <w:rtl/>
        </w:rPr>
        <w:t xml:space="preserve"> </w:t>
      </w:r>
      <w:r w:rsidRPr="002433DF">
        <w:rPr>
          <w:rFonts w:cs="David" w:hint="eastAsia"/>
          <w:rtl/>
        </w:rPr>
        <w:t>מהתוצאות</w:t>
      </w:r>
      <w:r w:rsidRPr="002433DF">
        <w:rPr>
          <w:rFonts w:cs="David"/>
          <w:rtl/>
        </w:rPr>
        <w:t xml:space="preserve"> </w:t>
      </w:r>
      <w:r w:rsidRPr="002433DF">
        <w:rPr>
          <w:rFonts w:cs="David" w:hint="eastAsia"/>
          <w:rtl/>
        </w:rPr>
        <w:t>של</w:t>
      </w:r>
      <w:r w:rsidRPr="002433DF">
        <w:rPr>
          <w:rFonts w:cs="David"/>
          <w:rtl/>
        </w:rPr>
        <w:t xml:space="preserve"> </w:t>
      </w:r>
      <w:r>
        <w:rPr>
          <w:rFonts w:cs="David" w:hint="cs"/>
          <w:rtl/>
        </w:rPr>
        <w:t>התנהלות</w:t>
      </w:r>
      <w:r w:rsidR="005B7568">
        <w:rPr>
          <w:rFonts w:cs="David" w:hint="cs"/>
          <w:rtl/>
        </w:rPr>
        <w:t>ן</w:t>
      </w:r>
      <w:r>
        <w:rPr>
          <w:rFonts w:cs="David" w:hint="cs"/>
          <w:rtl/>
        </w:rPr>
        <w:t xml:space="preserve"> הנפסדת וחסרת תום הלב</w:t>
      </w:r>
      <w:r w:rsidRPr="002433DF">
        <w:rPr>
          <w:rFonts w:cs="David"/>
          <w:rtl/>
        </w:rPr>
        <w:t xml:space="preserve"> </w:t>
      </w:r>
      <w:r w:rsidRPr="002433DF">
        <w:rPr>
          <w:rFonts w:cs="David" w:hint="eastAsia"/>
          <w:rtl/>
        </w:rPr>
        <w:t>נדו</w:t>
      </w:r>
      <w:r w:rsidR="00A31BF2">
        <w:rPr>
          <w:rFonts w:cs="David" w:hint="cs"/>
          <w:rtl/>
        </w:rPr>
        <w:t>ן</w:t>
      </w:r>
      <w:r w:rsidRPr="002433DF">
        <w:rPr>
          <w:rFonts w:cs="David"/>
          <w:rtl/>
        </w:rPr>
        <w:t xml:space="preserve"> </w:t>
      </w:r>
      <w:r w:rsidRPr="002433DF">
        <w:rPr>
          <w:rFonts w:cs="David" w:hint="eastAsia"/>
          <w:rtl/>
        </w:rPr>
        <w:t>לכישלון</w:t>
      </w:r>
      <w:r w:rsidR="00A31BF2">
        <w:rPr>
          <w:rFonts w:cs="David" w:hint="cs"/>
          <w:rtl/>
        </w:rPr>
        <w:t>.</w:t>
      </w:r>
    </w:p>
    <w:p w:rsidR="00801BAC" w:rsidRPr="00C901B5" w:rsidRDefault="00801BAC" w:rsidP="00C901B5">
      <w:pPr>
        <w:pStyle w:val="2"/>
        <w:numPr>
          <w:ilvl w:val="0"/>
          <w:numId w:val="2"/>
        </w:numPr>
        <w:tabs>
          <w:tab w:val="clear" w:pos="566"/>
          <w:tab w:val="left" w:pos="656"/>
        </w:tabs>
        <w:spacing w:after="120"/>
        <w:ind w:left="656" w:hanging="486"/>
        <w:rPr>
          <w:sz w:val="28"/>
          <w:lang w:eastAsia="en-US"/>
        </w:rPr>
      </w:pPr>
      <w:r w:rsidRPr="00C901B5">
        <w:rPr>
          <w:rFonts w:hint="cs"/>
          <w:sz w:val="28"/>
          <w:rtl/>
          <w:lang w:eastAsia="en-US"/>
        </w:rPr>
        <w:t>מבוא ואקדמת מילין</w:t>
      </w:r>
    </w:p>
    <w:p w:rsidR="00A31BF2" w:rsidRPr="00815972" w:rsidRDefault="00E82F3E" w:rsidP="00815972">
      <w:pPr>
        <w:numPr>
          <w:ilvl w:val="0"/>
          <w:numId w:val="1"/>
        </w:numPr>
        <w:tabs>
          <w:tab w:val="left" w:pos="566"/>
        </w:tabs>
        <w:spacing w:after="240" w:line="360" w:lineRule="auto"/>
        <w:ind w:left="566" w:hanging="540"/>
        <w:jc w:val="both"/>
        <w:rPr>
          <w:rFonts w:cs="David"/>
          <w:rtl/>
        </w:rPr>
      </w:pPr>
      <w:r w:rsidRPr="00815972">
        <w:rPr>
          <w:rFonts w:cs="David" w:hint="cs"/>
          <w:rtl/>
        </w:rPr>
        <w:t xml:space="preserve">מדינת ישראל החתימה את המשיב על חוזה בכירים לתקופה קצובה, חוזה שתוקפו התחדש מעת לעת, והאחרון בהם היה אמור להסתיים </w:t>
      </w:r>
      <w:r w:rsidR="00CE1644" w:rsidRPr="00815972">
        <w:rPr>
          <w:rFonts w:cs="David" w:hint="cs"/>
          <w:rtl/>
        </w:rPr>
        <w:t>ביום 31.3.2014</w:t>
      </w:r>
      <w:r w:rsidRPr="00815972">
        <w:rPr>
          <w:rFonts w:cs="David" w:hint="cs"/>
          <w:rtl/>
        </w:rPr>
        <w:t xml:space="preserve">. </w:t>
      </w:r>
      <w:r w:rsidR="00CE1644" w:rsidRPr="00815972">
        <w:rPr>
          <w:rFonts w:cs="David" w:hint="cs"/>
          <w:rtl/>
        </w:rPr>
        <w:t>למרות זאת, בניגוד להוראות החוזה, נדרש המשיב לעזוב</w:t>
      </w:r>
      <w:r w:rsidR="00D81112" w:rsidRPr="00815972">
        <w:rPr>
          <w:rFonts w:cs="David" w:hint="cs"/>
          <w:rtl/>
        </w:rPr>
        <w:t xml:space="preserve"> בפועל</w:t>
      </w:r>
      <w:r w:rsidR="00CE1644" w:rsidRPr="00815972">
        <w:rPr>
          <w:rFonts w:cs="David" w:hint="cs"/>
          <w:rtl/>
        </w:rPr>
        <w:t xml:space="preserve"> את עבודתו בחודש אוגוסט 2012. </w:t>
      </w:r>
      <w:r w:rsidR="00A31BF2">
        <w:rPr>
          <w:rFonts w:cs="David" w:hint="cs"/>
          <w:rtl/>
        </w:rPr>
        <w:t xml:space="preserve">כאמור </w:t>
      </w:r>
      <w:r w:rsidR="00CE1644" w:rsidRPr="00815972">
        <w:rPr>
          <w:rFonts w:cs="David" w:hint="cs"/>
          <w:rtl/>
        </w:rPr>
        <w:t xml:space="preserve">בכתב התביעה, המשיב לא עבד בפועל אך </w:t>
      </w:r>
      <w:r w:rsidR="00E519EC" w:rsidRPr="00815972">
        <w:rPr>
          <w:rFonts w:cs="David" w:hint="cs"/>
          <w:rtl/>
        </w:rPr>
        <w:t>גם</w:t>
      </w:r>
      <w:r w:rsidR="00CE1644" w:rsidRPr="00815972">
        <w:rPr>
          <w:rFonts w:cs="David" w:hint="cs"/>
          <w:rtl/>
        </w:rPr>
        <w:t xml:space="preserve"> לא הוצא לגמלאות</w:t>
      </w:r>
      <w:r w:rsidR="00932D99" w:rsidRPr="00815972">
        <w:rPr>
          <w:rFonts w:cs="David" w:hint="cs"/>
          <w:rtl/>
        </w:rPr>
        <w:t>, שכן לא ניתנה החלטה בעניין הגמלה לה הוא זכאי</w:t>
      </w:r>
      <w:r w:rsidR="00D81112" w:rsidRPr="00815972">
        <w:rPr>
          <w:rFonts w:cs="David" w:hint="cs"/>
          <w:rtl/>
        </w:rPr>
        <w:t xml:space="preserve">, </w:t>
      </w:r>
      <w:r w:rsidR="00A31BF2" w:rsidRPr="00815972">
        <w:rPr>
          <w:rFonts w:cs="David" w:hint="cs"/>
          <w:rtl/>
        </w:rPr>
        <w:t xml:space="preserve">וממילא לא שולמה לו גמלה. </w:t>
      </w:r>
      <w:r w:rsidR="00D81112" w:rsidRPr="00815972">
        <w:rPr>
          <w:rFonts w:cs="David" w:hint="cs"/>
          <w:rtl/>
        </w:rPr>
        <w:t xml:space="preserve">בכך </w:t>
      </w:r>
      <w:r w:rsidR="00D81112" w:rsidRPr="00815972">
        <w:rPr>
          <w:rFonts w:cs="David" w:hint="cs"/>
          <w:b/>
          <w:bCs/>
          <w:rtl/>
        </w:rPr>
        <w:t>יצרו המבקשות מצב משפטי בו המשיב לא הופרש בפועל לגמלאות</w:t>
      </w:r>
      <w:r w:rsidR="00A31BF2" w:rsidRPr="00815972">
        <w:rPr>
          <w:rFonts w:cs="David" w:hint="cs"/>
          <w:b/>
          <w:bCs/>
          <w:rtl/>
        </w:rPr>
        <w:t>, בהיעדר החלטה על גמלה או תשלום בפועל</w:t>
      </w:r>
      <w:r w:rsidR="00CE1644" w:rsidRPr="00815972">
        <w:rPr>
          <w:rFonts w:cs="David" w:hint="cs"/>
          <w:rtl/>
        </w:rPr>
        <w:t xml:space="preserve">. </w:t>
      </w:r>
    </w:p>
    <w:p w:rsidR="00E82F3E" w:rsidRPr="00E519EC" w:rsidRDefault="00CE1644" w:rsidP="00815972">
      <w:pPr>
        <w:tabs>
          <w:tab w:val="left" w:pos="566"/>
        </w:tabs>
        <w:spacing w:after="240" w:line="360" w:lineRule="auto"/>
        <w:ind w:left="566"/>
        <w:jc w:val="both"/>
        <w:rPr>
          <w:rFonts w:cs="David"/>
        </w:rPr>
      </w:pPr>
      <w:r w:rsidRPr="00815972">
        <w:rPr>
          <w:rFonts w:cs="David" w:hint="cs"/>
          <w:b/>
          <w:bCs/>
          <w:rtl/>
        </w:rPr>
        <w:t>רק בחודש דצמבר 2012 קיבל המשיב את החלטת הממונה על הגימלאות</w:t>
      </w:r>
      <w:r w:rsidR="00932D99" w:rsidRPr="00815972">
        <w:rPr>
          <w:rFonts w:cs="David" w:hint="cs"/>
          <w:b/>
          <w:bCs/>
          <w:rtl/>
        </w:rPr>
        <w:t>,</w:t>
      </w:r>
      <w:r w:rsidRPr="00815972">
        <w:rPr>
          <w:rFonts w:cs="David" w:hint="cs"/>
          <w:b/>
          <w:bCs/>
          <w:rtl/>
        </w:rPr>
        <w:t xml:space="preserve"> ו</w:t>
      </w:r>
      <w:r w:rsidR="00A31BF2">
        <w:rPr>
          <w:rFonts w:cs="David" w:hint="cs"/>
          <w:b/>
          <w:bCs/>
          <w:rtl/>
        </w:rPr>
        <w:t xml:space="preserve">רק </w:t>
      </w:r>
      <w:r w:rsidRPr="00815972">
        <w:rPr>
          <w:rFonts w:cs="David" w:hint="cs"/>
          <w:b/>
          <w:bCs/>
          <w:rtl/>
        </w:rPr>
        <w:t>בחודש ינואר 2013 נודע לא לראשונה על גובה הגמלה המשולמת לו</w:t>
      </w:r>
      <w:r w:rsidRPr="00E519EC">
        <w:rPr>
          <w:rFonts w:cs="David" w:hint="cs"/>
          <w:rtl/>
        </w:rPr>
        <w:t>.</w:t>
      </w:r>
    </w:p>
    <w:p w:rsidR="00E82F3E" w:rsidRDefault="00CE1644" w:rsidP="00815972">
      <w:pPr>
        <w:numPr>
          <w:ilvl w:val="0"/>
          <w:numId w:val="1"/>
        </w:numPr>
        <w:tabs>
          <w:tab w:val="left" w:pos="566"/>
        </w:tabs>
        <w:spacing w:after="240" w:line="360" w:lineRule="auto"/>
        <w:ind w:left="566" w:hanging="540"/>
        <w:jc w:val="both"/>
        <w:rPr>
          <w:rFonts w:cs="David"/>
        </w:rPr>
      </w:pPr>
      <w:r>
        <w:rPr>
          <w:rFonts w:cs="David" w:hint="cs"/>
          <w:rtl/>
        </w:rPr>
        <w:t xml:space="preserve">המשיב לא חסך במאמץ להימנע </w:t>
      </w:r>
      <w:r w:rsidR="00A31BF2">
        <w:rPr>
          <w:rFonts w:cs="David" w:hint="cs"/>
          <w:rtl/>
        </w:rPr>
        <w:t>מהגשת תביעה</w:t>
      </w:r>
      <w:r>
        <w:rPr>
          <w:rFonts w:cs="David" w:hint="cs"/>
          <w:rtl/>
        </w:rPr>
        <w:t xml:space="preserve">, ופנה לכל הגורמים הרלבנטיים בניסיון לשנות את </w:t>
      </w:r>
      <w:r w:rsidR="00A31BF2">
        <w:rPr>
          <w:rFonts w:cs="David" w:hint="cs"/>
          <w:rtl/>
        </w:rPr>
        <w:t>ההחלטות בעניינו</w:t>
      </w:r>
      <w:r>
        <w:rPr>
          <w:rFonts w:cs="David" w:hint="cs"/>
          <w:rtl/>
        </w:rPr>
        <w:t xml:space="preserve">. </w:t>
      </w:r>
      <w:r w:rsidR="00D81112">
        <w:rPr>
          <w:rFonts w:cs="David" w:hint="cs"/>
          <w:b/>
          <w:bCs/>
          <w:rtl/>
        </w:rPr>
        <w:t>במשך</w:t>
      </w:r>
      <w:r w:rsidR="00D81112" w:rsidRPr="00CE1644">
        <w:rPr>
          <w:rFonts w:cs="David" w:hint="cs"/>
          <w:b/>
          <w:bCs/>
          <w:rtl/>
        </w:rPr>
        <w:t xml:space="preserve"> </w:t>
      </w:r>
      <w:r w:rsidR="00E82F3E" w:rsidRPr="00CE1644">
        <w:rPr>
          <w:rFonts w:cs="David" w:hint="cs"/>
          <w:b/>
          <w:bCs/>
          <w:rtl/>
        </w:rPr>
        <w:t xml:space="preserve">מספר שנים השתהו </w:t>
      </w:r>
      <w:r w:rsidR="00D81112">
        <w:rPr>
          <w:rFonts w:cs="David" w:hint="cs"/>
          <w:b/>
          <w:bCs/>
          <w:rtl/>
        </w:rPr>
        <w:t xml:space="preserve">המבקשות, או מי מהן, </w:t>
      </w:r>
      <w:r w:rsidR="00E82F3E" w:rsidRPr="00CE1644">
        <w:rPr>
          <w:rFonts w:cs="David" w:hint="cs"/>
          <w:b/>
          <w:bCs/>
          <w:rtl/>
        </w:rPr>
        <w:t xml:space="preserve">במתן תשובות לפניותיו, </w:t>
      </w:r>
      <w:r w:rsidR="00D81112">
        <w:rPr>
          <w:rFonts w:cs="David" w:hint="cs"/>
          <w:b/>
          <w:bCs/>
          <w:rtl/>
        </w:rPr>
        <w:t>ו</w:t>
      </w:r>
      <w:r w:rsidR="00E82F3E" w:rsidRPr="00CE1644">
        <w:rPr>
          <w:rFonts w:cs="David" w:hint="cs"/>
          <w:b/>
          <w:bCs/>
          <w:rtl/>
        </w:rPr>
        <w:t>נמנעו מהתייחסות עניינית לבקשותיו</w:t>
      </w:r>
      <w:r w:rsidR="00D81112">
        <w:rPr>
          <w:rFonts w:cs="David" w:hint="cs"/>
          <w:b/>
          <w:bCs/>
          <w:rtl/>
        </w:rPr>
        <w:t>.</w:t>
      </w:r>
      <w:r w:rsidR="00E82F3E" w:rsidRPr="00CE1644">
        <w:rPr>
          <w:rFonts w:cs="David" w:hint="cs"/>
          <w:b/>
          <w:bCs/>
          <w:rtl/>
        </w:rPr>
        <w:t xml:space="preserve"> לבסוף, </w:t>
      </w:r>
      <w:r w:rsidR="00D81112">
        <w:rPr>
          <w:rFonts w:cs="David" w:hint="cs"/>
          <w:b/>
          <w:bCs/>
          <w:rtl/>
        </w:rPr>
        <w:t xml:space="preserve">רק </w:t>
      </w:r>
      <w:r w:rsidR="00E82F3E" w:rsidRPr="00CE1644">
        <w:rPr>
          <w:rFonts w:cs="David" w:hint="cs"/>
          <w:b/>
          <w:bCs/>
          <w:rtl/>
        </w:rPr>
        <w:t xml:space="preserve">בחודש יוני 2018, </w:t>
      </w:r>
      <w:r w:rsidR="00D81112">
        <w:rPr>
          <w:rFonts w:cs="David" w:hint="cs"/>
          <w:b/>
          <w:bCs/>
          <w:rtl/>
        </w:rPr>
        <w:t xml:space="preserve">קיבל המשיב תשובה סופית </w:t>
      </w:r>
      <w:r w:rsidR="00A31BF2">
        <w:rPr>
          <w:rFonts w:cs="David" w:hint="cs"/>
          <w:b/>
          <w:bCs/>
          <w:rtl/>
        </w:rPr>
        <w:t>ביחס ל</w:t>
      </w:r>
      <w:r w:rsidR="00D81112">
        <w:rPr>
          <w:rFonts w:cs="David" w:hint="cs"/>
          <w:b/>
          <w:bCs/>
          <w:rtl/>
        </w:rPr>
        <w:t>תלונה שהגיש,</w:t>
      </w:r>
      <w:r w:rsidR="00E82F3E" w:rsidRPr="00CE1644">
        <w:rPr>
          <w:rFonts w:cs="David" w:hint="cs"/>
          <w:b/>
          <w:bCs/>
          <w:rtl/>
        </w:rPr>
        <w:t xml:space="preserve"> </w:t>
      </w:r>
      <w:r w:rsidR="00A31BF2">
        <w:rPr>
          <w:rFonts w:cs="David" w:hint="cs"/>
          <w:b/>
          <w:bCs/>
          <w:rtl/>
        </w:rPr>
        <w:t xml:space="preserve">תשובה </w:t>
      </w:r>
      <w:r w:rsidR="00D81112">
        <w:rPr>
          <w:rFonts w:cs="David" w:hint="cs"/>
          <w:b/>
          <w:bCs/>
          <w:rtl/>
        </w:rPr>
        <w:t xml:space="preserve">שנחתמה </w:t>
      </w:r>
      <w:r w:rsidR="00E82F3E" w:rsidRPr="00D81112">
        <w:rPr>
          <w:rFonts w:cs="David" w:hint="cs"/>
          <w:b/>
          <w:bCs/>
          <w:rtl/>
        </w:rPr>
        <w:t>בהתנצלות של נציב תלונות הציבור על העיכוב הממושך בטיפול בפנייתו של המשיב</w:t>
      </w:r>
      <w:r w:rsidR="00E82F3E">
        <w:rPr>
          <w:rFonts w:cs="David" w:hint="cs"/>
          <w:rtl/>
        </w:rPr>
        <w:t>.</w:t>
      </w:r>
    </w:p>
    <w:p w:rsidR="00E82F3E" w:rsidRPr="00815972" w:rsidRDefault="00A31BF2" w:rsidP="00815972">
      <w:pPr>
        <w:numPr>
          <w:ilvl w:val="0"/>
          <w:numId w:val="1"/>
        </w:numPr>
        <w:tabs>
          <w:tab w:val="left" w:pos="566"/>
        </w:tabs>
        <w:spacing w:after="240" w:line="360" w:lineRule="auto"/>
        <w:ind w:left="566" w:hanging="540"/>
        <w:jc w:val="both"/>
        <w:rPr>
          <w:rFonts w:cs="David"/>
        </w:rPr>
      </w:pPr>
      <w:r w:rsidRPr="00815972">
        <w:rPr>
          <w:rFonts w:cs="David" w:hint="cs"/>
          <w:rtl/>
        </w:rPr>
        <w:lastRenderedPageBreak/>
        <w:t xml:space="preserve">כעת, </w:t>
      </w:r>
      <w:r w:rsidR="00E82F3E" w:rsidRPr="00815972">
        <w:rPr>
          <w:rFonts w:cs="David" w:hint="cs"/>
          <w:rtl/>
        </w:rPr>
        <w:t>אותה מדינה, שהשתהתה והתעכבה בטיפול בפניותיו</w:t>
      </w:r>
      <w:r w:rsidR="00CE1644" w:rsidRPr="00815972">
        <w:rPr>
          <w:rFonts w:cs="David" w:hint="cs"/>
          <w:rtl/>
        </w:rPr>
        <w:t xml:space="preserve"> של המשיב</w:t>
      </w:r>
      <w:r w:rsidR="00D81112" w:rsidRPr="00815972">
        <w:rPr>
          <w:rFonts w:cs="David" w:hint="cs"/>
          <w:rtl/>
        </w:rPr>
        <w:t>,</w:t>
      </w:r>
      <w:r w:rsidR="00CE1644" w:rsidRPr="00815972">
        <w:rPr>
          <w:rFonts w:cs="David" w:hint="cs"/>
          <w:rtl/>
        </w:rPr>
        <w:t xml:space="preserve"> מבקשת עתה, בעזות מצח ממש, למנוע מהמשיב את יומו בבית הדין, בתואנות וטענות של שיהוי, איחור </w:t>
      </w:r>
      <w:r w:rsidR="00932D99" w:rsidRPr="00815972">
        <w:rPr>
          <w:rFonts w:cs="David" w:hint="cs"/>
          <w:rtl/>
        </w:rPr>
        <w:t xml:space="preserve">בהגשה, </w:t>
      </w:r>
      <w:r w:rsidR="00CE1644" w:rsidRPr="00815972">
        <w:rPr>
          <w:rFonts w:cs="David" w:hint="cs"/>
          <w:rtl/>
        </w:rPr>
        <w:t>והתיישנות.</w:t>
      </w:r>
    </w:p>
    <w:p w:rsidR="00E82F3E" w:rsidRPr="00CE1644" w:rsidRDefault="00CE1644" w:rsidP="00057EF8">
      <w:pPr>
        <w:numPr>
          <w:ilvl w:val="0"/>
          <w:numId w:val="1"/>
        </w:numPr>
        <w:tabs>
          <w:tab w:val="left" w:pos="566"/>
        </w:tabs>
        <w:spacing w:after="240" w:line="360" w:lineRule="auto"/>
        <w:ind w:left="566" w:hanging="540"/>
        <w:jc w:val="both"/>
        <w:rPr>
          <w:rFonts w:cs="David"/>
        </w:rPr>
      </w:pPr>
      <w:r w:rsidRPr="00CE1644">
        <w:rPr>
          <w:rFonts w:cs="David" w:hint="cs"/>
          <w:rtl/>
        </w:rPr>
        <w:t>כפי שנסביר להלן, לתואנות וטענות אלה אין בסיס משפטי, חוקי או מוסרי:</w:t>
      </w:r>
    </w:p>
    <w:p w:rsidR="00CE1644" w:rsidRDefault="00CE1644" w:rsidP="00057EF8">
      <w:pPr>
        <w:pStyle w:val="af0"/>
        <w:numPr>
          <w:ilvl w:val="0"/>
          <w:numId w:val="4"/>
        </w:numPr>
        <w:tabs>
          <w:tab w:val="left" w:pos="566"/>
        </w:tabs>
        <w:spacing w:after="240" w:line="360" w:lineRule="auto"/>
        <w:contextualSpacing w:val="0"/>
        <w:jc w:val="both"/>
        <w:rPr>
          <w:rFonts w:cs="David"/>
          <w:sz w:val="24"/>
          <w:szCs w:val="24"/>
        </w:rPr>
      </w:pPr>
      <w:r w:rsidRPr="00CE1644">
        <w:rPr>
          <w:rFonts w:cs="David" w:hint="cs"/>
          <w:sz w:val="24"/>
          <w:szCs w:val="24"/>
          <w:rtl/>
        </w:rPr>
        <w:t>המשיב לא השתהה בהגשת תביעת</w:t>
      </w:r>
      <w:r>
        <w:rPr>
          <w:rFonts w:cs="David" w:hint="cs"/>
          <w:sz w:val="24"/>
          <w:szCs w:val="24"/>
          <w:rtl/>
        </w:rPr>
        <w:t xml:space="preserve">ו, אלא </w:t>
      </w:r>
      <w:r w:rsidRPr="00C107E9">
        <w:rPr>
          <w:rFonts w:cs="David" w:hint="cs"/>
          <w:b/>
          <w:bCs/>
          <w:sz w:val="24"/>
          <w:szCs w:val="24"/>
          <w:rtl/>
        </w:rPr>
        <w:t>ניסה</w:t>
      </w:r>
      <w:r w:rsidR="00C107E9" w:rsidRPr="00C107E9">
        <w:rPr>
          <w:rFonts w:cs="David" w:hint="cs"/>
          <w:b/>
          <w:bCs/>
          <w:sz w:val="24"/>
          <w:szCs w:val="24"/>
          <w:rtl/>
        </w:rPr>
        <w:t xml:space="preserve"> ללא ליאות</w:t>
      </w:r>
      <w:r w:rsidRPr="00C107E9">
        <w:rPr>
          <w:rFonts w:cs="David" w:hint="cs"/>
          <w:b/>
          <w:bCs/>
          <w:sz w:val="24"/>
          <w:szCs w:val="24"/>
          <w:rtl/>
        </w:rPr>
        <w:t xml:space="preserve"> למצות את האפשרות להגיע להסכמה מחוץ לכתלי בית הדין הנכבד</w:t>
      </w:r>
      <w:r>
        <w:rPr>
          <w:rFonts w:cs="David" w:hint="cs"/>
          <w:sz w:val="24"/>
          <w:szCs w:val="24"/>
          <w:rtl/>
        </w:rPr>
        <w:t>, וזאת לאחר 42 שנות עבודה בשירות המדינה</w:t>
      </w:r>
      <w:r w:rsidR="00C107E9">
        <w:rPr>
          <w:rFonts w:cs="David" w:hint="cs"/>
          <w:sz w:val="24"/>
          <w:szCs w:val="24"/>
          <w:rtl/>
        </w:rPr>
        <w:t xml:space="preserve"> ומתוך אמונה שנכזבה כי לא יידרש לפנות לערכאות</w:t>
      </w:r>
      <w:r>
        <w:rPr>
          <w:rFonts w:cs="David" w:hint="cs"/>
          <w:sz w:val="24"/>
          <w:szCs w:val="24"/>
          <w:rtl/>
        </w:rPr>
        <w:t xml:space="preserve">; </w:t>
      </w:r>
    </w:p>
    <w:p w:rsidR="00B0549A" w:rsidRPr="00B0549A" w:rsidRDefault="00C107E9" w:rsidP="00057EF8">
      <w:pPr>
        <w:pStyle w:val="af0"/>
        <w:numPr>
          <w:ilvl w:val="0"/>
          <w:numId w:val="4"/>
        </w:numPr>
        <w:tabs>
          <w:tab w:val="left" w:pos="566"/>
        </w:tabs>
        <w:spacing w:after="240" w:line="360" w:lineRule="auto"/>
        <w:contextualSpacing w:val="0"/>
        <w:jc w:val="both"/>
        <w:rPr>
          <w:rFonts w:cs="David"/>
          <w:sz w:val="24"/>
          <w:szCs w:val="24"/>
          <w:rtl/>
        </w:rPr>
      </w:pPr>
      <w:r w:rsidRPr="00B0549A">
        <w:rPr>
          <w:rFonts w:cs="David" w:hint="cs"/>
          <w:sz w:val="24"/>
          <w:szCs w:val="24"/>
          <w:rtl/>
        </w:rPr>
        <w:t xml:space="preserve">חוזה הבכירים שניסחה המדינה, ועליו חתם המשיב, קובע במפורש </w:t>
      </w:r>
      <w:r w:rsidRPr="00B0549A">
        <w:rPr>
          <w:rFonts w:cs="David" w:hint="cs"/>
          <w:b/>
          <w:bCs/>
          <w:sz w:val="24"/>
          <w:szCs w:val="24"/>
          <w:rtl/>
        </w:rPr>
        <w:t>שחוק הגימלאות לא יחול על העסקתו של המשיב, כולל התקופה בה הועסק בכתב מינוי, אלא במידה שנקבעה בחוזה</w:t>
      </w:r>
      <w:r w:rsidR="00B0549A" w:rsidRPr="00B0549A">
        <w:rPr>
          <w:rFonts w:cs="David" w:hint="cs"/>
          <w:b/>
          <w:bCs/>
          <w:sz w:val="24"/>
          <w:szCs w:val="24"/>
          <w:rtl/>
        </w:rPr>
        <w:t xml:space="preserve">. </w:t>
      </w:r>
      <w:r w:rsidR="00B0549A" w:rsidRPr="00B0549A">
        <w:rPr>
          <w:rFonts w:cs="David" w:hint="cs"/>
          <w:sz w:val="24"/>
          <w:szCs w:val="24"/>
          <w:rtl/>
        </w:rPr>
        <w:t xml:space="preserve">דומה כי נשכח מהמבקשות כי חוזה הבכירים קובע, בין היתר, כי מדובר בחוזה יחידי לפי סעיף 107(א)(2) </w:t>
      </w:r>
      <w:r w:rsidR="00B0549A" w:rsidRPr="00932D99">
        <w:rPr>
          <w:rFonts w:cs="David" w:hint="cs"/>
          <w:sz w:val="24"/>
          <w:szCs w:val="24"/>
          <w:rtl/>
        </w:rPr>
        <w:t xml:space="preserve">לחוק </w:t>
      </w:r>
      <w:r w:rsidR="00932D99" w:rsidRPr="00932D99">
        <w:rPr>
          <w:rFonts w:cs="David" w:hint="cs"/>
          <w:sz w:val="24"/>
          <w:szCs w:val="24"/>
          <w:rtl/>
        </w:rPr>
        <w:t xml:space="preserve">שירות המדינה (גימלאות) [נוסח משולב], התש"ל </w:t>
      </w:r>
      <w:r w:rsidR="00932D99" w:rsidRPr="00932D99">
        <w:rPr>
          <w:rFonts w:cs="David"/>
          <w:sz w:val="24"/>
          <w:szCs w:val="24"/>
          <w:rtl/>
        </w:rPr>
        <w:t>–</w:t>
      </w:r>
      <w:r w:rsidR="00932D99" w:rsidRPr="00932D99">
        <w:rPr>
          <w:rFonts w:cs="David" w:hint="cs"/>
          <w:sz w:val="24"/>
          <w:szCs w:val="24"/>
          <w:rtl/>
        </w:rPr>
        <w:t xml:space="preserve"> 1970,</w:t>
      </w:r>
      <w:r w:rsidR="00B0549A" w:rsidRPr="00B0549A">
        <w:rPr>
          <w:rFonts w:cs="David" w:hint="cs"/>
          <w:sz w:val="24"/>
          <w:szCs w:val="24"/>
          <w:rtl/>
        </w:rPr>
        <w:t xml:space="preserve"> הקובע כי הוראות </w:t>
      </w:r>
      <w:r w:rsidR="00932D99">
        <w:rPr>
          <w:rFonts w:cs="David" w:hint="cs"/>
          <w:sz w:val="24"/>
          <w:szCs w:val="24"/>
          <w:rtl/>
        </w:rPr>
        <w:t>ה</w:t>
      </w:r>
      <w:r w:rsidR="00B0549A" w:rsidRPr="00B0549A">
        <w:rPr>
          <w:rFonts w:cs="David" w:hint="cs"/>
          <w:sz w:val="24"/>
          <w:szCs w:val="24"/>
          <w:rtl/>
        </w:rPr>
        <w:t xml:space="preserve">חוק לא יחולו </w:t>
      </w:r>
      <w:r w:rsidR="00B0549A" w:rsidRPr="00B0549A">
        <w:rPr>
          <w:rFonts w:cs="David"/>
          <w:sz w:val="24"/>
          <w:szCs w:val="24"/>
          <w:rtl/>
        </w:rPr>
        <w:t>–</w:t>
      </w:r>
      <w:r w:rsidR="00B0549A" w:rsidRPr="00B0549A">
        <w:rPr>
          <w:rFonts w:cs="David" w:hint="cs"/>
          <w:sz w:val="24"/>
          <w:szCs w:val="24"/>
          <w:rtl/>
        </w:rPr>
        <w:t xml:space="preserve"> "</w:t>
      </w:r>
      <w:r w:rsidR="00B0549A" w:rsidRPr="00B0549A">
        <w:rPr>
          <w:rFonts w:cs="David" w:hint="cs"/>
          <w:b/>
          <w:bCs/>
          <w:i/>
          <w:iCs/>
          <w:sz w:val="24"/>
          <w:szCs w:val="24"/>
          <w:u w:val="single"/>
          <w:rtl/>
        </w:rPr>
        <w:t>על עובד המדינה המועסק כדין על פי חוזה יחידי, אם כך נקבע באותו חוזה ובמידה שנקבע</w:t>
      </w:r>
      <w:r w:rsidR="00B0549A" w:rsidRPr="00B0549A">
        <w:rPr>
          <w:rFonts w:cs="David" w:hint="cs"/>
          <w:sz w:val="24"/>
          <w:szCs w:val="24"/>
          <w:rtl/>
        </w:rPr>
        <w:t>;".</w:t>
      </w:r>
      <w:r w:rsidR="00932D99">
        <w:rPr>
          <w:rFonts w:cs="David" w:hint="cs"/>
          <w:sz w:val="24"/>
          <w:szCs w:val="24"/>
          <w:rtl/>
        </w:rPr>
        <w:t xml:space="preserve"> </w:t>
      </w:r>
    </w:p>
    <w:p w:rsidR="00C107E9" w:rsidRDefault="00C107E9" w:rsidP="00B0549A">
      <w:pPr>
        <w:pStyle w:val="af0"/>
        <w:tabs>
          <w:tab w:val="left" w:pos="566"/>
        </w:tabs>
        <w:spacing w:after="240" w:line="360" w:lineRule="auto"/>
        <w:ind w:left="926"/>
        <w:contextualSpacing w:val="0"/>
        <w:jc w:val="both"/>
        <w:rPr>
          <w:rFonts w:cs="David"/>
          <w:sz w:val="24"/>
          <w:szCs w:val="24"/>
        </w:rPr>
      </w:pPr>
      <w:r>
        <w:rPr>
          <w:rFonts w:cs="David" w:hint="cs"/>
          <w:sz w:val="24"/>
          <w:szCs w:val="24"/>
          <w:rtl/>
        </w:rPr>
        <w:t xml:space="preserve">ודוק </w:t>
      </w:r>
      <w:r>
        <w:rPr>
          <w:rFonts w:cs="David"/>
          <w:sz w:val="24"/>
          <w:szCs w:val="24"/>
          <w:rtl/>
        </w:rPr>
        <w:t>–</w:t>
      </w:r>
      <w:r>
        <w:rPr>
          <w:rFonts w:cs="David" w:hint="cs"/>
          <w:sz w:val="24"/>
          <w:szCs w:val="24"/>
          <w:rtl/>
        </w:rPr>
        <w:t xml:space="preserve"> </w:t>
      </w:r>
      <w:r w:rsidRPr="00932D99">
        <w:rPr>
          <w:rFonts w:cs="David" w:hint="cs"/>
          <w:b/>
          <w:bCs/>
          <w:sz w:val="24"/>
          <w:szCs w:val="24"/>
          <w:rtl/>
        </w:rPr>
        <w:t>החוזה אינו מחיל את מועדי הגשת הערעור על המשיב</w:t>
      </w:r>
      <w:r w:rsidR="00B0549A" w:rsidRPr="00932D99">
        <w:rPr>
          <w:rFonts w:cs="David" w:hint="cs"/>
          <w:b/>
          <w:bCs/>
          <w:sz w:val="24"/>
          <w:szCs w:val="24"/>
          <w:rtl/>
        </w:rPr>
        <w:t>, והמבקשות לא הצביעו על סעיף בחוזה הקובע אחרת</w:t>
      </w:r>
      <w:r w:rsidR="00B0549A">
        <w:rPr>
          <w:rFonts w:cs="David" w:hint="cs"/>
          <w:sz w:val="24"/>
          <w:szCs w:val="24"/>
          <w:rtl/>
        </w:rPr>
        <w:t xml:space="preserve"> (ולו מאחר שאין סעיף כאמור)</w:t>
      </w:r>
      <w:r>
        <w:rPr>
          <w:rFonts w:cs="David" w:hint="cs"/>
          <w:sz w:val="24"/>
          <w:szCs w:val="24"/>
          <w:rtl/>
        </w:rPr>
        <w:t xml:space="preserve">; </w:t>
      </w:r>
    </w:p>
    <w:p w:rsidR="00C107E9" w:rsidRPr="00C107E9" w:rsidRDefault="00B0549A" w:rsidP="00057EF8">
      <w:pPr>
        <w:pStyle w:val="af0"/>
        <w:numPr>
          <w:ilvl w:val="0"/>
          <w:numId w:val="4"/>
        </w:numPr>
        <w:tabs>
          <w:tab w:val="left" w:pos="566"/>
        </w:tabs>
        <w:spacing w:after="240" w:line="360" w:lineRule="auto"/>
        <w:contextualSpacing w:val="0"/>
        <w:jc w:val="both"/>
        <w:rPr>
          <w:rFonts w:cs="David"/>
          <w:sz w:val="24"/>
          <w:szCs w:val="24"/>
        </w:rPr>
      </w:pPr>
      <w:r>
        <w:rPr>
          <w:rFonts w:cs="David" w:hint="cs"/>
          <w:sz w:val="24"/>
          <w:szCs w:val="24"/>
          <w:rtl/>
        </w:rPr>
        <w:t xml:space="preserve">בוודאי שלא חלה התיישנות על תביעתו של המשיב, </w:t>
      </w:r>
      <w:r w:rsidRPr="00B0549A">
        <w:rPr>
          <w:rFonts w:cs="David" w:hint="cs"/>
          <w:b/>
          <w:bCs/>
          <w:sz w:val="24"/>
          <w:szCs w:val="24"/>
          <w:rtl/>
        </w:rPr>
        <w:t>שקיבל לראשונה את ההחלטה בעניין הגמלה בחודש דצמבר 2012, שעה שתביעתו הוגשה בחודש אוקטובר 2019</w:t>
      </w:r>
      <w:r>
        <w:rPr>
          <w:rFonts w:cs="David" w:hint="cs"/>
          <w:sz w:val="24"/>
          <w:szCs w:val="24"/>
          <w:rtl/>
        </w:rPr>
        <w:t xml:space="preserve"> (פחות משבע שנים לאחר קבלת ההחלטה).</w:t>
      </w:r>
    </w:p>
    <w:p w:rsidR="00E82F3E" w:rsidRDefault="00B0549A" w:rsidP="00057EF8">
      <w:pPr>
        <w:numPr>
          <w:ilvl w:val="0"/>
          <w:numId w:val="1"/>
        </w:numPr>
        <w:tabs>
          <w:tab w:val="left" w:pos="566"/>
        </w:tabs>
        <w:spacing w:after="240" w:line="360" w:lineRule="auto"/>
        <w:ind w:left="566" w:hanging="540"/>
        <w:jc w:val="both"/>
        <w:rPr>
          <w:rFonts w:cs="David"/>
        </w:rPr>
      </w:pPr>
      <w:r>
        <w:rPr>
          <w:rFonts w:cs="David" w:hint="cs"/>
          <w:rtl/>
        </w:rPr>
        <w:t>מעבר לכך שאין לבקשה שבכותרת כל בסיס</w:t>
      </w:r>
      <w:r w:rsidR="00A31BF2">
        <w:rPr>
          <w:rFonts w:cs="David" w:hint="cs"/>
          <w:rtl/>
        </w:rPr>
        <w:t xml:space="preserve"> </w:t>
      </w:r>
      <w:r w:rsidR="00A31BF2">
        <w:rPr>
          <w:rFonts w:cs="David"/>
          <w:rtl/>
        </w:rPr>
        <w:t>–</w:t>
      </w:r>
      <w:r w:rsidR="00A31BF2">
        <w:rPr>
          <w:rFonts w:cs="David" w:hint="cs"/>
          <w:rtl/>
        </w:rPr>
        <w:t xml:space="preserve"> ועל כן יש לדחותה</w:t>
      </w:r>
      <w:r>
        <w:rPr>
          <w:rFonts w:cs="David" w:hint="cs"/>
          <w:rtl/>
        </w:rPr>
        <w:t xml:space="preserve">, הרי שלמרבה הצער היא מהווה </w:t>
      </w:r>
      <w:r w:rsidRPr="00815972">
        <w:rPr>
          <w:rFonts w:cs="David" w:hint="cs"/>
          <w:b/>
          <w:bCs/>
          <w:rtl/>
        </w:rPr>
        <w:t>המשך ישיר להתנהלות המדינה בעניינו של המשיב: החל מהפרת חוזה העבודה לתקופה קצובה; המשך בסילוקו הפיסי של המשיב מעבודתו לאחר 42 שנות עבודה; באי תשלום גמלה במשך מספר חודשים; וכלה בעיכוב, בשיהוי ובהתנהלות בלתי מכבדת, בלשון המעטה, ב</w:t>
      </w:r>
      <w:r w:rsidR="00A31BF2">
        <w:rPr>
          <w:rFonts w:cs="David" w:hint="cs"/>
          <w:b/>
          <w:bCs/>
          <w:rtl/>
        </w:rPr>
        <w:t>כל הקשור ל</w:t>
      </w:r>
      <w:r w:rsidRPr="00815972">
        <w:rPr>
          <w:rFonts w:cs="David" w:hint="cs"/>
          <w:b/>
          <w:bCs/>
          <w:rtl/>
        </w:rPr>
        <w:t>פניותיו של המשיב ובניסיונותיו הכנים להגיע להסכמה מחוץ לכתלי בית הדין הנכבד</w:t>
      </w:r>
      <w:r>
        <w:rPr>
          <w:rFonts w:cs="David" w:hint="cs"/>
          <w:rtl/>
        </w:rPr>
        <w:t>.</w:t>
      </w:r>
    </w:p>
    <w:p w:rsidR="008F5336" w:rsidRDefault="00B0549A" w:rsidP="00B0549A">
      <w:pPr>
        <w:pStyle w:val="11"/>
        <w:tabs>
          <w:tab w:val="left" w:pos="656"/>
        </w:tabs>
        <w:spacing w:before="0" w:after="120" w:line="360" w:lineRule="auto"/>
        <w:ind w:hanging="5"/>
      </w:pPr>
      <w:r>
        <w:rPr>
          <w:rFonts w:hint="cs"/>
          <w:rtl/>
        </w:rPr>
        <w:t>המשיב יתייחס להלן לטענות המבקשות, ויוסיף ויפרט מדוע יש לדחות כל אחת מהן בנפרד, ואת כולן יחדיו.</w:t>
      </w:r>
    </w:p>
    <w:p w:rsidR="008F5336" w:rsidRDefault="008F5336" w:rsidP="00B0549A">
      <w:pPr>
        <w:pStyle w:val="30"/>
        <w:rPr>
          <w:rtl/>
        </w:rPr>
      </w:pPr>
    </w:p>
    <w:p w:rsidR="008F5336" w:rsidRDefault="008F5336" w:rsidP="00057EF8">
      <w:pPr>
        <w:pStyle w:val="2"/>
        <w:numPr>
          <w:ilvl w:val="0"/>
          <w:numId w:val="2"/>
        </w:numPr>
        <w:tabs>
          <w:tab w:val="clear" w:pos="566"/>
          <w:tab w:val="left" w:pos="656"/>
        </w:tabs>
        <w:spacing w:after="120"/>
        <w:ind w:left="656" w:hanging="486"/>
        <w:rPr>
          <w:sz w:val="28"/>
          <w:rtl/>
          <w:lang w:eastAsia="en-US"/>
        </w:rPr>
      </w:pPr>
      <w:r w:rsidRPr="009715D7">
        <w:rPr>
          <w:rFonts w:hint="eastAsia"/>
          <w:sz w:val="28"/>
          <w:rtl/>
          <w:lang w:eastAsia="en-US"/>
        </w:rPr>
        <w:t>ידו</w:t>
      </w:r>
      <w:r w:rsidRPr="009715D7">
        <w:rPr>
          <w:sz w:val="28"/>
          <w:rtl/>
          <w:lang w:eastAsia="en-US"/>
        </w:rPr>
        <w:t xml:space="preserve"> "</w:t>
      </w:r>
      <w:r w:rsidRPr="009715D7">
        <w:rPr>
          <w:rFonts w:hint="eastAsia"/>
          <w:sz w:val="28"/>
          <w:rtl/>
          <w:lang w:eastAsia="en-US"/>
        </w:rPr>
        <w:t>הקמוצה</w:t>
      </w:r>
      <w:r w:rsidRPr="009715D7">
        <w:rPr>
          <w:sz w:val="28"/>
          <w:rtl/>
          <w:lang w:eastAsia="en-US"/>
        </w:rPr>
        <w:t xml:space="preserve">" </w:t>
      </w:r>
      <w:r w:rsidRPr="009715D7">
        <w:rPr>
          <w:rFonts w:hint="eastAsia"/>
          <w:sz w:val="28"/>
          <w:rtl/>
          <w:lang w:eastAsia="en-US"/>
        </w:rPr>
        <w:t>של</w:t>
      </w:r>
      <w:r w:rsidRPr="009715D7">
        <w:rPr>
          <w:sz w:val="28"/>
          <w:rtl/>
          <w:lang w:eastAsia="en-US"/>
        </w:rPr>
        <w:t xml:space="preserve"> </w:t>
      </w:r>
      <w:r w:rsidRPr="009715D7">
        <w:rPr>
          <w:rFonts w:hint="eastAsia"/>
          <w:sz w:val="28"/>
          <w:rtl/>
          <w:lang w:eastAsia="en-US"/>
        </w:rPr>
        <w:t>בית</w:t>
      </w:r>
      <w:r w:rsidRPr="009715D7">
        <w:rPr>
          <w:sz w:val="28"/>
          <w:rtl/>
          <w:lang w:eastAsia="en-US"/>
        </w:rPr>
        <w:t xml:space="preserve"> הדין בעניין בקשות </w:t>
      </w:r>
      <w:r w:rsidRPr="009715D7">
        <w:rPr>
          <w:rFonts w:hint="eastAsia"/>
          <w:sz w:val="28"/>
          <w:rtl/>
          <w:lang w:eastAsia="en-US"/>
        </w:rPr>
        <w:t>דחייה</w:t>
      </w:r>
      <w:r w:rsidRPr="009715D7">
        <w:rPr>
          <w:sz w:val="28"/>
          <w:rtl/>
          <w:lang w:eastAsia="en-US"/>
        </w:rPr>
        <w:t xml:space="preserve"> / </w:t>
      </w:r>
      <w:r w:rsidRPr="009715D7">
        <w:rPr>
          <w:rFonts w:hint="eastAsia"/>
          <w:sz w:val="28"/>
          <w:rtl/>
          <w:lang w:eastAsia="en-US"/>
        </w:rPr>
        <w:t>מחיקה</w:t>
      </w:r>
      <w:r w:rsidRPr="009715D7">
        <w:rPr>
          <w:sz w:val="28"/>
          <w:rtl/>
          <w:lang w:eastAsia="en-US"/>
        </w:rPr>
        <w:t xml:space="preserve"> על הסף</w:t>
      </w:r>
    </w:p>
    <w:p w:rsidR="008F5336" w:rsidRDefault="008F5336" w:rsidP="00057EF8">
      <w:pPr>
        <w:numPr>
          <w:ilvl w:val="0"/>
          <w:numId w:val="1"/>
        </w:numPr>
        <w:tabs>
          <w:tab w:val="left" w:pos="566"/>
        </w:tabs>
        <w:spacing w:after="240" w:line="360" w:lineRule="auto"/>
        <w:ind w:left="566" w:hanging="540"/>
        <w:jc w:val="both"/>
        <w:rPr>
          <w:rFonts w:cs="David"/>
        </w:rPr>
      </w:pPr>
      <w:r w:rsidRPr="00CB09DA">
        <w:rPr>
          <w:rFonts w:cs="David" w:hint="eastAsia"/>
          <w:rtl/>
        </w:rPr>
        <w:t>ראשית</w:t>
      </w:r>
      <w:r w:rsidRPr="00CB09DA">
        <w:rPr>
          <w:rFonts w:cs="David"/>
          <w:rtl/>
        </w:rPr>
        <w:t xml:space="preserve"> </w:t>
      </w:r>
      <w:r w:rsidRPr="00CC463C">
        <w:rPr>
          <w:rFonts w:cs="David" w:hint="eastAsia"/>
          <w:rtl/>
        </w:rPr>
        <w:t>דבר</w:t>
      </w:r>
      <w:r w:rsidRPr="00CC463C">
        <w:rPr>
          <w:rFonts w:cs="David"/>
          <w:rtl/>
        </w:rPr>
        <w:t xml:space="preserve"> </w:t>
      </w:r>
      <w:r w:rsidRPr="00CF42E7">
        <w:rPr>
          <w:rFonts w:cs="David" w:hint="eastAsia"/>
          <w:rtl/>
        </w:rPr>
        <w:t>נזכיר</w:t>
      </w:r>
      <w:r w:rsidRPr="00CF42E7">
        <w:rPr>
          <w:rFonts w:cs="David"/>
          <w:rtl/>
        </w:rPr>
        <w:t xml:space="preserve"> </w:t>
      </w:r>
      <w:r w:rsidRPr="008F2B0E">
        <w:rPr>
          <w:rFonts w:cs="David" w:hint="eastAsia"/>
          <w:rtl/>
        </w:rPr>
        <w:t>כי</w:t>
      </w:r>
      <w:r w:rsidRPr="009715D7">
        <w:rPr>
          <w:rFonts w:cs="David"/>
          <w:rtl/>
        </w:rPr>
        <w:t xml:space="preserve"> </w:t>
      </w:r>
      <w:r w:rsidRPr="009715D7">
        <w:rPr>
          <w:rFonts w:cs="David" w:hint="eastAsia"/>
          <w:rtl/>
        </w:rPr>
        <w:t>בתי</w:t>
      </w:r>
      <w:r w:rsidRPr="009715D7">
        <w:rPr>
          <w:rFonts w:cs="David"/>
          <w:rtl/>
        </w:rPr>
        <w:t xml:space="preserve"> </w:t>
      </w:r>
      <w:r w:rsidRPr="009715D7">
        <w:rPr>
          <w:rFonts w:cs="David" w:hint="eastAsia"/>
          <w:rtl/>
        </w:rPr>
        <w:t>המשפט</w:t>
      </w:r>
      <w:r w:rsidRPr="009715D7">
        <w:rPr>
          <w:rFonts w:cs="David"/>
          <w:rtl/>
        </w:rPr>
        <w:t xml:space="preserve"> </w:t>
      </w:r>
      <w:r w:rsidRPr="009715D7">
        <w:rPr>
          <w:rFonts w:cs="David" w:hint="eastAsia"/>
          <w:rtl/>
        </w:rPr>
        <w:t>בכלל</w:t>
      </w:r>
      <w:r w:rsidRPr="009715D7">
        <w:rPr>
          <w:rFonts w:cs="David"/>
          <w:rtl/>
        </w:rPr>
        <w:t xml:space="preserve">, </w:t>
      </w:r>
      <w:r w:rsidRPr="009715D7">
        <w:rPr>
          <w:rFonts w:cs="David" w:hint="eastAsia"/>
          <w:rtl/>
        </w:rPr>
        <w:t>ובתי</w:t>
      </w:r>
      <w:r w:rsidRPr="009715D7">
        <w:rPr>
          <w:rFonts w:cs="David"/>
          <w:rtl/>
        </w:rPr>
        <w:t xml:space="preserve"> </w:t>
      </w:r>
      <w:r w:rsidRPr="009715D7">
        <w:rPr>
          <w:rFonts w:cs="David" w:hint="eastAsia"/>
          <w:rtl/>
        </w:rPr>
        <w:t>הדין</w:t>
      </w:r>
      <w:r w:rsidRPr="009715D7">
        <w:rPr>
          <w:rFonts w:cs="David"/>
          <w:rtl/>
        </w:rPr>
        <w:t xml:space="preserve"> </w:t>
      </w:r>
      <w:r w:rsidRPr="009715D7">
        <w:rPr>
          <w:rFonts w:cs="David" w:hint="eastAsia"/>
          <w:rtl/>
        </w:rPr>
        <w:t>לעבודה</w:t>
      </w:r>
      <w:r w:rsidRPr="009715D7">
        <w:rPr>
          <w:rFonts w:cs="David"/>
          <w:rtl/>
        </w:rPr>
        <w:t xml:space="preserve"> </w:t>
      </w:r>
      <w:r w:rsidRPr="009715D7">
        <w:rPr>
          <w:rFonts w:cs="David" w:hint="eastAsia"/>
          <w:rtl/>
        </w:rPr>
        <w:t>בפרט</w:t>
      </w:r>
      <w:r w:rsidRPr="009715D7">
        <w:rPr>
          <w:rFonts w:cs="David"/>
          <w:rtl/>
        </w:rPr>
        <w:t xml:space="preserve">, </w:t>
      </w:r>
      <w:r w:rsidRPr="009715D7">
        <w:rPr>
          <w:rFonts w:cs="David" w:hint="eastAsia"/>
          <w:rtl/>
        </w:rPr>
        <w:t>נוהגים</w:t>
      </w:r>
      <w:r w:rsidRPr="009715D7">
        <w:rPr>
          <w:rFonts w:cs="David"/>
          <w:rtl/>
        </w:rPr>
        <w:t xml:space="preserve"> </w:t>
      </w:r>
      <w:r w:rsidRPr="009715D7">
        <w:rPr>
          <w:rFonts w:cs="David" w:hint="eastAsia"/>
          <w:rtl/>
        </w:rPr>
        <w:t>במשורה</w:t>
      </w:r>
      <w:r w:rsidRPr="009715D7">
        <w:rPr>
          <w:rFonts w:cs="David"/>
          <w:rtl/>
        </w:rPr>
        <w:t xml:space="preserve"> </w:t>
      </w:r>
      <w:r w:rsidRPr="009715D7">
        <w:rPr>
          <w:rFonts w:cs="David" w:hint="eastAsia"/>
          <w:rtl/>
        </w:rPr>
        <w:t>בשקלם</w:t>
      </w:r>
      <w:r w:rsidRPr="009715D7">
        <w:rPr>
          <w:rFonts w:cs="David"/>
          <w:rtl/>
        </w:rPr>
        <w:t xml:space="preserve"> </w:t>
      </w:r>
      <w:r w:rsidRPr="009715D7">
        <w:rPr>
          <w:rFonts w:cs="David" w:hint="eastAsia"/>
          <w:rtl/>
        </w:rPr>
        <w:t>דח</w:t>
      </w:r>
      <w:r w:rsidR="00E519EC">
        <w:rPr>
          <w:rFonts w:cs="David" w:hint="cs"/>
          <w:rtl/>
        </w:rPr>
        <w:t>י</w:t>
      </w:r>
      <w:r w:rsidRPr="009715D7">
        <w:rPr>
          <w:rFonts w:cs="David" w:hint="eastAsia"/>
          <w:rtl/>
        </w:rPr>
        <w:t>יה</w:t>
      </w:r>
      <w:r w:rsidRPr="009715D7">
        <w:rPr>
          <w:rFonts w:cs="David"/>
          <w:rtl/>
        </w:rPr>
        <w:t xml:space="preserve"> על הסף של תביעות, </w:t>
      </w:r>
      <w:r w:rsidRPr="00E519EC">
        <w:rPr>
          <w:rFonts w:cs="David"/>
          <w:b/>
          <w:bCs/>
          <w:rtl/>
        </w:rPr>
        <w:t xml:space="preserve">ורק </w:t>
      </w:r>
      <w:r w:rsidRPr="00E519EC">
        <w:rPr>
          <w:rFonts w:cs="David" w:hint="eastAsia"/>
          <w:b/>
          <w:bCs/>
          <w:rtl/>
        </w:rPr>
        <w:t>במקרים</w:t>
      </w:r>
      <w:r w:rsidRPr="00E519EC">
        <w:rPr>
          <w:rFonts w:cs="David"/>
          <w:b/>
          <w:bCs/>
          <w:rtl/>
        </w:rPr>
        <w:t xml:space="preserve"> </w:t>
      </w:r>
      <w:r w:rsidRPr="00E519EC">
        <w:rPr>
          <w:rFonts w:cs="David" w:hint="eastAsia"/>
          <w:b/>
          <w:bCs/>
          <w:rtl/>
        </w:rPr>
        <w:t>נדירים</w:t>
      </w:r>
      <w:r w:rsidRPr="00E519EC">
        <w:rPr>
          <w:rFonts w:cs="David"/>
          <w:b/>
          <w:bCs/>
          <w:rtl/>
        </w:rPr>
        <w:t xml:space="preserve"> </w:t>
      </w:r>
      <w:r w:rsidRPr="00E519EC">
        <w:rPr>
          <w:rFonts w:cs="David" w:hint="eastAsia"/>
          <w:b/>
          <w:bCs/>
          <w:rtl/>
        </w:rPr>
        <w:t>מתקבלות</w:t>
      </w:r>
      <w:r w:rsidRPr="00E519EC">
        <w:rPr>
          <w:rFonts w:cs="David"/>
          <w:b/>
          <w:bCs/>
          <w:rtl/>
        </w:rPr>
        <w:t xml:space="preserve"> </w:t>
      </w:r>
      <w:r w:rsidRPr="00E519EC">
        <w:rPr>
          <w:rFonts w:cs="David" w:hint="eastAsia"/>
          <w:b/>
          <w:bCs/>
          <w:rtl/>
        </w:rPr>
        <w:t>בקשות</w:t>
      </w:r>
      <w:r w:rsidRPr="00E519EC">
        <w:rPr>
          <w:rFonts w:cs="David"/>
          <w:b/>
          <w:bCs/>
          <w:rtl/>
        </w:rPr>
        <w:t xml:space="preserve"> </w:t>
      </w:r>
      <w:r w:rsidRPr="00E519EC">
        <w:rPr>
          <w:rFonts w:cs="David" w:hint="eastAsia"/>
          <w:b/>
          <w:bCs/>
          <w:rtl/>
        </w:rPr>
        <w:t>מסוג</w:t>
      </w:r>
      <w:r w:rsidRPr="00E519EC">
        <w:rPr>
          <w:rFonts w:cs="David"/>
          <w:b/>
          <w:bCs/>
          <w:rtl/>
        </w:rPr>
        <w:t xml:space="preserve"> </w:t>
      </w:r>
      <w:r w:rsidRPr="00E519EC">
        <w:rPr>
          <w:rFonts w:cs="David" w:hint="eastAsia"/>
          <w:b/>
          <w:bCs/>
          <w:rtl/>
        </w:rPr>
        <w:t>אלה</w:t>
      </w:r>
      <w:r w:rsidRPr="009715D7">
        <w:rPr>
          <w:rFonts w:cs="David"/>
          <w:rtl/>
        </w:rPr>
        <w:t>.</w:t>
      </w:r>
      <w:r w:rsidRPr="00CB09DA">
        <w:rPr>
          <w:rFonts w:cs="David"/>
          <w:rtl/>
        </w:rPr>
        <w:t xml:space="preserve"> עמד על נשיא בית הדין הארצי </w:t>
      </w:r>
      <w:r w:rsidR="00E519EC">
        <w:rPr>
          <w:rFonts w:cs="David" w:hint="cs"/>
          <w:rtl/>
        </w:rPr>
        <w:t>דאז</w:t>
      </w:r>
      <w:r w:rsidR="00A31BF2">
        <w:rPr>
          <w:rFonts w:cs="David" w:hint="cs"/>
          <w:rtl/>
        </w:rPr>
        <w:t>, כבוד השופט אדלר,</w:t>
      </w:r>
      <w:r w:rsidR="00E519EC">
        <w:rPr>
          <w:rFonts w:cs="David" w:hint="cs"/>
          <w:rtl/>
        </w:rPr>
        <w:t xml:space="preserve"> </w:t>
      </w:r>
      <w:r w:rsidRPr="00CB09DA">
        <w:rPr>
          <w:rFonts w:cs="David"/>
          <w:rtl/>
        </w:rPr>
        <w:t>ב</w:t>
      </w:r>
      <w:r w:rsidRPr="00CB09DA">
        <w:rPr>
          <w:rFonts w:cs="David" w:hint="eastAsia"/>
          <w:rtl/>
        </w:rPr>
        <w:t>עניין</w:t>
      </w:r>
      <w:r w:rsidRPr="00CC463C">
        <w:rPr>
          <w:rFonts w:cs="David"/>
          <w:rtl/>
        </w:rPr>
        <w:t xml:space="preserve"> </w:t>
      </w:r>
      <w:r w:rsidRPr="00CC463C">
        <w:rPr>
          <w:rFonts w:cs="David" w:hint="eastAsia"/>
          <w:rtl/>
        </w:rPr>
        <w:t>רגינה</w:t>
      </w:r>
      <w:r w:rsidRPr="00CF42E7">
        <w:rPr>
          <w:rFonts w:cs="David"/>
          <w:rtl/>
        </w:rPr>
        <w:t xml:space="preserve"> </w:t>
      </w:r>
      <w:r w:rsidRPr="00CF42E7">
        <w:rPr>
          <w:rFonts w:cs="David" w:hint="eastAsia"/>
          <w:rtl/>
        </w:rPr>
        <w:t>בליאק</w:t>
      </w:r>
      <w:r w:rsidRPr="008F2B0E">
        <w:rPr>
          <w:rFonts w:cs="David"/>
          <w:rtl/>
        </w:rPr>
        <w:t xml:space="preserve"> (</w:t>
      </w:r>
      <w:r w:rsidRPr="009715D7">
        <w:rPr>
          <w:rFonts w:cs="David"/>
          <w:rtl/>
        </w:rPr>
        <w:t xml:space="preserve">ברע 158/99  </w:t>
      </w:r>
      <w:r w:rsidRPr="00A3151D">
        <w:rPr>
          <w:rFonts w:cs="David"/>
          <w:u w:val="single"/>
          <w:rtl/>
        </w:rPr>
        <w:t>סלקום ישראל בע"מ נ' רגינה בליאק</w:t>
      </w:r>
      <w:r w:rsidRPr="009715D7">
        <w:rPr>
          <w:rFonts w:cs="David"/>
          <w:rtl/>
        </w:rPr>
        <w:t xml:space="preserve"> </w:t>
      </w:r>
      <w:r>
        <w:rPr>
          <w:rFonts w:cs="David" w:hint="cs"/>
          <w:rtl/>
        </w:rPr>
        <w:t>):</w:t>
      </w:r>
    </w:p>
    <w:p w:rsidR="008F5336" w:rsidRPr="00A3151D" w:rsidRDefault="008F5336" w:rsidP="008F5336">
      <w:pPr>
        <w:pStyle w:val="af0"/>
        <w:spacing w:after="240" w:line="360" w:lineRule="auto"/>
        <w:ind w:left="881" w:right="450"/>
        <w:contextualSpacing w:val="0"/>
        <w:jc w:val="both"/>
        <w:rPr>
          <w:rFonts w:ascii="Times New Roman" w:eastAsia="Times New Roman" w:hAnsi="Times New Roman" w:cs="David"/>
          <w:i/>
          <w:iCs/>
          <w:sz w:val="24"/>
          <w:szCs w:val="24"/>
          <w:rtl/>
          <w:lang w:eastAsia="he-IL"/>
        </w:rPr>
      </w:pPr>
      <w:r w:rsidRPr="00A3151D">
        <w:rPr>
          <w:rFonts w:asciiTheme="majorBidi" w:hAnsiTheme="majorBidi" w:cstheme="majorBidi"/>
          <w:sz w:val="24"/>
          <w:szCs w:val="24"/>
          <w:rtl/>
        </w:rPr>
        <w:t>"</w:t>
      </w:r>
      <w:r w:rsidRPr="00A3151D">
        <w:rPr>
          <w:rFonts w:asciiTheme="majorBidi" w:hAnsiTheme="majorBidi" w:cstheme="majorBidi"/>
          <w:b/>
          <w:bCs/>
          <w:sz w:val="24"/>
          <w:szCs w:val="24"/>
          <w:u w:val="single"/>
          <w:rtl/>
        </w:rPr>
        <w:t>הסעד של דחייה על הסף אינו יכול ואינו צריך לשמש דרך המלך בבתי הדין לעבודה ופתרון המחלוקת לגופה לעולם עדיף</w:t>
      </w:r>
      <w:r w:rsidRPr="00A3151D">
        <w:rPr>
          <w:rFonts w:asciiTheme="majorBidi" w:hAnsiTheme="majorBidi" w:cstheme="majorBidi"/>
          <w:sz w:val="24"/>
          <w:szCs w:val="24"/>
          <w:rtl/>
        </w:rPr>
        <w:t xml:space="preserve"> (ראה: דב"ע נב/ 3-217 </w:t>
      </w:r>
      <w:r w:rsidRPr="00A3151D">
        <w:rPr>
          <w:rFonts w:asciiTheme="majorBidi" w:hAnsiTheme="majorBidi" w:cstheme="majorBidi"/>
          <w:b/>
          <w:bCs/>
          <w:sz w:val="24"/>
          <w:szCs w:val="24"/>
          <w:rtl/>
        </w:rPr>
        <w:t xml:space="preserve">אגודה ארצית של מנהלים ומורשי חתימה של הבנק הבינלאומי הראשון לישראל בע"מ ואח' - הבנק הבינלאומי הראשון לישראל בע"מ </w:t>
      </w:r>
      <w:r w:rsidRPr="00A3151D">
        <w:rPr>
          <w:rFonts w:asciiTheme="majorBidi" w:hAnsiTheme="majorBidi" w:cstheme="majorBidi"/>
          <w:b/>
          <w:bCs/>
          <w:sz w:val="24"/>
          <w:szCs w:val="24"/>
          <w:rtl/>
        </w:rPr>
        <w:lastRenderedPageBreak/>
        <w:t xml:space="preserve">ואח' </w:t>
      </w:r>
      <w:r w:rsidRPr="00A3151D">
        <w:rPr>
          <w:rFonts w:asciiTheme="majorBidi" w:hAnsiTheme="majorBidi" w:cstheme="majorBidi"/>
          <w:sz w:val="24"/>
          <w:szCs w:val="24"/>
          <w:rtl/>
        </w:rPr>
        <w:t>, פד"ע כז 15-14,3)".</w:t>
      </w:r>
      <w:r>
        <w:rPr>
          <w:rFonts w:hint="cs"/>
          <w:rtl/>
        </w:rPr>
        <w:t xml:space="preserve"> </w:t>
      </w:r>
      <w:r w:rsidRPr="009715D7">
        <w:rPr>
          <w:rFonts w:ascii="David" w:hAnsi="David" w:cs="David"/>
          <w:rtl/>
        </w:rPr>
        <w:t>(</w:t>
      </w:r>
      <w:r w:rsidRPr="00A3151D">
        <w:rPr>
          <w:rFonts w:ascii="Times New Roman" w:eastAsia="Times New Roman" w:hAnsi="Times New Roman" w:cs="David"/>
          <w:i/>
          <w:iCs/>
          <w:sz w:val="24"/>
          <w:szCs w:val="24"/>
          <w:rtl/>
          <w:lang w:eastAsia="he-IL"/>
        </w:rPr>
        <w:t xml:space="preserve">כל </w:t>
      </w:r>
      <w:r w:rsidRPr="00A3151D">
        <w:rPr>
          <w:rFonts w:ascii="Times New Roman" w:eastAsia="Times New Roman" w:hAnsi="Times New Roman" w:cs="David" w:hint="eastAsia"/>
          <w:i/>
          <w:iCs/>
          <w:sz w:val="24"/>
          <w:szCs w:val="24"/>
          <w:rtl/>
          <w:lang w:eastAsia="he-IL"/>
        </w:rPr>
        <w:t>ההדגשות</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בתשובה</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זאת</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אינן</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במקור</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אלא</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אם</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נכתב</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אחרת</w:t>
      </w:r>
      <w:r w:rsidR="00932D99">
        <w:rPr>
          <w:rFonts w:ascii="Times New Roman" w:eastAsia="Times New Roman" w:hAnsi="Times New Roman" w:cs="David" w:hint="cs"/>
          <w:i/>
          <w:iCs/>
          <w:sz w:val="24"/>
          <w:szCs w:val="24"/>
          <w:rtl/>
          <w:lang w:eastAsia="he-IL"/>
        </w:rPr>
        <w:t xml:space="preserve"> </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הח</w:t>
      </w:r>
      <w:r w:rsidRPr="00A3151D">
        <w:rPr>
          <w:rFonts w:ascii="Times New Roman" w:eastAsia="Times New Roman" w:hAnsi="Times New Roman" w:cs="David"/>
          <w:i/>
          <w:iCs/>
          <w:sz w:val="24"/>
          <w:szCs w:val="24"/>
          <w:rtl/>
          <w:lang w:eastAsia="he-IL"/>
        </w:rPr>
        <w:t>"מ).</w:t>
      </w:r>
    </w:p>
    <w:p w:rsidR="008F5336" w:rsidRDefault="008F5336" w:rsidP="00057EF8">
      <w:pPr>
        <w:numPr>
          <w:ilvl w:val="0"/>
          <w:numId w:val="1"/>
        </w:numPr>
        <w:tabs>
          <w:tab w:val="left" w:pos="566"/>
        </w:tabs>
        <w:spacing w:after="240" w:line="360" w:lineRule="auto"/>
        <w:ind w:left="566" w:hanging="540"/>
        <w:jc w:val="both"/>
        <w:rPr>
          <w:rFonts w:cs="David"/>
        </w:rPr>
      </w:pPr>
      <w:r w:rsidRPr="00501933">
        <w:rPr>
          <w:rFonts w:cs="David" w:hint="eastAsia"/>
          <w:rtl/>
        </w:rPr>
        <w:t>ראו</w:t>
      </w:r>
      <w:r w:rsidRPr="00501933">
        <w:rPr>
          <w:rFonts w:cs="David"/>
          <w:rtl/>
        </w:rPr>
        <w:t xml:space="preserve"> גם </w:t>
      </w:r>
      <w:r w:rsidRPr="00501933">
        <w:rPr>
          <w:rFonts w:cs="David" w:hint="eastAsia"/>
          <w:rtl/>
        </w:rPr>
        <w:t>פסק</w:t>
      </w:r>
      <w:r w:rsidRPr="00501933">
        <w:rPr>
          <w:rFonts w:cs="David"/>
          <w:rtl/>
        </w:rPr>
        <w:t xml:space="preserve"> דינו </w:t>
      </w:r>
      <w:r w:rsidRPr="00501933">
        <w:rPr>
          <w:rFonts w:cs="David" w:hint="eastAsia"/>
          <w:rtl/>
        </w:rPr>
        <w:t>של</w:t>
      </w:r>
      <w:r w:rsidRPr="00501933">
        <w:rPr>
          <w:rFonts w:cs="David"/>
          <w:rtl/>
        </w:rPr>
        <w:t xml:space="preserve"> בית הדין הארצי בעניין </w:t>
      </w:r>
      <w:r w:rsidRPr="00501933">
        <w:rPr>
          <w:rFonts w:cs="David" w:hint="eastAsia"/>
          <w:rtl/>
        </w:rPr>
        <w:t>גיספאן</w:t>
      </w:r>
      <w:r w:rsidRPr="00501933">
        <w:rPr>
          <w:rFonts w:cs="David"/>
          <w:rtl/>
        </w:rPr>
        <w:t xml:space="preserve"> </w:t>
      </w:r>
      <w:r>
        <w:rPr>
          <w:rFonts w:cs="David" w:hint="cs"/>
          <w:rtl/>
        </w:rPr>
        <w:t>(</w:t>
      </w:r>
      <w:r w:rsidRPr="009715D7">
        <w:rPr>
          <w:rFonts w:cs="David"/>
          <w:rtl/>
        </w:rPr>
        <w:t xml:space="preserve">ברע 67197-01/17  </w:t>
      </w:r>
      <w:r w:rsidRPr="00A3151D">
        <w:rPr>
          <w:rFonts w:cs="David" w:hint="eastAsia"/>
          <w:u w:val="single"/>
          <w:rtl/>
        </w:rPr>
        <w:t>ר</w:t>
      </w:r>
      <w:r w:rsidRPr="00A3151D">
        <w:rPr>
          <w:rFonts w:cs="David"/>
          <w:u w:val="single"/>
          <w:rtl/>
        </w:rPr>
        <w:t>ותם גיספאן נ' בסט שרותי קירור בע"מ, שחר שטינלאוף</w:t>
      </w:r>
      <w:r>
        <w:rPr>
          <w:rFonts w:cs="David" w:hint="cs"/>
          <w:b/>
          <w:bCs/>
          <w:rtl/>
        </w:rPr>
        <w:t xml:space="preserve">, </w:t>
      </w:r>
      <w:r>
        <w:rPr>
          <w:rFonts w:cs="David" w:hint="cs"/>
          <w:rtl/>
        </w:rPr>
        <w:t>ניתן ביום 3.4.2017):</w:t>
      </w:r>
    </w:p>
    <w:p w:rsidR="008F5336" w:rsidRPr="009715D7" w:rsidRDefault="008F5336" w:rsidP="008F5336">
      <w:pPr>
        <w:pStyle w:val="a4"/>
        <w:tabs>
          <w:tab w:val="clear" w:pos="8306"/>
        </w:tabs>
        <w:spacing w:after="240" w:line="360" w:lineRule="auto"/>
        <w:ind w:left="881" w:right="450"/>
        <w:jc w:val="both"/>
        <w:rPr>
          <w:rFonts w:asciiTheme="majorBidi" w:hAnsiTheme="majorBidi" w:cstheme="majorBidi"/>
          <w:color w:val="000000"/>
          <w:rtl/>
        </w:rPr>
      </w:pPr>
      <w:r>
        <w:rPr>
          <w:rFonts w:asciiTheme="majorBidi" w:hAnsiTheme="majorBidi" w:cstheme="majorBidi" w:hint="cs"/>
          <w:rtl/>
        </w:rPr>
        <w:t>"</w:t>
      </w:r>
      <w:r w:rsidRPr="009715D7">
        <w:rPr>
          <w:rFonts w:asciiTheme="majorBidi" w:hAnsiTheme="majorBidi" w:cstheme="majorBidi"/>
          <w:b/>
          <w:bCs/>
          <w:u w:val="single"/>
          <w:rtl/>
        </w:rPr>
        <w:t>ההלכה פסוקה קבעה כי, ככלל, הסעד של סילוק על הסף יינתן במקרים חריגים בלבד, וכי "סעד זה של מחיקה על הסף מופעל על ידי בתי המשפט ביד קמוצה ובמשורה, ובבתי הדין לעבודה קצרה המשורה עוד יותר</w:t>
      </w:r>
      <w:r w:rsidRPr="009715D7">
        <w:rPr>
          <w:rFonts w:asciiTheme="majorBidi" w:hAnsiTheme="majorBidi" w:cstheme="majorBidi"/>
          <w:rtl/>
        </w:rPr>
        <w:t xml:space="preserve">" (דב"ע (ארצי) מז/3-15  </w:t>
      </w:r>
      <w:r w:rsidRPr="009715D7">
        <w:rPr>
          <w:rFonts w:asciiTheme="majorBidi" w:hAnsiTheme="majorBidi" w:cstheme="majorBidi"/>
          <w:b/>
          <w:bCs/>
          <w:rtl/>
        </w:rPr>
        <w:t>אפנר יצחק ואח' נ' מפעלי הדסה לחינוך</w:t>
      </w:r>
      <w:r w:rsidRPr="009715D7">
        <w:rPr>
          <w:rFonts w:asciiTheme="majorBidi" w:hAnsiTheme="majorBidi" w:cstheme="majorBidi"/>
          <w:rtl/>
        </w:rPr>
        <w:t xml:space="preserve">  (18.8.87); דב"ע נא/3-31  </w:t>
      </w:r>
      <w:r w:rsidRPr="009715D7">
        <w:rPr>
          <w:rFonts w:asciiTheme="majorBidi" w:hAnsiTheme="majorBidi" w:cstheme="majorBidi"/>
          <w:b/>
          <w:bCs/>
          <w:rtl/>
        </w:rPr>
        <w:t>חיפה כימיקלים בע"מ נ' אברהם רמי כלפון</w:t>
      </w:r>
      <w:r w:rsidRPr="009715D7">
        <w:rPr>
          <w:rFonts w:asciiTheme="majorBidi" w:hAnsiTheme="majorBidi" w:cstheme="majorBidi"/>
          <w:rtl/>
        </w:rPr>
        <w:t xml:space="preserve">, פד"ע כב 518). הזהירות היתרה מתבטאת כי </w:t>
      </w:r>
      <w:r w:rsidRPr="00932D99">
        <w:rPr>
          <w:rFonts w:asciiTheme="majorBidi" w:hAnsiTheme="majorBidi" w:cstheme="majorBidi"/>
          <w:b/>
          <w:bCs/>
          <w:u w:val="single"/>
          <w:rtl/>
        </w:rPr>
        <w:t>גם אם קיים סיכוי שכתב התביעה מגלה עילה או שקיים ספק בנוגע להתקיימות יסודות ההתיישנות או השתק עילה, כי אז אין לסלק את התובענה על הסף</w:t>
      </w:r>
      <w:r w:rsidRPr="009715D7">
        <w:rPr>
          <w:rFonts w:asciiTheme="majorBidi" w:hAnsiTheme="majorBidi" w:cstheme="majorBidi"/>
          <w:rtl/>
        </w:rPr>
        <w:t xml:space="preserve">. הזהירות מסילוק על הסף נובעת, בין היתר, מכיבוד זכות הגישה לערכאות, שכן קבלת טענות מסוג זה (העדר עילה, התיישנות או מעשה בית דין) – יוביל לכך שהתובענה כלל לא תתברר לגופה בשום ערכאה. </w:t>
      </w:r>
      <w:r w:rsidRPr="009715D7">
        <w:rPr>
          <w:rFonts w:asciiTheme="majorBidi" w:hAnsiTheme="majorBidi" w:cstheme="majorBidi"/>
          <w:color w:val="000000"/>
          <w:rtl/>
        </w:rPr>
        <w:t xml:space="preserve">"השימוש בסמכותו הטבועה של בית-המשפט ייעשה בזהירות. כך בכלל (ע"א 4845/95 </w:t>
      </w:r>
      <w:r w:rsidRPr="009715D7">
        <w:rPr>
          <w:rFonts w:asciiTheme="majorBidi" w:hAnsiTheme="majorBidi" w:cstheme="majorBidi"/>
          <w:b/>
          <w:bCs/>
          <w:color w:val="000000"/>
          <w:rtl/>
        </w:rPr>
        <w:t>ניר נ' מדינת ישראל</w:t>
      </w:r>
      <w:r w:rsidRPr="009715D7">
        <w:rPr>
          <w:rFonts w:asciiTheme="majorBidi" w:hAnsiTheme="majorBidi" w:cstheme="majorBidi"/>
          <w:color w:val="000000"/>
          <w:rtl/>
        </w:rPr>
        <w:t xml:space="preserve"> [10], בעמ' 646), וכך במיוחד כאשר מדובר בסילוק תובענה על הסף. הטעם לכך הוא שיש להישמר פן תיפגע הזכות היסודית בדבר פנייה לערכאות יתר על המיד</w:t>
      </w:r>
      <w:r w:rsidRPr="009715D7">
        <w:rPr>
          <w:rFonts w:asciiTheme="majorBidi" w:hAnsiTheme="majorBidi" w:cstheme="majorBidi" w:hint="eastAsia"/>
          <w:color w:val="000000"/>
          <w:rtl/>
        </w:rPr>
        <w:t>ה</w:t>
      </w:r>
      <w:r w:rsidRPr="009715D7">
        <w:rPr>
          <w:rFonts w:asciiTheme="majorBidi" w:hAnsiTheme="majorBidi" w:cstheme="majorBidi"/>
          <w:color w:val="000000"/>
          <w:rtl/>
        </w:rPr>
        <w:t>".</w:t>
      </w:r>
    </w:p>
    <w:p w:rsidR="00663FC4" w:rsidRDefault="00A3151D" w:rsidP="00057EF8">
      <w:pPr>
        <w:numPr>
          <w:ilvl w:val="0"/>
          <w:numId w:val="1"/>
        </w:numPr>
        <w:tabs>
          <w:tab w:val="left" w:pos="566"/>
        </w:tabs>
        <w:spacing w:after="240" w:line="360" w:lineRule="auto"/>
        <w:ind w:left="566" w:hanging="540"/>
        <w:jc w:val="both"/>
        <w:rPr>
          <w:rFonts w:cs="David"/>
        </w:rPr>
      </w:pPr>
      <w:r w:rsidRPr="00663FC4">
        <w:rPr>
          <w:rFonts w:cs="David" w:hint="cs"/>
          <w:rtl/>
        </w:rPr>
        <w:t>הלכות אלה עולות בקנה אחד עם ההכרה במעמדה של זכות הגישה לערכאות. לא נכביר מלים בעניין זה, אך נבקש להפנות את בית הדין הנכבד לפסיקתו של בית הדין הארצי לעבודה בעניין מוניקה מאלו (</w:t>
      </w:r>
      <w:r w:rsidRPr="00663FC4">
        <w:rPr>
          <w:rFonts w:cs="David"/>
          <w:rtl/>
        </w:rPr>
        <w:t xml:space="preserve">עבל 59462-12/15  </w:t>
      </w:r>
      <w:r w:rsidRPr="00663FC4">
        <w:rPr>
          <w:rFonts w:cs="David"/>
          <w:u w:val="single"/>
          <w:rtl/>
        </w:rPr>
        <w:t>מוניקה מאלו נ' המוסד לביטוח לאומי</w:t>
      </w:r>
      <w:r w:rsidR="00932D99">
        <w:rPr>
          <w:rFonts w:cs="David" w:hint="cs"/>
          <w:u w:val="single"/>
          <w:rtl/>
        </w:rPr>
        <w:t>,</w:t>
      </w:r>
      <w:r w:rsidRPr="00663FC4">
        <w:rPr>
          <w:rFonts w:cs="David" w:hint="cs"/>
          <w:rtl/>
        </w:rPr>
        <w:t xml:space="preserve"> מיום 24.8.2018</w:t>
      </w:r>
      <w:r w:rsidR="00932D99">
        <w:rPr>
          <w:rFonts w:cs="David" w:hint="cs"/>
          <w:rtl/>
        </w:rPr>
        <w:t>)</w:t>
      </w:r>
      <w:r w:rsidRPr="00663FC4">
        <w:rPr>
          <w:rFonts w:cs="David" w:hint="cs"/>
          <w:rtl/>
        </w:rPr>
        <w:t xml:space="preserve">. בית הדין הפך את ההלכה בעניין האפשרות להארכת מועד </w:t>
      </w:r>
      <w:r w:rsidRPr="00663FC4">
        <w:rPr>
          <w:rFonts w:cs="David" w:hint="eastAsia"/>
          <w:rtl/>
        </w:rPr>
        <w:t>הקבוע</w:t>
      </w:r>
      <w:r w:rsidRPr="00663FC4">
        <w:rPr>
          <w:rFonts w:cs="David"/>
          <w:rtl/>
        </w:rPr>
        <w:t xml:space="preserve"> </w:t>
      </w:r>
      <w:r w:rsidRPr="00663FC4">
        <w:rPr>
          <w:rFonts w:cs="David" w:hint="eastAsia"/>
          <w:rtl/>
        </w:rPr>
        <w:t>בדין</w:t>
      </w:r>
      <w:r w:rsidRPr="00663FC4">
        <w:rPr>
          <w:rFonts w:cs="David"/>
          <w:rtl/>
        </w:rPr>
        <w:t xml:space="preserve"> </w:t>
      </w:r>
      <w:r w:rsidRPr="00663FC4">
        <w:rPr>
          <w:rFonts w:cs="David" w:hint="eastAsia"/>
          <w:rtl/>
        </w:rPr>
        <w:t>לצורך</w:t>
      </w:r>
      <w:r w:rsidRPr="00663FC4">
        <w:rPr>
          <w:rFonts w:cs="David"/>
          <w:rtl/>
        </w:rPr>
        <w:t xml:space="preserve"> </w:t>
      </w:r>
      <w:r w:rsidRPr="00663FC4">
        <w:rPr>
          <w:rFonts w:cs="David" w:hint="eastAsia"/>
          <w:rtl/>
        </w:rPr>
        <w:t>הגשת</w:t>
      </w:r>
      <w:r w:rsidRPr="00663FC4">
        <w:rPr>
          <w:rFonts w:cs="David"/>
          <w:rtl/>
        </w:rPr>
        <w:t xml:space="preserve"> </w:t>
      </w:r>
      <w:r w:rsidRPr="00663FC4">
        <w:rPr>
          <w:rFonts w:cs="David" w:hint="eastAsia"/>
          <w:rtl/>
        </w:rPr>
        <w:t>תביעה</w:t>
      </w:r>
      <w:r w:rsidRPr="00663FC4">
        <w:rPr>
          <w:rFonts w:cs="David"/>
          <w:rtl/>
        </w:rPr>
        <w:t xml:space="preserve"> </w:t>
      </w:r>
      <w:r w:rsidRPr="00663FC4">
        <w:rPr>
          <w:rFonts w:cs="David" w:hint="eastAsia"/>
          <w:rtl/>
        </w:rPr>
        <w:t>לבית</w:t>
      </w:r>
      <w:r w:rsidRPr="00663FC4">
        <w:rPr>
          <w:rFonts w:cs="David"/>
          <w:rtl/>
        </w:rPr>
        <w:t xml:space="preserve"> </w:t>
      </w:r>
      <w:r w:rsidRPr="00663FC4">
        <w:rPr>
          <w:rFonts w:cs="David" w:hint="eastAsia"/>
          <w:rtl/>
        </w:rPr>
        <w:t>הדין</w:t>
      </w:r>
      <w:r w:rsidRPr="00663FC4">
        <w:rPr>
          <w:rFonts w:cs="David"/>
          <w:rtl/>
        </w:rPr>
        <w:t xml:space="preserve"> </w:t>
      </w:r>
      <w:r w:rsidRPr="00663FC4">
        <w:rPr>
          <w:rFonts w:cs="David" w:hint="eastAsia"/>
          <w:rtl/>
        </w:rPr>
        <w:t>נגד</w:t>
      </w:r>
      <w:r w:rsidRPr="00663FC4">
        <w:rPr>
          <w:rFonts w:cs="David"/>
          <w:rtl/>
        </w:rPr>
        <w:t xml:space="preserve"> </w:t>
      </w:r>
      <w:r w:rsidRPr="00663FC4">
        <w:rPr>
          <w:rFonts w:cs="David" w:hint="eastAsia"/>
          <w:rtl/>
        </w:rPr>
        <w:t>החלטת</w:t>
      </w:r>
      <w:r w:rsidRPr="00663FC4">
        <w:rPr>
          <w:rFonts w:cs="David"/>
          <w:rtl/>
        </w:rPr>
        <w:t xml:space="preserve"> </w:t>
      </w:r>
      <w:r w:rsidRPr="00663FC4">
        <w:rPr>
          <w:rFonts w:cs="David" w:hint="eastAsia"/>
          <w:rtl/>
        </w:rPr>
        <w:t>המוסד</w:t>
      </w:r>
      <w:r w:rsidRPr="00663FC4">
        <w:rPr>
          <w:rFonts w:cs="David"/>
          <w:rtl/>
        </w:rPr>
        <w:t xml:space="preserve"> </w:t>
      </w:r>
      <w:r w:rsidRPr="00663FC4">
        <w:rPr>
          <w:rFonts w:cs="David" w:hint="eastAsia"/>
          <w:rtl/>
        </w:rPr>
        <w:t>לביטוח</w:t>
      </w:r>
      <w:r w:rsidRPr="00663FC4">
        <w:rPr>
          <w:rFonts w:cs="David"/>
          <w:rtl/>
        </w:rPr>
        <w:t xml:space="preserve"> </w:t>
      </w:r>
      <w:r w:rsidRPr="00663FC4">
        <w:rPr>
          <w:rFonts w:cs="David" w:hint="eastAsia"/>
          <w:rtl/>
        </w:rPr>
        <w:t>לאומי</w:t>
      </w:r>
      <w:r w:rsidR="00663FC4" w:rsidRPr="00663FC4">
        <w:rPr>
          <w:rFonts w:cs="David" w:hint="cs"/>
          <w:rtl/>
        </w:rPr>
        <w:t xml:space="preserve">, כך שגם ללא קביעה מפורשת תהיה לבית הדי סמכות להארכת מועד. </w:t>
      </w:r>
    </w:p>
    <w:p w:rsidR="00663FC4" w:rsidRPr="00663FC4" w:rsidRDefault="00663FC4" w:rsidP="00663FC4">
      <w:pPr>
        <w:tabs>
          <w:tab w:val="left" w:pos="566"/>
        </w:tabs>
        <w:spacing w:after="240" w:line="360" w:lineRule="auto"/>
        <w:ind w:left="566"/>
        <w:jc w:val="both"/>
        <w:rPr>
          <w:rFonts w:cs="David"/>
          <w:rtl/>
        </w:rPr>
      </w:pPr>
      <w:r w:rsidRPr="00663FC4">
        <w:rPr>
          <w:rFonts w:cs="David" w:hint="cs"/>
          <w:rtl/>
        </w:rPr>
        <w:t xml:space="preserve">בית הדין הארצי נימק </w:t>
      </w:r>
      <w:r>
        <w:rPr>
          <w:rFonts w:cs="David" w:hint="cs"/>
          <w:rtl/>
        </w:rPr>
        <w:t xml:space="preserve">את עמדתו כך- </w:t>
      </w:r>
    </w:p>
    <w:p w:rsidR="00663FC4" w:rsidRDefault="00663FC4" w:rsidP="00663FC4">
      <w:pPr>
        <w:spacing w:after="240" w:line="360" w:lineRule="auto"/>
        <w:ind w:left="893" w:right="446"/>
        <w:jc w:val="both"/>
        <w:rPr>
          <w:rFonts w:asciiTheme="majorBidi" w:hAnsiTheme="majorBidi" w:cstheme="majorBidi"/>
          <w:rtl/>
        </w:rPr>
      </w:pPr>
      <w:r>
        <w:rPr>
          <w:rFonts w:asciiTheme="majorBidi" w:hAnsiTheme="majorBidi" w:cstheme="majorBidi" w:hint="cs"/>
          <w:rtl/>
        </w:rPr>
        <w:t>"</w:t>
      </w:r>
      <w:r w:rsidRPr="00663FC4">
        <w:rPr>
          <w:rFonts w:asciiTheme="majorBidi" w:hAnsiTheme="majorBidi" w:cstheme="majorBidi" w:hint="eastAsia"/>
          <w:rtl/>
        </w:rPr>
        <w:t>הטעמים</w:t>
      </w:r>
      <w:r w:rsidRPr="00663FC4">
        <w:rPr>
          <w:rFonts w:asciiTheme="majorBidi" w:hAnsiTheme="majorBidi" w:cstheme="majorBidi"/>
          <w:rtl/>
        </w:rPr>
        <w:t xml:space="preserve"> </w:t>
      </w:r>
      <w:r w:rsidRPr="00663FC4">
        <w:rPr>
          <w:rFonts w:asciiTheme="majorBidi" w:hAnsiTheme="majorBidi" w:cstheme="majorBidi" w:hint="eastAsia"/>
          <w:rtl/>
        </w:rPr>
        <w:t>העיקריים</w:t>
      </w:r>
      <w:r w:rsidRPr="00663FC4">
        <w:rPr>
          <w:rFonts w:asciiTheme="majorBidi" w:hAnsiTheme="majorBidi" w:cstheme="majorBidi"/>
          <w:rtl/>
        </w:rPr>
        <w:t xml:space="preserve"> </w:t>
      </w:r>
      <w:r w:rsidRPr="00663FC4">
        <w:rPr>
          <w:rFonts w:asciiTheme="majorBidi" w:hAnsiTheme="majorBidi" w:cstheme="majorBidi" w:hint="eastAsia"/>
          <w:rtl/>
        </w:rPr>
        <w:t>המצדיקים</w:t>
      </w:r>
      <w:r w:rsidRPr="00663FC4">
        <w:rPr>
          <w:rFonts w:asciiTheme="majorBidi" w:hAnsiTheme="majorBidi" w:cstheme="majorBidi"/>
          <w:rtl/>
        </w:rPr>
        <w:t xml:space="preserve"> </w:t>
      </w:r>
      <w:r w:rsidRPr="00663FC4">
        <w:rPr>
          <w:rFonts w:asciiTheme="majorBidi" w:hAnsiTheme="majorBidi" w:cstheme="majorBidi" w:hint="eastAsia"/>
          <w:rtl/>
        </w:rPr>
        <w:t>זאת</w:t>
      </w:r>
      <w:r w:rsidRPr="00663FC4">
        <w:rPr>
          <w:rFonts w:asciiTheme="majorBidi" w:hAnsiTheme="majorBidi" w:cstheme="majorBidi"/>
          <w:rtl/>
        </w:rPr>
        <w:t xml:space="preserve">, </w:t>
      </w:r>
      <w:r w:rsidRPr="00663FC4">
        <w:rPr>
          <w:rFonts w:asciiTheme="majorBidi" w:hAnsiTheme="majorBidi" w:cstheme="majorBidi" w:hint="eastAsia"/>
          <w:rtl/>
        </w:rPr>
        <w:t>בנוסף</w:t>
      </w:r>
      <w:r w:rsidRPr="00663FC4">
        <w:rPr>
          <w:rFonts w:asciiTheme="majorBidi" w:hAnsiTheme="majorBidi" w:cstheme="majorBidi"/>
          <w:rtl/>
        </w:rPr>
        <w:t xml:space="preserve"> </w:t>
      </w:r>
      <w:r w:rsidRPr="00663FC4">
        <w:rPr>
          <w:rFonts w:asciiTheme="majorBidi" w:hAnsiTheme="majorBidi" w:cstheme="majorBidi" w:hint="eastAsia"/>
          <w:rtl/>
        </w:rPr>
        <w:t>להנמקה</w:t>
      </w:r>
      <w:r w:rsidRPr="00663FC4">
        <w:rPr>
          <w:rFonts w:asciiTheme="majorBidi" w:hAnsiTheme="majorBidi" w:cstheme="majorBidi"/>
          <w:rtl/>
        </w:rPr>
        <w:t xml:space="preserve"> </w:t>
      </w:r>
      <w:r w:rsidRPr="00663FC4">
        <w:rPr>
          <w:rFonts w:asciiTheme="majorBidi" w:hAnsiTheme="majorBidi" w:cstheme="majorBidi" w:hint="eastAsia"/>
          <w:rtl/>
        </w:rPr>
        <w:t>שפורטה</w:t>
      </w:r>
      <w:r w:rsidRPr="00663FC4">
        <w:rPr>
          <w:rFonts w:asciiTheme="majorBidi" w:hAnsiTheme="majorBidi" w:cstheme="majorBidi"/>
          <w:rtl/>
        </w:rPr>
        <w:t xml:space="preserve"> </w:t>
      </w:r>
      <w:r w:rsidRPr="00663FC4">
        <w:rPr>
          <w:rFonts w:asciiTheme="majorBidi" w:hAnsiTheme="majorBidi" w:cstheme="majorBidi" w:hint="eastAsia"/>
          <w:rtl/>
        </w:rPr>
        <w:t>לעיל</w:t>
      </w:r>
      <w:r w:rsidRPr="00663FC4">
        <w:rPr>
          <w:rFonts w:asciiTheme="majorBidi" w:hAnsiTheme="majorBidi" w:cstheme="majorBidi"/>
          <w:rtl/>
        </w:rPr>
        <w:t xml:space="preserve">, </w:t>
      </w:r>
      <w:r w:rsidRPr="00663FC4">
        <w:rPr>
          <w:rFonts w:asciiTheme="majorBidi" w:hAnsiTheme="majorBidi" w:cstheme="majorBidi" w:hint="eastAsia"/>
          <w:rtl/>
        </w:rPr>
        <w:t>הם</w:t>
      </w:r>
      <w:r w:rsidRPr="00663FC4">
        <w:rPr>
          <w:rFonts w:asciiTheme="majorBidi" w:hAnsiTheme="majorBidi" w:cstheme="majorBidi"/>
          <w:rtl/>
        </w:rPr>
        <w:t xml:space="preserve"> </w:t>
      </w:r>
      <w:r w:rsidRPr="00663FC4">
        <w:rPr>
          <w:rFonts w:asciiTheme="majorBidi" w:hAnsiTheme="majorBidi" w:cstheme="majorBidi" w:hint="eastAsia"/>
          <w:b/>
          <w:bCs/>
          <w:u w:val="single"/>
          <w:rtl/>
        </w:rPr>
        <w:t>השינויים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שחלו</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בשנים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שחלפו</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במעמדן</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של</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זכויות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היסוד</w:t>
      </w:r>
      <w:r w:rsidRPr="00663FC4">
        <w:rPr>
          <w:rFonts w:asciiTheme="majorBidi" w:hAnsiTheme="majorBidi" w:cstheme="majorBidi"/>
          <w:rtl/>
        </w:rPr>
        <w:t xml:space="preserve"> (</w:t>
      </w:r>
      <w:r w:rsidRPr="00663FC4">
        <w:rPr>
          <w:rFonts w:asciiTheme="majorBidi" w:hAnsiTheme="majorBidi" w:cstheme="majorBidi" w:hint="eastAsia"/>
          <w:rtl/>
        </w:rPr>
        <w:t>וביניהן</w:t>
      </w:r>
      <w:r w:rsidRPr="00663FC4">
        <w:rPr>
          <w:rFonts w:asciiTheme="majorBidi" w:hAnsiTheme="majorBidi" w:cstheme="majorBidi"/>
          <w:rtl/>
        </w:rPr>
        <w:t xml:space="preserve"> </w:t>
      </w:r>
      <w:r w:rsidRPr="00663FC4">
        <w:rPr>
          <w:rFonts w:asciiTheme="majorBidi" w:hAnsiTheme="majorBidi" w:cstheme="majorBidi" w:hint="eastAsia"/>
          <w:rtl/>
        </w:rPr>
        <w:t>הזכות</w:t>
      </w:r>
      <w:r w:rsidRPr="00663FC4">
        <w:rPr>
          <w:rFonts w:asciiTheme="majorBidi" w:hAnsiTheme="majorBidi" w:cstheme="majorBidi"/>
          <w:rtl/>
        </w:rPr>
        <w:t xml:space="preserve"> </w:t>
      </w:r>
      <w:r w:rsidRPr="00663FC4">
        <w:rPr>
          <w:rFonts w:asciiTheme="majorBidi" w:hAnsiTheme="majorBidi" w:cstheme="majorBidi" w:hint="eastAsia"/>
          <w:rtl/>
        </w:rPr>
        <w:t>לקניין</w:t>
      </w:r>
      <w:r w:rsidRPr="00663FC4">
        <w:rPr>
          <w:rFonts w:asciiTheme="majorBidi" w:hAnsiTheme="majorBidi" w:cstheme="majorBidi"/>
          <w:rtl/>
        </w:rPr>
        <w:t xml:space="preserve"> </w:t>
      </w:r>
      <w:r w:rsidRPr="00663FC4">
        <w:rPr>
          <w:rFonts w:asciiTheme="majorBidi" w:hAnsiTheme="majorBidi" w:cstheme="majorBidi" w:hint="eastAsia"/>
          <w:rtl/>
        </w:rPr>
        <w:t>והזכות</w:t>
      </w:r>
      <w:r w:rsidRPr="00663FC4">
        <w:rPr>
          <w:rFonts w:asciiTheme="majorBidi" w:hAnsiTheme="majorBidi" w:cstheme="majorBidi"/>
          <w:rtl/>
        </w:rPr>
        <w:t xml:space="preserve"> </w:t>
      </w:r>
      <w:r w:rsidRPr="00663FC4">
        <w:rPr>
          <w:rFonts w:asciiTheme="majorBidi" w:hAnsiTheme="majorBidi" w:cstheme="majorBidi" w:hint="eastAsia"/>
          <w:rtl/>
        </w:rPr>
        <w:t>לכבוד</w:t>
      </w:r>
      <w:r w:rsidRPr="00663FC4">
        <w:rPr>
          <w:rFonts w:asciiTheme="majorBidi" w:hAnsiTheme="majorBidi" w:cstheme="majorBidi"/>
          <w:rtl/>
        </w:rPr>
        <w:t xml:space="preserve"> </w:t>
      </w:r>
      <w:r w:rsidRPr="00663FC4">
        <w:rPr>
          <w:rFonts w:asciiTheme="majorBidi" w:hAnsiTheme="majorBidi" w:cstheme="majorBidi" w:hint="eastAsia"/>
          <w:rtl/>
        </w:rPr>
        <w:t>האדם</w:t>
      </w:r>
      <w:r w:rsidRPr="00663FC4">
        <w:rPr>
          <w:rFonts w:asciiTheme="majorBidi" w:hAnsiTheme="majorBidi" w:cstheme="majorBidi"/>
          <w:rtl/>
        </w:rPr>
        <w:t xml:space="preserve"> </w:t>
      </w:r>
      <w:r w:rsidRPr="00663FC4">
        <w:rPr>
          <w:rFonts w:asciiTheme="majorBidi" w:hAnsiTheme="majorBidi" w:cstheme="majorBidi" w:hint="eastAsia"/>
          <w:rtl/>
        </w:rPr>
        <w:t>שהוכרו</w:t>
      </w:r>
      <w:r w:rsidRPr="00663FC4">
        <w:rPr>
          <w:rFonts w:asciiTheme="majorBidi" w:hAnsiTheme="majorBidi" w:cstheme="majorBidi"/>
          <w:rtl/>
        </w:rPr>
        <w:t xml:space="preserve"> </w:t>
      </w:r>
      <w:r w:rsidRPr="00663FC4">
        <w:rPr>
          <w:rFonts w:asciiTheme="majorBidi" w:hAnsiTheme="majorBidi" w:cstheme="majorBidi" w:hint="eastAsia"/>
          <w:rtl/>
        </w:rPr>
        <w:t>כזכויות</w:t>
      </w:r>
      <w:r w:rsidRPr="00663FC4">
        <w:rPr>
          <w:rFonts w:asciiTheme="majorBidi" w:hAnsiTheme="majorBidi" w:cstheme="majorBidi"/>
          <w:rtl/>
        </w:rPr>
        <w:t xml:space="preserve"> </w:t>
      </w:r>
      <w:r w:rsidRPr="00663FC4">
        <w:rPr>
          <w:rFonts w:asciiTheme="majorBidi" w:hAnsiTheme="majorBidi" w:cstheme="majorBidi" w:hint="eastAsia"/>
          <w:rtl/>
        </w:rPr>
        <w:t>חוקתיות</w:t>
      </w:r>
      <w:r w:rsidRPr="00663FC4">
        <w:rPr>
          <w:rFonts w:asciiTheme="majorBidi" w:hAnsiTheme="majorBidi" w:cstheme="majorBidi"/>
          <w:rtl/>
        </w:rPr>
        <w:t xml:space="preserve">); </w:t>
      </w:r>
      <w:r w:rsidRPr="00663FC4">
        <w:rPr>
          <w:rFonts w:asciiTheme="majorBidi" w:hAnsiTheme="majorBidi" w:cstheme="majorBidi" w:hint="eastAsia"/>
          <w:b/>
          <w:bCs/>
          <w:u w:val="single"/>
          <w:rtl/>
        </w:rPr>
        <w:t>המעמד</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הבכיר</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שניתן</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לזכות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הגישה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לערכאות</w:t>
      </w:r>
      <w:r w:rsidRPr="00663FC4">
        <w:rPr>
          <w:rFonts w:asciiTheme="majorBidi" w:hAnsiTheme="majorBidi" w:cstheme="majorBidi"/>
          <w:rtl/>
        </w:rPr>
        <w:t xml:space="preserve">; </w:t>
      </w:r>
      <w:r w:rsidRPr="00663FC4">
        <w:rPr>
          <w:rFonts w:asciiTheme="majorBidi" w:hAnsiTheme="majorBidi" w:cstheme="majorBidi" w:hint="eastAsia"/>
          <w:b/>
          <w:bCs/>
          <w:u w:val="single"/>
          <w:rtl/>
        </w:rPr>
        <w:t>המעבר</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הכללי</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בפסיקה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מכללים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נוקשים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לאמות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מידה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גמישות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יותר</w:t>
      </w:r>
      <w:r w:rsidRPr="00663FC4">
        <w:rPr>
          <w:rFonts w:asciiTheme="majorBidi" w:hAnsiTheme="majorBidi" w:cstheme="majorBidi"/>
          <w:rtl/>
        </w:rPr>
        <w:t xml:space="preserve"> (</w:t>
      </w:r>
      <w:r w:rsidRPr="00663FC4">
        <w:rPr>
          <w:rFonts w:asciiTheme="majorBidi" w:hAnsiTheme="majorBidi" w:cstheme="majorBidi" w:hint="eastAsia"/>
          <w:rtl/>
        </w:rPr>
        <w:t>בכלל</w:t>
      </w:r>
      <w:r w:rsidRPr="00663FC4">
        <w:rPr>
          <w:rFonts w:asciiTheme="majorBidi" w:hAnsiTheme="majorBidi" w:cstheme="majorBidi"/>
          <w:rtl/>
        </w:rPr>
        <w:t xml:space="preserve"> </w:t>
      </w:r>
      <w:r w:rsidRPr="00663FC4">
        <w:rPr>
          <w:rFonts w:asciiTheme="majorBidi" w:hAnsiTheme="majorBidi" w:cstheme="majorBidi" w:hint="eastAsia"/>
          <w:rtl/>
        </w:rPr>
        <w:t>ובהקשר</w:t>
      </w:r>
      <w:r w:rsidRPr="00663FC4">
        <w:rPr>
          <w:rFonts w:asciiTheme="majorBidi" w:hAnsiTheme="majorBidi" w:cstheme="majorBidi"/>
          <w:rtl/>
        </w:rPr>
        <w:t xml:space="preserve"> </w:t>
      </w:r>
      <w:r w:rsidRPr="00663FC4">
        <w:rPr>
          <w:rFonts w:asciiTheme="majorBidi" w:hAnsiTheme="majorBidi" w:cstheme="majorBidi" w:hint="eastAsia"/>
          <w:rtl/>
        </w:rPr>
        <w:t>של</w:t>
      </w:r>
      <w:r w:rsidRPr="00663FC4">
        <w:rPr>
          <w:rFonts w:asciiTheme="majorBidi" w:hAnsiTheme="majorBidi" w:cstheme="majorBidi"/>
          <w:rtl/>
        </w:rPr>
        <w:t xml:space="preserve"> </w:t>
      </w:r>
      <w:r w:rsidRPr="00663FC4">
        <w:rPr>
          <w:rFonts w:asciiTheme="majorBidi" w:hAnsiTheme="majorBidi" w:cstheme="majorBidi" w:hint="eastAsia"/>
          <w:rtl/>
        </w:rPr>
        <w:t>סדרי</w:t>
      </w:r>
      <w:r w:rsidRPr="00663FC4">
        <w:rPr>
          <w:rFonts w:asciiTheme="majorBidi" w:hAnsiTheme="majorBidi" w:cstheme="majorBidi"/>
          <w:rtl/>
        </w:rPr>
        <w:t xml:space="preserve"> </w:t>
      </w:r>
      <w:r w:rsidRPr="00663FC4">
        <w:rPr>
          <w:rFonts w:asciiTheme="majorBidi" w:hAnsiTheme="majorBidi" w:cstheme="majorBidi" w:hint="eastAsia"/>
          <w:rtl/>
        </w:rPr>
        <w:t>דין</w:t>
      </w:r>
      <w:r w:rsidRPr="00663FC4">
        <w:rPr>
          <w:rFonts w:asciiTheme="majorBidi" w:hAnsiTheme="majorBidi" w:cstheme="majorBidi"/>
          <w:rtl/>
        </w:rPr>
        <w:t xml:space="preserve"> </w:t>
      </w:r>
      <w:r w:rsidRPr="00663FC4">
        <w:rPr>
          <w:rFonts w:asciiTheme="majorBidi" w:hAnsiTheme="majorBidi" w:cstheme="majorBidi" w:hint="eastAsia"/>
          <w:rtl/>
        </w:rPr>
        <w:t>והארכות</w:t>
      </w:r>
      <w:r w:rsidRPr="00663FC4">
        <w:rPr>
          <w:rFonts w:asciiTheme="majorBidi" w:hAnsiTheme="majorBidi" w:cstheme="majorBidi"/>
          <w:rtl/>
        </w:rPr>
        <w:t xml:space="preserve"> </w:t>
      </w:r>
      <w:r w:rsidRPr="00663FC4">
        <w:rPr>
          <w:rFonts w:asciiTheme="majorBidi" w:hAnsiTheme="majorBidi" w:cstheme="majorBidi" w:hint="eastAsia"/>
          <w:rtl/>
        </w:rPr>
        <w:t>מועד</w:t>
      </w:r>
      <w:r w:rsidRPr="00663FC4">
        <w:rPr>
          <w:rFonts w:asciiTheme="majorBidi" w:hAnsiTheme="majorBidi" w:cstheme="majorBidi"/>
          <w:rtl/>
        </w:rPr>
        <w:t xml:space="preserve"> </w:t>
      </w:r>
      <w:r w:rsidRPr="00663FC4">
        <w:rPr>
          <w:rFonts w:asciiTheme="majorBidi" w:hAnsiTheme="majorBidi" w:cstheme="majorBidi" w:hint="eastAsia"/>
          <w:rtl/>
        </w:rPr>
        <w:t>בפרט</w:t>
      </w:r>
      <w:r w:rsidRPr="00663FC4">
        <w:rPr>
          <w:rFonts w:asciiTheme="majorBidi" w:hAnsiTheme="majorBidi" w:cstheme="majorBidi"/>
          <w:rtl/>
        </w:rPr>
        <w:t xml:space="preserve"> - </w:t>
      </w:r>
      <w:r w:rsidRPr="00663FC4">
        <w:rPr>
          <w:rFonts w:asciiTheme="majorBidi" w:hAnsiTheme="majorBidi" w:cstheme="majorBidi" w:hint="eastAsia"/>
          <w:rtl/>
        </w:rPr>
        <w:t>ראו</w:t>
      </w:r>
      <w:r w:rsidRPr="00663FC4">
        <w:rPr>
          <w:rFonts w:asciiTheme="majorBidi" w:hAnsiTheme="majorBidi" w:cstheme="majorBidi"/>
          <w:rtl/>
        </w:rPr>
        <w:t xml:space="preserve"> </w:t>
      </w:r>
      <w:r w:rsidRPr="00663FC4">
        <w:rPr>
          <w:rFonts w:asciiTheme="majorBidi" w:hAnsiTheme="majorBidi" w:cstheme="majorBidi" w:hint="eastAsia"/>
          <w:rtl/>
        </w:rPr>
        <w:t>למשל</w:t>
      </w:r>
      <w:r w:rsidRPr="00663FC4">
        <w:rPr>
          <w:rFonts w:asciiTheme="majorBidi" w:hAnsiTheme="majorBidi" w:cstheme="majorBidi"/>
          <w:rtl/>
        </w:rPr>
        <w:t xml:space="preserve"> </w:t>
      </w:r>
      <w:r w:rsidRPr="00663FC4">
        <w:rPr>
          <w:rFonts w:asciiTheme="majorBidi" w:hAnsiTheme="majorBidi" w:cstheme="majorBidi" w:hint="eastAsia"/>
          <w:rtl/>
        </w:rPr>
        <w:t>את</w:t>
      </w:r>
      <w:r w:rsidRPr="00663FC4">
        <w:rPr>
          <w:rFonts w:asciiTheme="majorBidi" w:hAnsiTheme="majorBidi" w:cstheme="majorBidi"/>
          <w:rtl/>
        </w:rPr>
        <w:t xml:space="preserve"> </w:t>
      </w:r>
      <w:hyperlink r:id="rId8" w:tgtFrame="Psak_28240" w:history="1">
        <w:r w:rsidRPr="00663FC4">
          <w:rPr>
            <w:rFonts w:asciiTheme="majorBidi" w:hAnsiTheme="majorBidi" w:cstheme="majorBidi" w:hint="eastAsia"/>
            <w:rtl/>
          </w:rPr>
          <w:t>בר</w:t>
        </w:r>
        <w:r w:rsidRPr="00663FC4">
          <w:rPr>
            <w:rFonts w:asciiTheme="majorBidi" w:hAnsiTheme="majorBidi" w:cstheme="majorBidi"/>
            <w:rtl/>
          </w:rPr>
          <w:t>"</w:t>
        </w:r>
        <w:r w:rsidRPr="00663FC4">
          <w:rPr>
            <w:rFonts w:asciiTheme="majorBidi" w:hAnsiTheme="majorBidi" w:cstheme="majorBidi" w:hint="eastAsia"/>
            <w:rtl/>
          </w:rPr>
          <w:t>מ</w:t>
        </w:r>
        <w:r w:rsidRPr="00663FC4">
          <w:rPr>
            <w:rFonts w:asciiTheme="majorBidi" w:hAnsiTheme="majorBidi" w:cstheme="majorBidi"/>
            <w:rtl/>
          </w:rPr>
          <w:t xml:space="preserve"> 2340/02</w:t>
        </w:r>
      </w:hyperlink>
      <w:r w:rsidRPr="00663FC4">
        <w:rPr>
          <w:rFonts w:asciiTheme="majorBidi" w:hAnsiTheme="majorBidi" w:cstheme="majorBidi"/>
          <w:rtl/>
        </w:rPr>
        <w:t xml:space="preserve"> </w:t>
      </w:r>
      <w:r w:rsidRPr="00663FC4">
        <w:rPr>
          <w:rFonts w:asciiTheme="majorBidi" w:hAnsiTheme="majorBidi" w:cstheme="majorBidi" w:hint="eastAsia"/>
          <w:u w:val="single"/>
          <w:rtl/>
        </w:rPr>
        <w:t>הוועדה</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המקומית</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לתכנון</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ובנייה</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רמת</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השרון</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נ</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וכט</w:t>
      </w:r>
      <w:r w:rsidRPr="00663FC4">
        <w:rPr>
          <w:rFonts w:asciiTheme="majorBidi" w:hAnsiTheme="majorBidi" w:cstheme="majorBidi"/>
          <w:rtl/>
        </w:rPr>
        <w:t xml:space="preserve">, </w:t>
      </w:r>
      <w:r w:rsidRPr="00663FC4">
        <w:rPr>
          <w:rFonts w:asciiTheme="majorBidi" w:hAnsiTheme="majorBidi" w:cstheme="majorBidi" w:hint="eastAsia"/>
          <w:rtl/>
        </w:rPr>
        <w:t>פ</w:t>
      </w:r>
      <w:r w:rsidRPr="00663FC4">
        <w:rPr>
          <w:rFonts w:asciiTheme="majorBidi" w:hAnsiTheme="majorBidi" w:cstheme="majorBidi"/>
          <w:rtl/>
        </w:rPr>
        <w:t>"</w:t>
      </w:r>
      <w:r w:rsidRPr="00663FC4">
        <w:rPr>
          <w:rFonts w:asciiTheme="majorBidi" w:hAnsiTheme="majorBidi" w:cstheme="majorBidi" w:hint="eastAsia"/>
          <w:rtl/>
        </w:rPr>
        <w:t>ד</w:t>
      </w:r>
      <w:r w:rsidRPr="00663FC4">
        <w:rPr>
          <w:rFonts w:asciiTheme="majorBidi" w:hAnsiTheme="majorBidi" w:cstheme="majorBidi"/>
          <w:rtl/>
        </w:rPr>
        <w:t xml:space="preserve"> </w:t>
      </w:r>
      <w:r w:rsidRPr="00663FC4">
        <w:rPr>
          <w:rFonts w:asciiTheme="majorBidi" w:hAnsiTheme="majorBidi" w:cstheme="majorBidi" w:hint="eastAsia"/>
          <w:rtl/>
        </w:rPr>
        <w:t>נז</w:t>
      </w:r>
      <w:r w:rsidRPr="00663FC4">
        <w:rPr>
          <w:rFonts w:asciiTheme="majorBidi" w:hAnsiTheme="majorBidi" w:cstheme="majorBidi"/>
          <w:rtl/>
        </w:rPr>
        <w:t xml:space="preserve">(3) 385 (2003)); </w:t>
      </w:r>
      <w:r w:rsidRPr="00663FC4">
        <w:rPr>
          <w:rFonts w:asciiTheme="majorBidi" w:hAnsiTheme="majorBidi" w:cstheme="majorBidi" w:hint="eastAsia"/>
          <w:b/>
          <w:bCs/>
          <w:u w:val="single"/>
          <w:rtl/>
        </w:rPr>
        <w:t>וההכרה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ההולכת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וגדלה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בחסמים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השונים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המקשים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על</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מיצוי</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זכויות</w:t>
      </w:r>
      <w:r w:rsidRPr="00663FC4">
        <w:rPr>
          <w:rFonts w:asciiTheme="majorBidi" w:hAnsiTheme="majorBidi" w:cstheme="majorBidi"/>
          <w:rtl/>
        </w:rPr>
        <w:t xml:space="preserve">, </w:t>
      </w:r>
      <w:r w:rsidRPr="00663FC4">
        <w:rPr>
          <w:rFonts w:asciiTheme="majorBidi" w:hAnsiTheme="majorBidi" w:cstheme="majorBidi" w:hint="eastAsia"/>
          <w:rtl/>
        </w:rPr>
        <w:t>ודאי</w:t>
      </w:r>
      <w:r w:rsidRPr="00663FC4">
        <w:rPr>
          <w:rFonts w:asciiTheme="majorBidi" w:hAnsiTheme="majorBidi" w:cstheme="majorBidi"/>
          <w:rtl/>
        </w:rPr>
        <w:t xml:space="preserve"> </w:t>
      </w:r>
      <w:r w:rsidRPr="00663FC4">
        <w:rPr>
          <w:rFonts w:asciiTheme="majorBidi" w:hAnsiTheme="majorBidi" w:cstheme="majorBidi" w:hint="eastAsia"/>
          <w:rtl/>
        </w:rPr>
        <w:t>בהתייחס</w:t>
      </w:r>
      <w:r w:rsidRPr="00663FC4">
        <w:rPr>
          <w:rFonts w:asciiTheme="majorBidi" w:hAnsiTheme="majorBidi" w:cstheme="majorBidi"/>
          <w:rtl/>
        </w:rPr>
        <w:t xml:space="preserve"> </w:t>
      </w:r>
      <w:r w:rsidRPr="00663FC4">
        <w:rPr>
          <w:rFonts w:asciiTheme="majorBidi" w:hAnsiTheme="majorBidi" w:cstheme="majorBidi" w:hint="eastAsia"/>
          <w:rtl/>
        </w:rPr>
        <w:t>לאוכלוסיות</w:t>
      </w:r>
      <w:r w:rsidRPr="00663FC4">
        <w:rPr>
          <w:rFonts w:asciiTheme="majorBidi" w:hAnsiTheme="majorBidi" w:cstheme="majorBidi"/>
          <w:rtl/>
        </w:rPr>
        <w:t xml:space="preserve"> </w:t>
      </w:r>
      <w:r w:rsidRPr="00663FC4">
        <w:rPr>
          <w:rFonts w:asciiTheme="majorBidi" w:hAnsiTheme="majorBidi" w:cstheme="majorBidi" w:hint="eastAsia"/>
          <w:rtl/>
        </w:rPr>
        <w:t>המוחלשות</w:t>
      </w:r>
      <w:r w:rsidRPr="00663FC4">
        <w:rPr>
          <w:rFonts w:asciiTheme="majorBidi" w:hAnsiTheme="majorBidi" w:cstheme="majorBidi"/>
          <w:rtl/>
        </w:rPr>
        <w:t xml:space="preserve"> </w:t>
      </w:r>
      <w:r w:rsidRPr="00663FC4">
        <w:rPr>
          <w:rFonts w:asciiTheme="majorBidi" w:hAnsiTheme="majorBidi" w:cstheme="majorBidi" w:hint="eastAsia"/>
          <w:rtl/>
        </w:rPr>
        <w:t>הזקוקות</w:t>
      </w:r>
      <w:r w:rsidRPr="00663FC4">
        <w:rPr>
          <w:rFonts w:asciiTheme="majorBidi" w:hAnsiTheme="majorBidi" w:cstheme="majorBidi"/>
          <w:rtl/>
        </w:rPr>
        <w:t xml:space="preserve"> </w:t>
      </w:r>
      <w:r w:rsidRPr="00663FC4">
        <w:rPr>
          <w:rFonts w:asciiTheme="majorBidi" w:hAnsiTheme="majorBidi" w:cstheme="majorBidi" w:hint="eastAsia"/>
          <w:rtl/>
        </w:rPr>
        <w:t>יותר</w:t>
      </w:r>
      <w:r w:rsidRPr="00663FC4">
        <w:rPr>
          <w:rFonts w:asciiTheme="majorBidi" w:hAnsiTheme="majorBidi" w:cstheme="majorBidi"/>
          <w:rtl/>
        </w:rPr>
        <w:t xml:space="preserve"> </w:t>
      </w:r>
      <w:r w:rsidRPr="00663FC4">
        <w:rPr>
          <w:rFonts w:asciiTheme="majorBidi" w:hAnsiTheme="majorBidi" w:cstheme="majorBidi" w:hint="eastAsia"/>
          <w:rtl/>
        </w:rPr>
        <w:t>מכול</w:t>
      </w:r>
      <w:r w:rsidRPr="00663FC4">
        <w:rPr>
          <w:rFonts w:asciiTheme="majorBidi" w:hAnsiTheme="majorBidi" w:cstheme="majorBidi"/>
          <w:rtl/>
        </w:rPr>
        <w:t xml:space="preserve"> </w:t>
      </w:r>
      <w:r w:rsidRPr="00663FC4">
        <w:rPr>
          <w:rFonts w:asciiTheme="majorBidi" w:hAnsiTheme="majorBidi" w:cstheme="majorBidi" w:hint="eastAsia"/>
          <w:rtl/>
        </w:rPr>
        <w:t>לזכויות</w:t>
      </w:r>
      <w:r w:rsidRPr="00663FC4">
        <w:rPr>
          <w:rFonts w:asciiTheme="majorBidi" w:hAnsiTheme="majorBidi" w:cstheme="majorBidi"/>
          <w:rtl/>
        </w:rPr>
        <w:t xml:space="preserve"> </w:t>
      </w:r>
      <w:r w:rsidRPr="00663FC4">
        <w:rPr>
          <w:rFonts w:asciiTheme="majorBidi" w:hAnsiTheme="majorBidi" w:cstheme="majorBidi" w:hint="eastAsia"/>
          <w:rtl/>
        </w:rPr>
        <w:t>מכוח</w:t>
      </w:r>
      <w:r w:rsidRPr="00663FC4">
        <w:rPr>
          <w:rFonts w:asciiTheme="majorBidi" w:hAnsiTheme="majorBidi" w:cstheme="majorBidi"/>
          <w:rtl/>
        </w:rPr>
        <w:t xml:space="preserve"> </w:t>
      </w:r>
      <w:r w:rsidRPr="00663FC4">
        <w:rPr>
          <w:rFonts w:asciiTheme="majorBidi" w:hAnsiTheme="majorBidi" w:cstheme="majorBidi" w:hint="eastAsia"/>
          <w:rtl/>
        </w:rPr>
        <w:t>חוק</w:t>
      </w:r>
      <w:r w:rsidRPr="00663FC4">
        <w:rPr>
          <w:rFonts w:asciiTheme="majorBidi" w:hAnsiTheme="majorBidi" w:cstheme="majorBidi"/>
          <w:rtl/>
        </w:rPr>
        <w:t xml:space="preserve"> </w:t>
      </w:r>
      <w:r w:rsidRPr="00663FC4">
        <w:rPr>
          <w:rFonts w:asciiTheme="majorBidi" w:hAnsiTheme="majorBidi" w:cstheme="majorBidi" w:hint="eastAsia"/>
          <w:rtl/>
        </w:rPr>
        <w:t>הביטוח</w:t>
      </w:r>
      <w:r w:rsidRPr="00663FC4">
        <w:rPr>
          <w:rFonts w:asciiTheme="majorBidi" w:hAnsiTheme="majorBidi" w:cstheme="majorBidi"/>
          <w:rtl/>
        </w:rPr>
        <w:t xml:space="preserve"> </w:t>
      </w:r>
      <w:r w:rsidRPr="00663FC4">
        <w:rPr>
          <w:rFonts w:asciiTheme="majorBidi" w:hAnsiTheme="majorBidi" w:cstheme="majorBidi" w:hint="eastAsia"/>
          <w:rtl/>
        </w:rPr>
        <w:t>הלאומי</w:t>
      </w:r>
      <w:r>
        <w:rPr>
          <w:rFonts w:asciiTheme="majorBidi" w:hAnsiTheme="majorBidi" w:cstheme="majorBidi" w:hint="cs"/>
          <w:rtl/>
        </w:rPr>
        <w:t xml:space="preserve"> ...".</w:t>
      </w:r>
    </w:p>
    <w:p w:rsidR="00663FC4" w:rsidRDefault="00663FC4" w:rsidP="00663FC4">
      <w:pPr>
        <w:tabs>
          <w:tab w:val="left" w:pos="566"/>
        </w:tabs>
        <w:spacing w:after="240" w:line="360" w:lineRule="auto"/>
        <w:ind w:left="566"/>
        <w:jc w:val="both"/>
        <w:rPr>
          <w:rFonts w:cs="David"/>
        </w:rPr>
      </w:pPr>
      <w:r>
        <w:rPr>
          <w:rFonts w:cs="David" w:hint="cs"/>
          <w:rtl/>
        </w:rPr>
        <w:t xml:space="preserve">נימוקים אלה יפים בכל מקרה בו בוחנים בקשה "לסילוק" על הסף, על אחת כמה וכמה כאשר בקשה כאמור מוגשת מטעם המדינה. ונוסיף כי פסק הדין בעניין מוניקה מאלו מלמד גם על הלך הרוח של </w:t>
      </w:r>
      <w:r>
        <w:rPr>
          <w:rFonts w:cs="David" w:hint="cs"/>
          <w:rtl/>
        </w:rPr>
        <w:lastRenderedPageBreak/>
        <w:t>בתי הדין בכל הנוגע לבקשות מסוג הבקשה שבכותרת, בקשות שמטרתן למנוע את זכותו של עובד לקבל את יומו בבית הדין.</w:t>
      </w:r>
    </w:p>
    <w:p w:rsidR="008F5336" w:rsidRDefault="008F5336" w:rsidP="00057EF8">
      <w:pPr>
        <w:numPr>
          <w:ilvl w:val="0"/>
          <w:numId w:val="1"/>
        </w:numPr>
        <w:tabs>
          <w:tab w:val="left" w:pos="566"/>
        </w:tabs>
        <w:spacing w:after="240" w:line="360" w:lineRule="auto"/>
        <w:ind w:left="566" w:hanging="540"/>
        <w:jc w:val="both"/>
        <w:rPr>
          <w:rFonts w:cs="David"/>
        </w:rPr>
      </w:pPr>
      <w:r w:rsidRPr="00BA015B">
        <w:rPr>
          <w:rFonts w:cs="David" w:hint="eastAsia"/>
          <w:rtl/>
        </w:rPr>
        <w:t>בהתאם</w:t>
      </w:r>
      <w:r w:rsidRPr="00BA015B">
        <w:rPr>
          <w:rFonts w:cs="David"/>
          <w:rtl/>
        </w:rPr>
        <w:t xml:space="preserve"> לכך, </w:t>
      </w:r>
      <w:r w:rsidRPr="002433DF">
        <w:rPr>
          <w:rFonts w:cs="David" w:hint="eastAsia"/>
          <w:b/>
          <w:bCs/>
          <w:rtl/>
        </w:rPr>
        <w:t>יש</w:t>
      </w:r>
      <w:r w:rsidRPr="002433DF">
        <w:rPr>
          <w:rFonts w:cs="David"/>
          <w:b/>
          <w:bCs/>
          <w:rtl/>
        </w:rPr>
        <w:t xml:space="preserve"> לבחון בזהירות את הבקשה כולה, וכל אחת מעילותיה בנפרד, על מנת לבחון האם </w:t>
      </w:r>
      <w:r w:rsidRPr="002433DF">
        <w:rPr>
          <w:rFonts w:cs="David" w:hint="eastAsia"/>
          <w:b/>
          <w:bCs/>
          <w:rtl/>
        </w:rPr>
        <w:t>התקיימו</w:t>
      </w:r>
      <w:r w:rsidRPr="002433DF">
        <w:rPr>
          <w:rFonts w:cs="David"/>
          <w:b/>
          <w:bCs/>
          <w:rtl/>
        </w:rPr>
        <w:t xml:space="preserve"> התנאים יוצאי הדופן לדחייה </w:t>
      </w:r>
      <w:r>
        <w:rPr>
          <w:rFonts w:cs="David" w:hint="cs"/>
          <w:b/>
          <w:bCs/>
          <w:rtl/>
        </w:rPr>
        <w:t xml:space="preserve">או </w:t>
      </w:r>
      <w:r w:rsidR="00A31BF2">
        <w:rPr>
          <w:rFonts w:cs="David" w:hint="cs"/>
          <w:b/>
          <w:bCs/>
          <w:rtl/>
        </w:rPr>
        <w:t>אף ל</w:t>
      </w:r>
      <w:r>
        <w:rPr>
          <w:rFonts w:cs="David" w:hint="cs"/>
          <w:b/>
          <w:bCs/>
          <w:rtl/>
        </w:rPr>
        <w:t xml:space="preserve">מחיקה </w:t>
      </w:r>
      <w:r w:rsidRPr="002433DF">
        <w:rPr>
          <w:rFonts w:cs="David"/>
          <w:b/>
          <w:bCs/>
          <w:rtl/>
        </w:rPr>
        <w:t>על הסף</w:t>
      </w:r>
      <w:r>
        <w:rPr>
          <w:rFonts w:cs="David" w:hint="cs"/>
          <w:rtl/>
        </w:rPr>
        <w:t>.</w:t>
      </w:r>
    </w:p>
    <w:p w:rsidR="00E51A43" w:rsidRPr="00E51A43" w:rsidRDefault="00E51A43" w:rsidP="00E51A43">
      <w:pPr>
        <w:keepNext/>
        <w:spacing w:after="240" w:line="360" w:lineRule="auto"/>
        <w:jc w:val="both"/>
        <w:outlineLvl w:val="3"/>
        <w:rPr>
          <w:rFonts w:cs="David"/>
          <w:b/>
          <w:bCs/>
          <w:i/>
          <w:iCs/>
          <w:sz w:val="28"/>
          <w:szCs w:val="28"/>
        </w:rPr>
      </w:pPr>
      <w:r w:rsidRPr="00E51A43">
        <w:rPr>
          <w:rFonts w:cs="David" w:hint="eastAsia"/>
          <w:b/>
          <w:bCs/>
          <w:i/>
          <w:iCs/>
          <w:sz w:val="28"/>
          <w:szCs w:val="28"/>
          <w:rtl/>
        </w:rPr>
        <w:t>התייחסות</w:t>
      </w:r>
      <w:r w:rsidRPr="00E51A43">
        <w:rPr>
          <w:rFonts w:cs="David"/>
          <w:b/>
          <w:bCs/>
          <w:i/>
          <w:iCs/>
          <w:sz w:val="28"/>
          <w:szCs w:val="28"/>
          <w:rtl/>
        </w:rPr>
        <w:t xml:space="preserve"> </w:t>
      </w:r>
      <w:r>
        <w:rPr>
          <w:rFonts w:cs="David" w:hint="cs"/>
          <w:b/>
          <w:bCs/>
          <w:i/>
          <w:iCs/>
          <w:sz w:val="28"/>
          <w:szCs w:val="28"/>
          <w:rtl/>
        </w:rPr>
        <w:t>המשיב</w:t>
      </w:r>
      <w:r w:rsidRPr="00E51A43">
        <w:rPr>
          <w:rFonts w:cs="David" w:hint="cs"/>
          <w:b/>
          <w:bCs/>
          <w:i/>
          <w:iCs/>
          <w:sz w:val="28"/>
          <w:szCs w:val="28"/>
          <w:rtl/>
        </w:rPr>
        <w:t xml:space="preserve"> </w:t>
      </w:r>
      <w:r w:rsidRPr="00E51A43">
        <w:rPr>
          <w:rFonts w:cs="David" w:hint="eastAsia"/>
          <w:b/>
          <w:bCs/>
          <w:i/>
          <w:iCs/>
          <w:sz w:val="28"/>
          <w:szCs w:val="28"/>
          <w:rtl/>
        </w:rPr>
        <w:t>ל</w:t>
      </w:r>
      <w:r w:rsidRPr="00E51A43">
        <w:rPr>
          <w:rFonts w:cs="David" w:hint="cs"/>
          <w:b/>
          <w:bCs/>
          <w:i/>
          <w:iCs/>
          <w:sz w:val="28"/>
          <w:szCs w:val="28"/>
          <w:rtl/>
        </w:rPr>
        <w:t>גופן של ה</w:t>
      </w:r>
      <w:r w:rsidRPr="00E51A43">
        <w:rPr>
          <w:rFonts w:cs="David" w:hint="eastAsia"/>
          <w:b/>
          <w:bCs/>
          <w:i/>
          <w:iCs/>
          <w:sz w:val="28"/>
          <w:szCs w:val="28"/>
          <w:rtl/>
        </w:rPr>
        <w:t>טענות</w:t>
      </w:r>
      <w:r w:rsidR="00B913C5">
        <w:rPr>
          <w:rFonts w:cs="David" w:hint="cs"/>
          <w:b/>
          <w:bCs/>
          <w:i/>
          <w:iCs/>
          <w:sz w:val="28"/>
          <w:szCs w:val="28"/>
          <w:rtl/>
        </w:rPr>
        <w:t>:</w:t>
      </w:r>
    </w:p>
    <w:p w:rsidR="007172BD" w:rsidRPr="007172BD" w:rsidRDefault="002D7E20" w:rsidP="00057EF8">
      <w:pPr>
        <w:pStyle w:val="2"/>
        <w:numPr>
          <w:ilvl w:val="0"/>
          <w:numId w:val="2"/>
        </w:numPr>
        <w:tabs>
          <w:tab w:val="clear" w:pos="566"/>
          <w:tab w:val="left" w:pos="656"/>
        </w:tabs>
        <w:spacing w:after="120"/>
        <w:ind w:left="656" w:hanging="486"/>
        <w:rPr>
          <w:sz w:val="28"/>
          <w:rtl/>
          <w:lang w:eastAsia="en-US"/>
        </w:rPr>
      </w:pPr>
      <w:r>
        <w:rPr>
          <w:rFonts w:hint="cs"/>
          <w:sz w:val="28"/>
          <w:rtl/>
          <w:lang w:eastAsia="en-US"/>
        </w:rPr>
        <w:t>טענת המבקשות בעניין "איחור" בהגשת התובענה</w:t>
      </w:r>
    </w:p>
    <w:p w:rsidR="008277A4" w:rsidRDefault="00A555C7" w:rsidP="008277A4">
      <w:pPr>
        <w:tabs>
          <w:tab w:val="left" w:pos="566"/>
        </w:tabs>
        <w:spacing w:after="240" w:line="360" w:lineRule="auto"/>
        <w:jc w:val="both"/>
        <w:rPr>
          <w:rFonts w:cs="David"/>
          <w:rtl/>
        </w:rPr>
      </w:pPr>
      <w:r>
        <w:rPr>
          <w:rFonts w:cs="David" w:hint="cs"/>
          <w:rtl/>
        </w:rPr>
        <w:t xml:space="preserve">המבקשות טוענות כי היה על המשיב להגיש ערעור גמלה תוך 60 ימים ממועד קבלת החלטת הממונה, וזאת בהתאם להוראות תקנות שירות המדינה (גימלאות) (המועד להגשת ערעור), התש"ל </w:t>
      </w:r>
      <w:r>
        <w:rPr>
          <w:rFonts w:cs="David"/>
          <w:rtl/>
        </w:rPr>
        <w:t>–</w:t>
      </w:r>
      <w:r>
        <w:rPr>
          <w:rFonts w:cs="David" w:hint="cs"/>
          <w:rtl/>
        </w:rPr>
        <w:t xml:space="preserve"> 1970</w:t>
      </w:r>
      <w:r w:rsidR="00932D99">
        <w:rPr>
          <w:rFonts w:cs="David" w:hint="cs"/>
          <w:rtl/>
        </w:rPr>
        <w:t xml:space="preserve"> (להלן "</w:t>
      </w:r>
      <w:r w:rsidR="00932D99">
        <w:rPr>
          <w:rFonts w:cs="David" w:hint="cs"/>
          <w:b/>
          <w:bCs/>
          <w:rtl/>
        </w:rPr>
        <w:t>חוק הגמלאות</w:t>
      </w:r>
      <w:r w:rsidR="00932D99">
        <w:rPr>
          <w:rFonts w:cs="David" w:hint="cs"/>
          <w:rtl/>
        </w:rPr>
        <w:t>")</w:t>
      </w:r>
      <w:r>
        <w:rPr>
          <w:rFonts w:cs="David" w:hint="cs"/>
          <w:rtl/>
        </w:rPr>
        <w:t>. כפי שנפרט להלן, חוק הגמלאות אינו חל על העסקתו של המשיב, והפסיקה הרלבנטית בעניין זה, עומדת בסתירה לטענות המבקשות.</w:t>
      </w:r>
    </w:p>
    <w:p w:rsidR="008277A4" w:rsidRPr="007C00B3" w:rsidRDefault="008277A4"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עמדת</w:t>
      </w:r>
      <w:r w:rsidR="00D236A3" w:rsidRPr="007C00B3">
        <w:rPr>
          <w:rFonts w:cs="David" w:hint="cs"/>
          <w:b/>
          <w:bCs/>
          <w:sz w:val="24"/>
          <w:szCs w:val="24"/>
          <w:u w:val="single"/>
          <w:rtl/>
        </w:rPr>
        <w:t>ן (השגויה) של</w:t>
      </w:r>
      <w:r w:rsidRPr="007C00B3">
        <w:rPr>
          <w:rFonts w:cs="David" w:hint="cs"/>
          <w:b/>
          <w:bCs/>
          <w:sz w:val="24"/>
          <w:szCs w:val="24"/>
          <w:u w:val="single"/>
          <w:rtl/>
        </w:rPr>
        <w:t xml:space="preserve"> המבקשות ביחס לפרשנות חוזה הבכירים וחוק הגימלאות</w:t>
      </w:r>
    </w:p>
    <w:p w:rsidR="00A555C7" w:rsidRPr="008277A4" w:rsidRDefault="00A555C7" w:rsidP="00057EF8">
      <w:pPr>
        <w:numPr>
          <w:ilvl w:val="0"/>
          <w:numId w:val="1"/>
        </w:numPr>
        <w:tabs>
          <w:tab w:val="clear" w:pos="630"/>
          <w:tab w:val="left" w:pos="620"/>
        </w:tabs>
        <w:spacing w:after="240" w:line="360" w:lineRule="auto"/>
        <w:ind w:left="620" w:hanging="540"/>
        <w:jc w:val="both"/>
        <w:rPr>
          <w:rFonts w:cs="David"/>
        </w:rPr>
      </w:pPr>
      <w:r>
        <w:rPr>
          <w:rFonts w:cs="David" w:hint="cs"/>
          <w:rtl/>
        </w:rPr>
        <w:t xml:space="preserve">סעיף 11 לחוזה הבכירים עליו חתם המשיב קובע כי </w:t>
      </w:r>
      <w:r>
        <w:rPr>
          <w:rFonts w:cs="David"/>
          <w:rtl/>
        </w:rPr>
        <w:t>–</w:t>
      </w:r>
      <w:r>
        <w:rPr>
          <w:rFonts w:cs="David" w:hint="cs"/>
          <w:rtl/>
        </w:rPr>
        <w:t xml:space="preserve"> "</w:t>
      </w:r>
      <w:r>
        <w:rPr>
          <w:rFonts w:cs="David" w:hint="cs"/>
          <w:b/>
          <w:bCs/>
          <w:i/>
          <w:iCs/>
          <w:rtl/>
        </w:rPr>
        <w:t>על תקופת עבודתו של העובד לפי חוזה זה</w:t>
      </w:r>
      <w:r w:rsidRPr="007C00B3">
        <w:rPr>
          <w:rFonts w:cs="David" w:hint="cs"/>
          <w:b/>
          <w:bCs/>
          <w:i/>
          <w:iCs/>
          <w:u w:val="single"/>
          <w:rtl/>
        </w:rPr>
        <w:t xml:space="preserve"> לא</w:t>
      </w:r>
      <w:r>
        <w:rPr>
          <w:rFonts w:cs="David" w:hint="cs"/>
          <w:b/>
          <w:bCs/>
          <w:i/>
          <w:iCs/>
          <w:rtl/>
        </w:rPr>
        <w:t xml:space="preserve"> יחול חוק שירות המדינה (גימלאות) (נוסח משולב), התש"ל </w:t>
      </w:r>
      <w:r>
        <w:rPr>
          <w:rFonts w:cs="David"/>
          <w:b/>
          <w:bCs/>
          <w:i/>
          <w:iCs/>
          <w:rtl/>
        </w:rPr>
        <w:t>–</w:t>
      </w:r>
      <w:r>
        <w:rPr>
          <w:rFonts w:cs="David" w:hint="cs"/>
          <w:b/>
          <w:bCs/>
          <w:i/>
          <w:iCs/>
          <w:rtl/>
        </w:rPr>
        <w:t xml:space="preserve"> 1970 (להלן - חוק הגימלאות)".</w:t>
      </w:r>
    </w:p>
    <w:p w:rsidR="008277A4" w:rsidRPr="00815972" w:rsidRDefault="008277A4" w:rsidP="00815972">
      <w:pPr>
        <w:numPr>
          <w:ilvl w:val="0"/>
          <w:numId w:val="1"/>
        </w:numPr>
        <w:tabs>
          <w:tab w:val="clear" w:pos="630"/>
          <w:tab w:val="left" w:pos="620"/>
        </w:tabs>
        <w:spacing w:after="240" w:line="360" w:lineRule="auto"/>
        <w:ind w:left="620" w:hanging="540"/>
        <w:jc w:val="both"/>
        <w:rPr>
          <w:rFonts w:cs="David"/>
        </w:rPr>
      </w:pPr>
      <w:r w:rsidRPr="00815972">
        <w:rPr>
          <w:rFonts w:cs="David" w:hint="cs"/>
          <w:rtl/>
        </w:rPr>
        <w:t>המבקשות</w:t>
      </w:r>
      <w:r w:rsidR="007C00B3" w:rsidRPr="00815972">
        <w:rPr>
          <w:rFonts w:cs="David" w:hint="cs"/>
          <w:rtl/>
        </w:rPr>
        <w:t xml:space="preserve"> אינן חולקות על הוראות סעיף 11 האמור, אך הן מנסות לייצר הפרדה מלאכותית בין תקופות העסקתו של המשיב בכתב מינוי לתקופת העסקתו בחוזה בכירים. זאת תוך התעלמות מוחלטת מהוראותיו הנוספות של חוזה הבכירים.  במסגרת זאת, יצאו</w:t>
      </w:r>
      <w:r w:rsidRPr="00815972">
        <w:rPr>
          <w:rFonts w:cs="David" w:hint="cs"/>
          <w:rtl/>
        </w:rPr>
        <w:t xml:space="preserve"> </w:t>
      </w:r>
      <w:r w:rsidR="007C00B3" w:rsidRPr="00815972">
        <w:rPr>
          <w:rFonts w:cs="David" w:hint="cs"/>
          <w:rtl/>
        </w:rPr>
        <w:t xml:space="preserve">המבקשות </w:t>
      </w:r>
      <w:r w:rsidRPr="00815972">
        <w:rPr>
          <w:rFonts w:cs="David" w:hint="cs"/>
          <w:rtl/>
        </w:rPr>
        <w:t>למסע פלפולים משפטי, במסגרתו הן טוענות כי היה על המשיב להגיש ערעור גמלה תוך 60 ימים בשני נושאים, ולפתוח הליך נפרד בנושאים האחרים בכתב התביעה (</w:t>
      </w:r>
      <w:r w:rsidRPr="00815972">
        <w:rPr>
          <w:rFonts w:cs="David" w:hint="cs"/>
          <w:i/>
          <w:iCs/>
          <w:rtl/>
        </w:rPr>
        <w:t>סעיף 43 לבקשה</w:t>
      </w:r>
      <w:r w:rsidRPr="00815972">
        <w:rPr>
          <w:rFonts w:cs="David" w:hint="cs"/>
          <w:rtl/>
        </w:rPr>
        <w:t xml:space="preserve">). </w:t>
      </w:r>
    </w:p>
    <w:p w:rsidR="008277A4" w:rsidRDefault="008277A4" w:rsidP="00057EF8">
      <w:pPr>
        <w:numPr>
          <w:ilvl w:val="0"/>
          <w:numId w:val="1"/>
        </w:numPr>
        <w:tabs>
          <w:tab w:val="clear" w:pos="630"/>
          <w:tab w:val="left" w:pos="620"/>
        </w:tabs>
        <w:spacing w:after="240" w:line="360" w:lineRule="auto"/>
        <w:ind w:left="620" w:hanging="540"/>
        <w:jc w:val="both"/>
        <w:rPr>
          <w:rFonts w:cs="David"/>
          <w:rtl/>
        </w:rPr>
      </w:pPr>
      <w:r>
        <w:rPr>
          <w:rFonts w:cs="David" w:hint="cs"/>
          <w:rtl/>
        </w:rPr>
        <w:t xml:space="preserve">בכל הכבוד, אין כל בסיס משפטי וחוקי לעמדה זאת, העומדת בניגוד מוחלטת </w:t>
      </w:r>
      <w:r w:rsidR="007C00B3">
        <w:rPr>
          <w:rFonts w:cs="David" w:hint="cs"/>
          <w:rtl/>
        </w:rPr>
        <w:t xml:space="preserve">להוראות החוזה והחוק, </w:t>
      </w:r>
      <w:r>
        <w:rPr>
          <w:rFonts w:cs="David" w:hint="cs"/>
          <w:rtl/>
        </w:rPr>
        <w:t>להיגיון</w:t>
      </w:r>
      <w:r w:rsidR="007C00B3">
        <w:rPr>
          <w:rFonts w:cs="David" w:hint="cs"/>
          <w:rtl/>
        </w:rPr>
        <w:t xml:space="preserve"> בבסיס חוזה הבכירים</w:t>
      </w:r>
      <w:r>
        <w:rPr>
          <w:rFonts w:cs="David" w:hint="cs"/>
          <w:rtl/>
        </w:rPr>
        <w:t xml:space="preserve">, ליעילות המשפטית ולכללי הפרוצדורה, כפי שנפרט להלן. </w:t>
      </w:r>
    </w:p>
    <w:p w:rsidR="001E4F99" w:rsidRDefault="001E4F99" w:rsidP="007C00B3">
      <w:pPr>
        <w:tabs>
          <w:tab w:val="left" w:pos="620"/>
        </w:tabs>
        <w:spacing w:line="360" w:lineRule="auto"/>
        <w:jc w:val="both"/>
        <w:rPr>
          <w:rFonts w:cs="David"/>
          <w:b/>
          <w:bCs/>
          <w:u w:val="single"/>
          <w:rtl/>
        </w:rPr>
      </w:pPr>
    </w:p>
    <w:p w:rsidR="00FD2891" w:rsidRPr="007C00B3" w:rsidRDefault="008D3153" w:rsidP="00057EF8">
      <w:pPr>
        <w:pStyle w:val="af0"/>
        <w:numPr>
          <w:ilvl w:val="1"/>
          <w:numId w:val="2"/>
        </w:numPr>
        <w:tabs>
          <w:tab w:val="left" w:pos="620"/>
        </w:tabs>
        <w:spacing w:line="360" w:lineRule="auto"/>
        <w:ind w:left="620" w:hanging="450"/>
        <w:jc w:val="both"/>
        <w:rPr>
          <w:rFonts w:cs="David"/>
          <w:b/>
          <w:bCs/>
          <w:sz w:val="24"/>
          <w:szCs w:val="24"/>
          <w:u w:val="single"/>
          <w:rtl/>
        </w:rPr>
      </w:pPr>
      <w:r w:rsidRPr="007C00B3">
        <w:rPr>
          <w:rFonts w:cs="David" w:hint="cs"/>
          <w:b/>
          <w:bCs/>
          <w:sz w:val="24"/>
          <w:szCs w:val="24"/>
          <w:u w:val="single"/>
          <w:rtl/>
        </w:rPr>
        <w:t xml:space="preserve">הוראות הברורות של </w:t>
      </w:r>
      <w:r w:rsidR="00FD2891" w:rsidRPr="007C00B3">
        <w:rPr>
          <w:rFonts w:cs="David" w:hint="cs"/>
          <w:b/>
          <w:bCs/>
          <w:sz w:val="24"/>
          <w:szCs w:val="24"/>
          <w:u w:val="single"/>
          <w:rtl/>
        </w:rPr>
        <w:t xml:space="preserve">"חוזה </w:t>
      </w:r>
      <w:r w:rsidRPr="007C00B3">
        <w:rPr>
          <w:rFonts w:cs="David" w:hint="cs"/>
          <w:b/>
          <w:bCs/>
          <w:sz w:val="24"/>
          <w:szCs w:val="24"/>
          <w:u w:val="single"/>
          <w:rtl/>
        </w:rPr>
        <w:t>ה</w:t>
      </w:r>
      <w:r w:rsidR="00FD2891" w:rsidRPr="007C00B3">
        <w:rPr>
          <w:rFonts w:cs="David" w:hint="cs"/>
          <w:b/>
          <w:bCs/>
          <w:sz w:val="24"/>
          <w:szCs w:val="24"/>
          <w:u w:val="single"/>
          <w:rtl/>
        </w:rPr>
        <w:t xml:space="preserve">בכירים" </w:t>
      </w:r>
      <w:r w:rsidR="001E4F99" w:rsidRPr="007C00B3">
        <w:rPr>
          <w:rFonts w:cs="David" w:hint="cs"/>
          <w:b/>
          <w:bCs/>
          <w:sz w:val="24"/>
          <w:szCs w:val="24"/>
          <w:u w:val="single"/>
          <w:rtl/>
        </w:rPr>
        <w:t>עליו חתם המשיב</w:t>
      </w:r>
      <w:r w:rsidR="00073D5E" w:rsidRPr="007C00B3">
        <w:rPr>
          <w:rFonts w:cs="David" w:hint="cs"/>
          <w:b/>
          <w:bCs/>
          <w:sz w:val="24"/>
          <w:szCs w:val="24"/>
          <w:u w:val="single"/>
          <w:rtl/>
        </w:rPr>
        <w:t xml:space="preserve"> </w:t>
      </w:r>
    </w:p>
    <w:p w:rsidR="008D3153" w:rsidRPr="007C00B3" w:rsidRDefault="001E4F99" w:rsidP="00815972">
      <w:pPr>
        <w:numPr>
          <w:ilvl w:val="0"/>
          <w:numId w:val="1"/>
        </w:numPr>
        <w:tabs>
          <w:tab w:val="clear" w:pos="630"/>
          <w:tab w:val="left" w:pos="620"/>
        </w:tabs>
        <w:spacing w:after="240" w:line="360" w:lineRule="auto"/>
        <w:ind w:left="620" w:hanging="540"/>
        <w:jc w:val="both"/>
        <w:rPr>
          <w:rFonts w:cs="David"/>
        </w:rPr>
      </w:pPr>
      <w:r w:rsidRPr="007C00B3">
        <w:rPr>
          <w:rFonts w:cs="David" w:hint="cs"/>
          <w:rtl/>
        </w:rPr>
        <w:t xml:space="preserve">המסמך הבסיסי להבנת מערכת היחסים בין הצדדים, ומהם החוקים החלים עליה, הוא </w:t>
      </w:r>
      <w:r w:rsidRPr="007C00B3">
        <w:rPr>
          <w:rFonts w:cs="David" w:hint="cs"/>
          <w:b/>
          <w:bCs/>
          <w:rtl/>
        </w:rPr>
        <w:t>חוזה הבכירים עליו חתם המשיב</w:t>
      </w:r>
      <w:r w:rsidRPr="007C00B3">
        <w:rPr>
          <w:rFonts w:cs="David" w:hint="cs"/>
          <w:rtl/>
        </w:rPr>
        <w:t xml:space="preserve">. </w:t>
      </w:r>
      <w:r w:rsidR="008D3153" w:rsidRPr="007C00B3">
        <w:rPr>
          <w:rFonts w:cs="David" w:hint="cs"/>
          <w:rtl/>
        </w:rPr>
        <w:t xml:space="preserve">נקדים ונזכיר כי מדובר </w:t>
      </w:r>
      <w:r w:rsidR="008D3153" w:rsidRPr="007C00B3">
        <w:rPr>
          <w:rFonts w:cs="David" w:hint="cs"/>
          <w:b/>
          <w:bCs/>
          <w:rtl/>
        </w:rPr>
        <w:t>בחוזה שנוסח ונכתב על ידי המדינה, כאשר המשיב לא יכול היה לשנות בו מילה או פסיק</w:t>
      </w:r>
      <w:r w:rsidR="008D3153" w:rsidRPr="007C00B3">
        <w:rPr>
          <w:rFonts w:cs="David" w:hint="cs"/>
          <w:rtl/>
        </w:rPr>
        <w:t xml:space="preserve">. וכאשר מדובר בחוזה שנוסח על ידי המדינה בלבד, המשמעות הפרשנית ברורה: אף אם </w:t>
      </w:r>
      <w:r w:rsidR="00A31BF2">
        <w:rPr>
          <w:rFonts w:cs="David" w:hint="cs"/>
          <w:rtl/>
        </w:rPr>
        <w:t>יש</w:t>
      </w:r>
      <w:r w:rsidR="00A31BF2" w:rsidRPr="007C00B3">
        <w:rPr>
          <w:rFonts w:cs="David" w:hint="cs"/>
          <w:rtl/>
        </w:rPr>
        <w:t xml:space="preserve"> </w:t>
      </w:r>
      <w:r w:rsidR="008D3153" w:rsidRPr="007C00B3">
        <w:rPr>
          <w:rFonts w:cs="David" w:hint="cs"/>
          <w:rtl/>
        </w:rPr>
        <w:t xml:space="preserve">ספק פרשני, ולטעמנו אין ספק פרשני, יש </w:t>
      </w:r>
      <w:r w:rsidR="00442D10" w:rsidRPr="007C00B3">
        <w:rPr>
          <w:rFonts w:cs="David" w:hint="cs"/>
          <w:rtl/>
        </w:rPr>
        <w:t>ל</w:t>
      </w:r>
      <w:r w:rsidR="00442D10">
        <w:rPr>
          <w:rFonts w:cs="David" w:hint="cs"/>
          <w:rtl/>
        </w:rPr>
        <w:t>פרש</w:t>
      </w:r>
      <w:r w:rsidR="00442D10" w:rsidRPr="007C00B3">
        <w:rPr>
          <w:rFonts w:cs="David" w:hint="cs"/>
          <w:rtl/>
        </w:rPr>
        <w:t xml:space="preserve"> </w:t>
      </w:r>
      <w:r w:rsidR="008D3153" w:rsidRPr="007C00B3">
        <w:rPr>
          <w:rFonts w:cs="David" w:hint="cs"/>
          <w:rtl/>
        </w:rPr>
        <w:t>את החוזה לרעת המדינה.</w:t>
      </w:r>
    </w:p>
    <w:p w:rsidR="001E4F99" w:rsidRPr="008D3153" w:rsidRDefault="001E4F99" w:rsidP="00057EF8">
      <w:pPr>
        <w:numPr>
          <w:ilvl w:val="0"/>
          <w:numId w:val="1"/>
        </w:numPr>
        <w:tabs>
          <w:tab w:val="clear" w:pos="630"/>
          <w:tab w:val="left" w:pos="620"/>
        </w:tabs>
        <w:spacing w:after="240" w:line="360" w:lineRule="auto"/>
        <w:ind w:left="620" w:hanging="540"/>
        <w:jc w:val="both"/>
        <w:rPr>
          <w:rFonts w:cs="David"/>
          <w:rtl/>
        </w:rPr>
      </w:pPr>
      <w:r w:rsidRPr="008D3153">
        <w:rPr>
          <w:rFonts w:cs="David" w:hint="cs"/>
          <w:rtl/>
        </w:rPr>
        <w:t xml:space="preserve">חוזה הבכירים עוסק, בין היתר, בסוגיית הגמלה המגיע למשיב, </w:t>
      </w:r>
      <w:r w:rsidRPr="008D3153">
        <w:rPr>
          <w:rFonts w:cs="David" w:hint="cs"/>
          <w:b/>
          <w:bCs/>
          <w:u w:val="single"/>
          <w:rtl/>
        </w:rPr>
        <w:t>בגין שתי תקופות העסקתו</w:t>
      </w:r>
      <w:r w:rsidRPr="008D3153">
        <w:rPr>
          <w:rFonts w:cs="David" w:hint="cs"/>
          <w:rtl/>
        </w:rPr>
        <w:t>.</w:t>
      </w:r>
      <w:r w:rsidR="008D3153" w:rsidRPr="008D3153">
        <w:rPr>
          <w:rFonts w:cs="David" w:hint="cs"/>
          <w:rtl/>
        </w:rPr>
        <w:t xml:space="preserve"> </w:t>
      </w:r>
      <w:r w:rsidR="0043748A" w:rsidRPr="008D3153">
        <w:rPr>
          <w:rFonts w:cs="David" w:hint="cs"/>
          <w:rtl/>
        </w:rPr>
        <w:t>ס</w:t>
      </w:r>
      <w:r w:rsidRPr="008D3153">
        <w:rPr>
          <w:rFonts w:cs="David" w:hint="cs"/>
          <w:rtl/>
        </w:rPr>
        <w:t xml:space="preserve">עיף 12 לחוזה הבכירים קובע את </w:t>
      </w:r>
      <w:r w:rsidRPr="008D3153">
        <w:rPr>
          <w:rFonts w:cs="David" w:hint="cs"/>
          <w:b/>
          <w:bCs/>
          <w:rtl/>
        </w:rPr>
        <w:t xml:space="preserve">העיקרון לפיו </w:t>
      </w:r>
      <w:r w:rsidRPr="007C00B3">
        <w:rPr>
          <w:rFonts w:cs="David" w:hint="cs"/>
          <w:b/>
          <w:bCs/>
          <w:u w:val="single"/>
          <w:rtl/>
        </w:rPr>
        <w:t>תצורף</w:t>
      </w:r>
      <w:r w:rsidRPr="008D3153">
        <w:rPr>
          <w:rFonts w:cs="David" w:hint="cs"/>
          <w:b/>
          <w:bCs/>
          <w:rtl/>
        </w:rPr>
        <w:t xml:space="preserve"> תקופת השירות בחוזה בכירים לתקופת השירות על פי כתב המינוי</w:t>
      </w:r>
      <w:r w:rsidRPr="008D3153">
        <w:rPr>
          <w:rFonts w:cs="David" w:hint="cs"/>
          <w:rtl/>
        </w:rPr>
        <w:t>. בשל חשיבותו של סעיף זה נביא את הרישא</w:t>
      </w:r>
      <w:r w:rsidR="00073D5E" w:rsidRPr="008D3153">
        <w:rPr>
          <w:rFonts w:cs="David" w:hint="cs"/>
          <w:rtl/>
        </w:rPr>
        <w:t xml:space="preserve"> לסעיף</w:t>
      </w:r>
      <w:r w:rsidRPr="008D3153">
        <w:rPr>
          <w:rFonts w:cs="David" w:hint="cs"/>
          <w:rtl/>
        </w:rPr>
        <w:t xml:space="preserve"> ככתבו וכלשונו:</w:t>
      </w:r>
    </w:p>
    <w:p w:rsidR="001E4F99" w:rsidRDefault="00073D5E" w:rsidP="007C00B3">
      <w:pPr>
        <w:tabs>
          <w:tab w:val="left" w:pos="620"/>
        </w:tabs>
        <w:spacing w:after="120" w:line="360" w:lineRule="auto"/>
        <w:ind w:left="620"/>
        <w:jc w:val="both"/>
        <w:rPr>
          <w:rFonts w:cs="David"/>
          <w:rtl/>
        </w:rPr>
      </w:pPr>
      <w:r w:rsidRPr="00073D5E">
        <w:rPr>
          <w:rFonts w:cs="David"/>
          <w:noProof/>
          <w:rtl/>
          <w:lang w:eastAsia="en-US"/>
        </w:rPr>
        <w:lastRenderedPageBreak/>
        <w:drawing>
          <wp:inline distT="0" distB="0" distL="0" distR="0" wp14:anchorId="755E0B40" wp14:editId="5B06AFEC">
            <wp:extent cx="5706196" cy="799465"/>
            <wp:effectExtent l="0" t="0" r="8890" b="635"/>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9625" cy="799945"/>
                    </a:xfrm>
                    <a:prstGeom prst="rect">
                      <a:avLst/>
                    </a:prstGeom>
                    <a:noFill/>
                    <a:ln>
                      <a:noFill/>
                    </a:ln>
                  </pic:spPr>
                </pic:pic>
              </a:graphicData>
            </a:graphic>
          </wp:inline>
        </w:drawing>
      </w:r>
    </w:p>
    <w:p w:rsidR="00073D5E" w:rsidRPr="00073D5E" w:rsidRDefault="00073D5E" w:rsidP="00073D5E">
      <w:pPr>
        <w:spacing w:after="240" w:line="360" w:lineRule="auto"/>
        <w:ind w:left="620"/>
        <w:jc w:val="both"/>
        <w:rPr>
          <w:rFonts w:cs="David"/>
          <w:b/>
          <w:bCs/>
        </w:rPr>
      </w:pPr>
      <w:r>
        <w:rPr>
          <w:rFonts w:cs="David" w:hint="cs"/>
          <w:rtl/>
        </w:rPr>
        <w:t xml:space="preserve">סעיף 12 האמור מפרט את </w:t>
      </w:r>
      <w:r w:rsidRPr="00073D5E">
        <w:rPr>
          <w:rFonts w:cs="David" w:hint="cs"/>
          <w:b/>
          <w:bCs/>
          <w:rtl/>
        </w:rPr>
        <w:t>התנאים השונים</w:t>
      </w:r>
      <w:r>
        <w:rPr>
          <w:rFonts w:cs="David" w:hint="cs"/>
          <w:b/>
          <w:bCs/>
          <w:rtl/>
        </w:rPr>
        <w:t xml:space="preserve"> לצירוף התקופה ולגובה הג</w:t>
      </w:r>
      <w:r w:rsidRPr="00073D5E">
        <w:rPr>
          <w:rFonts w:cs="David" w:hint="cs"/>
          <w:b/>
          <w:bCs/>
          <w:rtl/>
        </w:rPr>
        <w:t xml:space="preserve">מלה שתשולם </w:t>
      </w:r>
      <w:r w:rsidRPr="00073D5E">
        <w:rPr>
          <w:rFonts w:cs="David" w:hint="cs"/>
          <w:b/>
          <w:bCs/>
          <w:u w:val="single"/>
          <w:rtl/>
        </w:rPr>
        <w:t>למשיב עבור שתי התקופות</w:t>
      </w:r>
      <w:r>
        <w:rPr>
          <w:rFonts w:cs="David" w:hint="cs"/>
          <w:b/>
          <w:bCs/>
          <w:rtl/>
        </w:rPr>
        <w:t xml:space="preserve">. כלומר, </w:t>
      </w:r>
      <w:r w:rsidRPr="0043748A">
        <w:rPr>
          <w:rFonts w:cs="David" w:hint="cs"/>
          <w:b/>
          <w:bCs/>
          <w:u w:val="single"/>
          <w:rtl/>
        </w:rPr>
        <w:t>חוזה הבכירים שולח ידיו וקובע לא רק את תנאי הגמלה ביחס לתקופת העבודה בחוזה בכירים, אלא גם ביחס לתקופת העבודה של המשיב לפי כתב מינוי</w:t>
      </w:r>
      <w:r>
        <w:rPr>
          <w:rFonts w:cs="David" w:hint="cs"/>
          <w:b/>
          <w:bCs/>
          <w:rtl/>
        </w:rPr>
        <w:t>.</w:t>
      </w:r>
    </w:p>
    <w:p w:rsidR="00073D5E" w:rsidRPr="00073D5E" w:rsidRDefault="00073D5E" w:rsidP="00057EF8">
      <w:pPr>
        <w:numPr>
          <w:ilvl w:val="0"/>
          <w:numId w:val="1"/>
        </w:numPr>
        <w:tabs>
          <w:tab w:val="clear" w:pos="630"/>
          <w:tab w:val="left" w:pos="620"/>
        </w:tabs>
        <w:spacing w:after="240" w:line="360" w:lineRule="auto"/>
        <w:ind w:left="620" w:hanging="540"/>
        <w:jc w:val="both"/>
        <w:rPr>
          <w:rFonts w:cs="David"/>
        </w:rPr>
      </w:pPr>
      <w:r w:rsidRPr="00073D5E">
        <w:rPr>
          <w:rFonts w:cs="David" w:hint="cs"/>
          <w:rtl/>
        </w:rPr>
        <w:t xml:space="preserve">ודוק, </w:t>
      </w:r>
      <w:r w:rsidRPr="00073D5E">
        <w:rPr>
          <w:rFonts w:cs="David" w:hint="cs"/>
          <w:b/>
          <w:bCs/>
          <w:rtl/>
        </w:rPr>
        <w:t xml:space="preserve">חוזה הבכירים קובע במפורש: (1) </w:t>
      </w:r>
      <w:r w:rsidRPr="0043748A">
        <w:rPr>
          <w:rFonts w:cs="David" w:hint="cs"/>
          <w:b/>
          <w:bCs/>
          <w:u w:val="single"/>
          <w:rtl/>
        </w:rPr>
        <w:t>מה יהיה גובה הגמלה בתקופת העבודה לפי כתב מינוי</w:t>
      </w:r>
      <w:r w:rsidRPr="00073D5E">
        <w:rPr>
          <w:rFonts w:cs="David" w:hint="cs"/>
          <w:b/>
          <w:bCs/>
          <w:rtl/>
        </w:rPr>
        <w:t xml:space="preserve"> </w:t>
      </w:r>
      <w:r w:rsidRPr="00073D5E">
        <w:rPr>
          <w:rFonts w:cs="David"/>
          <w:b/>
          <w:bCs/>
          <w:rtl/>
        </w:rPr>
        <w:t>–</w:t>
      </w:r>
      <w:r w:rsidRPr="00073D5E">
        <w:rPr>
          <w:rFonts w:cs="David" w:hint="cs"/>
          <w:b/>
          <w:bCs/>
          <w:rtl/>
        </w:rPr>
        <w:t xml:space="preserve"> סעיף 12.א.1.; (2) </w:t>
      </w:r>
      <w:r w:rsidRPr="0043748A">
        <w:rPr>
          <w:rFonts w:cs="David" w:hint="cs"/>
          <w:b/>
          <w:bCs/>
          <w:u w:val="single"/>
          <w:rtl/>
        </w:rPr>
        <w:t>כיצד תעודכן הגמלה בתקופת העבודה לפי כתב מינוי</w:t>
      </w:r>
      <w:r w:rsidRPr="00073D5E">
        <w:rPr>
          <w:rFonts w:cs="David" w:hint="cs"/>
          <w:b/>
          <w:bCs/>
          <w:rtl/>
        </w:rPr>
        <w:t xml:space="preserve"> </w:t>
      </w:r>
      <w:r w:rsidRPr="00073D5E">
        <w:rPr>
          <w:rFonts w:cs="David"/>
          <w:b/>
          <w:bCs/>
          <w:rtl/>
        </w:rPr>
        <w:t>–</w:t>
      </w:r>
      <w:r w:rsidRPr="00073D5E">
        <w:rPr>
          <w:rFonts w:cs="David" w:hint="cs"/>
          <w:b/>
          <w:bCs/>
          <w:rtl/>
        </w:rPr>
        <w:t xml:space="preserve"> סעיף 12.א.2. לחוזה.</w:t>
      </w:r>
    </w:p>
    <w:p w:rsidR="00073D5E" w:rsidRDefault="00073D5E" w:rsidP="00073D5E">
      <w:pPr>
        <w:tabs>
          <w:tab w:val="left" w:pos="620"/>
        </w:tabs>
        <w:spacing w:after="240" w:line="360" w:lineRule="auto"/>
        <w:ind w:left="620"/>
        <w:jc w:val="both"/>
        <w:rPr>
          <w:rFonts w:cs="David"/>
          <w:b/>
          <w:bCs/>
          <w:i/>
          <w:iCs/>
          <w:rtl/>
        </w:rPr>
      </w:pPr>
      <w:r>
        <w:rPr>
          <w:rFonts w:cs="David" w:hint="cs"/>
          <w:rtl/>
        </w:rPr>
        <w:t>ואם עוד היה ספק כיצד תשולם הגמלה עבור תק</w:t>
      </w:r>
      <w:r w:rsidR="007C00B3">
        <w:rPr>
          <w:rFonts w:cs="David" w:hint="cs"/>
          <w:rtl/>
        </w:rPr>
        <w:t>ופת העבודה בכתב מינוי, קובע סעיף</w:t>
      </w:r>
      <w:r>
        <w:rPr>
          <w:rFonts w:cs="David" w:hint="cs"/>
          <w:rtl/>
        </w:rPr>
        <w:t xml:space="preserve"> 12.א.3. את הדברים בצורה מפורשת שאינה משתמעת לשני פנים: "</w:t>
      </w:r>
      <w:r>
        <w:rPr>
          <w:rFonts w:cs="David" w:hint="cs"/>
          <w:b/>
          <w:bCs/>
          <w:i/>
          <w:iCs/>
          <w:rtl/>
        </w:rPr>
        <w:t xml:space="preserve">למען הסר ספק, לא תשולם לעובד כל קיצבה אלא לאחר פרישתו משירות </w:t>
      </w:r>
      <w:r w:rsidRPr="00815972">
        <w:rPr>
          <w:rFonts w:cs="David" w:hint="cs"/>
          <w:b/>
          <w:bCs/>
          <w:i/>
          <w:iCs/>
          <w:rtl/>
        </w:rPr>
        <w:t xml:space="preserve">המדינה </w:t>
      </w:r>
      <w:r w:rsidRPr="00073D5E">
        <w:rPr>
          <w:rFonts w:cs="David" w:hint="cs"/>
          <w:b/>
          <w:bCs/>
          <w:i/>
          <w:iCs/>
          <w:u w:val="single"/>
          <w:rtl/>
        </w:rPr>
        <w:t>ובכפוף לאמור בחוזה זה</w:t>
      </w:r>
      <w:r>
        <w:rPr>
          <w:rFonts w:cs="David" w:hint="cs"/>
          <w:b/>
          <w:bCs/>
          <w:i/>
          <w:iCs/>
          <w:rtl/>
        </w:rPr>
        <w:t>".</w:t>
      </w:r>
    </w:p>
    <w:p w:rsidR="00073D5E" w:rsidRDefault="00073D5E" w:rsidP="00057EF8">
      <w:pPr>
        <w:numPr>
          <w:ilvl w:val="0"/>
          <w:numId w:val="1"/>
        </w:numPr>
        <w:tabs>
          <w:tab w:val="clear" w:pos="630"/>
          <w:tab w:val="left" w:pos="620"/>
        </w:tabs>
        <w:spacing w:after="240" w:line="360" w:lineRule="auto"/>
        <w:ind w:left="620" w:hanging="540"/>
        <w:jc w:val="both"/>
        <w:rPr>
          <w:rFonts w:cs="David"/>
        </w:rPr>
      </w:pPr>
      <w:r w:rsidRPr="00073D5E">
        <w:rPr>
          <w:rFonts w:cs="David" w:hint="cs"/>
          <w:rtl/>
        </w:rPr>
        <w:t>אם לא די לנו בדברים ברורים אלה, מוסיף סעיף 12.ה. לחוזה הבכירים וקובע כדלקמן - "</w:t>
      </w:r>
      <w:r w:rsidRPr="00073D5E">
        <w:rPr>
          <w:rFonts w:cs="David" w:hint="cs"/>
          <w:b/>
          <w:bCs/>
          <w:i/>
          <w:iCs/>
          <w:rtl/>
        </w:rPr>
        <w:t xml:space="preserve">למען הסר ספק </w:t>
      </w:r>
      <w:r w:rsidRPr="00073D5E">
        <w:rPr>
          <w:rFonts w:cs="David"/>
          <w:b/>
          <w:bCs/>
          <w:i/>
          <w:iCs/>
          <w:rtl/>
        </w:rPr>
        <w:t>–</w:t>
      </w:r>
      <w:r w:rsidRPr="00073D5E">
        <w:rPr>
          <w:rFonts w:cs="David" w:hint="cs"/>
          <w:b/>
          <w:bCs/>
          <w:i/>
          <w:iCs/>
          <w:rtl/>
        </w:rPr>
        <w:t xml:space="preserve"> בסעיף זה "זכות לגימלאות" ו "קיצבה" </w:t>
      </w:r>
      <w:r w:rsidRPr="00073D5E">
        <w:rPr>
          <w:rFonts w:cs="David"/>
          <w:b/>
          <w:bCs/>
          <w:i/>
          <w:iCs/>
          <w:rtl/>
        </w:rPr>
        <w:t>–</w:t>
      </w:r>
      <w:r w:rsidRPr="00073D5E">
        <w:rPr>
          <w:rFonts w:cs="David" w:hint="cs"/>
          <w:b/>
          <w:bCs/>
          <w:i/>
          <w:iCs/>
          <w:rtl/>
        </w:rPr>
        <w:t xml:space="preserve"> כל הזכויות החלות מכוח חוק הגימלאות לעובד או לשאיריו לרבות מענק, פיצויי בגין שנים עודפות וכו' - </w:t>
      </w:r>
      <w:r w:rsidRPr="00073D5E">
        <w:rPr>
          <w:rFonts w:cs="David" w:hint="cs"/>
          <w:b/>
          <w:bCs/>
          <w:i/>
          <w:iCs/>
          <w:u w:val="single"/>
          <w:rtl/>
        </w:rPr>
        <w:t>בכפוף לאמור בחוזה זה</w:t>
      </w:r>
      <w:r w:rsidRPr="00073D5E">
        <w:rPr>
          <w:rFonts w:cs="David" w:hint="cs"/>
          <w:rtl/>
        </w:rPr>
        <w:t>".</w:t>
      </w:r>
    </w:p>
    <w:p w:rsidR="00073D5E" w:rsidRDefault="00073D5E" w:rsidP="00057EF8">
      <w:pPr>
        <w:numPr>
          <w:ilvl w:val="0"/>
          <w:numId w:val="1"/>
        </w:numPr>
        <w:tabs>
          <w:tab w:val="clear" w:pos="630"/>
          <w:tab w:val="left" w:pos="620"/>
        </w:tabs>
        <w:spacing w:after="240" w:line="360" w:lineRule="auto"/>
        <w:ind w:left="620" w:hanging="540"/>
        <w:jc w:val="both"/>
        <w:rPr>
          <w:rFonts w:cs="David"/>
          <w:b/>
          <w:bCs/>
        </w:rPr>
      </w:pPr>
      <w:r w:rsidRPr="00073D5E">
        <w:rPr>
          <w:rFonts w:cs="David" w:hint="cs"/>
          <w:rtl/>
        </w:rPr>
        <w:t>ובמלים פשוטות</w:t>
      </w:r>
      <w:r w:rsidRPr="00073D5E">
        <w:rPr>
          <w:rFonts w:cs="David" w:hint="cs"/>
          <w:b/>
          <w:bCs/>
          <w:rtl/>
        </w:rPr>
        <w:t xml:space="preserve"> </w:t>
      </w:r>
      <w:r w:rsidRPr="00073D5E">
        <w:rPr>
          <w:rFonts w:cs="David"/>
          <w:b/>
          <w:bCs/>
          <w:rtl/>
        </w:rPr>
        <w:t>–</w:t>
      </w:r>
      <w:r w:rsidRPr="00073D5E">
        <w:rPr>
          <w:rFonts w:cs="David" w:hint="cs"/>
          <w:b/>
          <w:bCs/>
          <w:rtl/>
        </w:rPr>
        <w:t xml:space="preserve"> חוזה הבכירים קובע כי </w:t>
      </w:r>
      <w:r w:rsidRPr="007D426E">
        <w:rPr>
          <w:rFonts w:cs="David" w:hint="cs"/>
          <w:b/>
          <w:bCs/>
          <w:sz w:val="26"/>
          <w:szCs w:val="26"/>
          <w:u w:val="single"/>
          <w:rtl/>
        </w:rPr>
        <w:t>גם הגמלה עבור תקופת העבודה בכתב מינוי נקבעת על פי החוזה ולא על פי חוק הגימלאות</w:t>
      </w:r>
      <w:r w:rsidRPr="00073D5E">
        <w:rPr>
          <w:rFonts w:cs="David" w:hint="cs"/>
          <w:b/>
          <w:bCs/>
          <w:rtl/>
        </w:rPr>
        <w:t>.</w:t>
      </w:r>
    </w:p>
    <w:p w:rsidR="008D3153" w:rsidRDefault="008D3153" w:rsidP="00057EF8">
      <w:pPr>
        <w:numPr>
          <w:ilvl w:val="0"/>
          <w:numId w:val="1"/>
        </w:numPr>
        <w:tabs>
          <w:tab w:val="clear" w:pos="630"/>
          <w:tab w:val="left" w:pos="620"/>
        </w:tabs>
        <w:spacing w:after="240" w:line="360" w:lineRule="auto"/>
        <w:ind w:left="620" w:hanging="540"/>
        <w:jc w:val="both"/>
        <w:rPr>
          <w:rFonts w:cs="David"/>
          <w:b/>
          <w:bCs/>
        </w:rPr>
      </w:pPr>
      <w:r w:rsidRPr="008D3153">
        <w:rPr>
          <w:rFonts w:cs="David" w:hint="cs"/>
          <w:rtl/>
        </w:rPr>
        <w:t>סעיף 13 לחוזה הבכירים מוסיף וקובע כי</w:t>
      </w:r>
      <w:r>
        <w:rPr>
          <w:rFonts w:cs="David" w:hint="cs"/>
          <w:b/>
          <w:bCs/>
          <w:rtl/>
        </w:rPr>
        <w:t xml:space="preserve"> - "</w:t>
      </w:r>
      <w:r>
        <w:rPr>
          <w:rFonts w:cs="David" w:hint="cs"/>
          <w:b/>
          <w:bCs/>
          <w:i/>
          <w:iCs/>
          <w:rtl/>
        </w:rPr>
        <w:t xml:space="preserve">חוזה זה יראוהו כהסכם וכחוזה יחידי לפי סעיף 92 ו </w:t>
      </w:r>
      <w:r>
        <w:rPr>
          <w:rFonts w:cs="David"/>
          <w:b/>
          <w:bCs/>
          <w:i/>
          <w:iCs/>
          <w:rtl/>
        </w:rPr>
        <w:t>–</w:t>
      </w:r>
      <w:r>
        <w:rPr>
          <w:rFonts w:cs="David" w:hint="cs"/>
          <w:b/>
          <w:bCs/>
          <w:i/>
          <w:iCs/>
          <w:rtl/>
        </w:rPr>
        <w:t xml:space="preserve"> 107(א)(2) לחוק הגימלאות</w:t>
      </w:r>
      <w:r>
        <w:rPr>
          <w:rFonts w:cs="David" w:hint="cs"/>
          <w:b/>
          <w:bCs/>
          <w:rtl/>
        </w:rPr>
        <w:t>".</w:t>
      </w:r>
    </w:p>
    <w:p w:rsidR="008D3153" w:rsidRDefault="008D3153" w:rsidP="008D3153">
      <w:pPr>
        <w:tabs>
          <w:tab w:val="left" w:pos="620"/>
        </w:tabs>
        <w:spacing w:after="240" w:line="360" w:lineRule="auto"/>
        <w:ind w:left="620"/>
        <w:jc w:val="both"/>
        <w:rPr>
          <w:rFonts w:cs="David"/>
          <w:b/>
          <w:bCs/>
          <w:rtl/>
        </w:rPr>
      </w:pPr>
      <w:r>
        <w:rPr>
          <w:rFonts w:cs="David" w:hint="cs"/>
          <w:b/>
          <w:bCs/>
          <w:rtl/>
        </w:rPr>
        <w:t>סעיף 107(א)(2) לחוק הגימלאות קובע כך -</w:t>
      </w:r>
    </w:p>
    <w:p w:rsidR="008D3153" w:rsidRPr="008D3153" w:rsidRDefault="00986742" w:rsidP="008D3153">
      <w:pPr>
        <w:tabs>
          <w:tab w:val="left" w:pos="620"/>
        </w:tabs>
        <w:spacing w:after="240" w:line="360" w:lineRule="auto"/>
        <w:ind w:left="620"/>
        <w:jc w:val="both"/>
        <w:rPr>
          <w:rFonts w:asciiTheme="majorBidi" w:hAnsiTheme="majorBidi" w:cstheme="majorBidi"/>
          <w:b/>
          <w:bCs/>
          <w:rtl/>
        </w:rPr>
      </w:pPr>
      <w:r>
        <w:rPr>
          <w:rStyle w:val="wsubclausecontent1"/>
          <w:rFonts w:asciiTheme="majorBidi" w:hAnsiTheme="majorBidi" w:cstheme="majorBidi" w:hint="cs"/>
          <w:rtl/>
        </w:rPr>
        <w:t>"</w:t>
      </w:r>
      <w:r w:rsidR="008D3153" w:rsidRPr="008D3153">
        <w:rPr>
          <w:rStyle w:val="wsubclausecontent1"/>
          <w:rFonts w:asciiTheme="majorBidi" w:hAnsiTheme="majorBidi" w:cstheme="majorBidi"/>
          <w:rtl/>
        </w:rPr>
        <w:t xml:space="preserve">הוראות חוק זה </w:t>
      </w:r>
      <w:r w:rsidR="008D3153" w:rsidRPr="008D3153">
        <w:rPr>
          <w:rStyle w:val="wsubclausecontent1"/>
          <w:rFonts w:asciiTheme="majorBidi" w:hAnsiTheme="majorBidi" w:cstheme="majorBidi"/>
          <w:b/>
          <w:bCs/>
          <w:u w:val="single"/>
          <w:rtl/>
        </w:rPr>
        <w:t>לא</w:t>
      </w:r>
      <w:r w:rsidR="008D3153" w:rsidRPr="008D3153">
        <w:rPr>
          <w:rStyle w:val="wsubclausecontent1"/>
          <w:rFonts w:asciiTheme="majorBidi" w:hAnsiTheme="majorBidi" w:cstheme="majorBidi"/>
          <w:rtl/>
        </w:rPr>
        <w:t xml:space="preserve"> יחולו -</w:t>
      </w:r>
    </w:p>
    <w:p w:rsidR="008D3153" w:rsidRPr="008D3153" w:rsidRDefault="008D3153" w:rsidP="008D3153">
      <w:pPr>
        <w:pStyle w:val="wsubclausewrapper"/>
        <w:ind w:left="620"/>
        <w:rPr>
          <w:rFonts w:asciiTheme="majorBidi" w:hAnsiTheme="majorBidi" w:cstheme="majorBidi"/>
          <w:rtl/>
        </w:rPr>
      </w:pPr>
      <w:r w:rsidRPr="008D3153">
        <w:rPr>
          <w:rStyle w:val="wsubclausecaption1"/>
          <w:rFonts w:asciiTheme="majorBidi" w:hAnsiTheme="majorBidi" w:cstheme="majorBidi"/>
          <w:rtl/>
        </w:rPr>
        <w:t>(1)</w:t>
      </w:r>
      <w:r w:rsidRPr="008D3153">
        <w:rPr>
          <w:rStyle w:val="wsubclausecontent1"/>
          <w:rFonts w:asciiTheme="majorBidi" w:hAnsiTheme="majorBidi" w:cstheme="majorBidi"/>
          <w:rtl/>
        </w:rPr>
        <w:t> .....</w:t>
      </w:r>
    </w:p>
    <w:p w:rsidR="008D3153" w:rsidRPr="008D3153" w:rsidRDefault="008D3153" w:rsidP="008D3153">
      <w:pPr>
        <w:pStyle w:val="wsubclausewrapper"/>
        <w:ind w:left="620"/>
        <w:rPr>
          <w:rFonts w:asciiTheme="majorBidi" w:hAnsiTheme="majorBidi" w:cstheme="majorBidi"/>
          <w:rtl/>
        </w:rPr>
      </w:pPr>
      <w:r w:rsidRPr="008D3153">
        <w:rPr>
          <w:rStyle w:val="wsubclausecaption1"/>
          <w:rFonts w:asciiTheme="majorBidi" w:hAnsiTheme="majorBidi" w:cstheme="majorBidi"/>
          <w:rtl/>
        </w:rPr>
        <w:t>(2)</w:t>
      </w:r>
      <w:r w:rsidRPr="008D3153">
        <w:rPr>
          <w:rStyle w:val="wsubclausecontent1"/>
          <w:rFonts w:asciiTheme="majorBidi" w:hAnsiTheme="majorBidi" w:cstheme="majorBidi"/>
          <w:rtl/>
        </w:rPr>
        <w:t>  </w:t>
      </w:r>
      <w:r w:rsidRPr="008D3153">
        <w:rPr>
          <w:rStyle w:val="wsubclausecontent1"/>
          <w:rFonts w:asciiTheme="majorBidi" w:hAnsiTheme="majorBidi" w:cstheme="majorBidi"/>
          <w:b/>
          <w:bCs/>
          <w:u w:val="single"/>
          <w:rtl/>
        </w:rPr>
        <w:t>על עובד המדינה המועסק כדין על פי חוזה יחידי</w:t>
      </w:r>
      <w:r w:rsidRPr="008D3153">
        <w:rPr>
          <w:rStyle w:val="wsubclausecontent1"/>
          <w:rFonts w:asciiTheme="majorBidi" w:hAnsiTheme="majorBidi" w:cstheme="majorBidi"/>
          <w:rtl/>
        </w:rPr>
        <w:t>, אם כך נקבע באותו חוזה ובמידה שנקבע;</w:t>
      </w:r>
      <w:r w:rsidR="00986742">
        <w:rPr>
          <w:rStyle w:val="wsubclausecontent1"/>
          <w:rFonts w:asciiTheme="majorBidi" w:hAnsiTheme="majorBidi" w:cstheme="majorBidi" w:hint="cs"/>
          <w:rtl/>
        </w:rPr>
        <w:t>".</w:t>
      </w:r>
    </w:p>
    <w:p w:rsidR="008D3153" w:rsidRPr="00986742" w:rsidRDefault="008D3153" w:rsidP="00057EF8">
      <w:pPr>
        <w:numPr>
          <w:ilvl w:val="0"/>
          <w:numId w:val="1"/>
        </w:numPr>
        <w:tabs>
          <w:tab w:val="clear" w:pos="630"/>
          <w:tab w:val="left" w:pos="620"/>
        </w:tabs>
        <w:spacing w:after="240" w:line="360" w:lineRule="auto"/>
        <w:ind w:left="620" w:hanging="540"/>
        <w:jc w:val="both"/>
        <w:rPr>
          <w:rFonts w:cs="David"/>
          <w:b/>
          <w:bCs/>
          <w:rtl/>
        </w:rPr>
      </w:pPr>
      <w:r w:rsidRPr="00986742">
        <w:rPr>
          <w:rFonts w:cs="David" w:hint="cs"/>
          <w:rtl/>
        </w:rPr>
        <w:t xml:space="preserve">כאשר מצרפים את הוראות סעיפים 12 ו </w:t>
      </w:r>
      <w:r w:rsidRPr="00986742">
        <w:rPr>
          <w:rFonts w:cs="David"/>
          <w:rtl/>
        </w:rPr>
        <w:t>–</w:t>
      </w:r>
      <w:r w:rsidRPr="00986742">
        <w:rPr>
          <w:rFonts w:cs="David" w:hint="cs"/>
          <w:rtl/>
        </w:rPr>
        <w:t xml:space="preserve"> 13 לחוזה הבכירים עולה, אם כן, תמונה ברורה: </w:t>
      </w:r>
      <w:r w:rsidRPr="00986742">
        <w:rPr>
          <w:rFonts w:cs="David" w:hint="cs"/>
          <w:b/>
          <w:bCs/>
          <w:rtl/>
        </w:rPr>
        <w:t>הוראות חוק הגימלאות חלות על המערער אך ורק בהתאם להוראות חוזה הבכירים.</w:t>
      </w:r>
      <w:r w:rsidR="00986742" w:rsidRPr="00986742">
        <w:rPr>
          <w:rFonts w:cs="David" w:hint="cs"/>
          <w:b/>
          <w:bCs/>
          <w:rtl/>
        </w:rPr>
        <w:t xml:space="preserve"> </w:t>
      </w:r>
      <w:r w:rsidRPr="00986742">
        <w:rPr>
          <w:rFonts w:cs="David" w:hint="cs"/>
          <w:b/>
          <w:bCs/>
          <w:rtl/>
        </w:rPr>
        <w:t xml:space="preserve">חוזה הבכירים, בכל הכבוד, אינו קובע את תחולת חוק הגימלאות בכל הקשור לערעור על ההחלטה. </w:t>
      </w:r>
    </w:p>
    <w:p w:rsidR="008D3153" w:rsidRDefault="008D3153" w:rsidP="00057EF8">
      <w:pPr>
        <w:numPr>
          <w:ilvl w:val="0"/>
          <w:numId w:val="1"/>
        </w:numPr>
        <w:tabs>
          <w:tab w:val="clear" w:pos="630"/>
          <w:tab w:val="left" w:pos="620"/>
        </w:tabs>
        <w:spacing w:after="240" w:line="360" w:lineRule="auto"/>
        <w:ind w:left="620" w:hanging="540"/>
        <w:jc w:val="both"/>
        <w:rPr>
          <w:rFonts w:cs="David"/>
          <w:b/>
          <w:bCs/>
        </w:rPr>
      </w:pPr>
      <w:r w:rsidRPr="00986742">
        <w:rPr>
          <w:rFonts w:cs="David" w:hint="cs"/>
          <w:rtl/>
        </w:rPr>
        <w:t>על כן, ו</w:t>
      </w:r>
      <w:r>
        <w:rPr>
          <w:rFonts w:cs="David" w:hint="cs"/>
          <w:b/>
          <w:bCs/>
          <w:rtl/>
        </w:rPr>
        <w:t xml:space="preserve">מכוח חוזה הבכירים שניסחה המדינה עצמה, לא חל </w:t>
      </w:r>
      <w:r w:rsidR="00986742">
        <w:rPr>
          <w:rFonts w:cs="David" w:hint="cs"/>
          <w:b/>
          <w:bCs/>
          <w:rtl/>
        </w:rPr>
        <w:t>המועד להגשת ערעור גמלה על המשיב, והוא לא איחר בהגשת תביעתו.</w:t>
      </w:r>
    </w:p>
    <w:p w:rsidR="007C00B3" w:rsidRDefault="007C00B3" w:rsidP="00815972">
      <w:pPr>
        <w:spacing w:line="360" w:lineRule="auto"/>
        <w:ind w:left="620"/>
        <w:jc w:val="both"/>
        <w:rPr>
          <w:rFonts w:cs="David"/>
          <w:b/>
          <w:bCs/>
        </w:rPr>
      </w:pPr>
    </w:p>
    <w:p w:rsidR="007D426E" w:rsidRPr="007C00B3" w:rsidRDefault="007D426E"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lastRenderedPageBreak/>
        <w:t>הפסיקה דוחה במפורש את הפיצול המלאכותי שמבקשת המדינה</w:t>
      </w:r>
      <w:r w:rsidR="00986742" w:rsidRPr="007C00B3">
        <w:rPr>
          <w:rFonts w:cs="David" w:hint="cs"/>
          <w:b/>
          <w:bCs/>
          <w:sz w:val="24"/>
          <w:szCs w:val="24"/>
          <w:u w:val="single"/>
          <w:rtl/>
        </w:rPr>
        <w:t xml:space="preserve"> לעשות</w:t>
      </w:r>
      <w:r w:rsidRPr="007C00B3">
        <w:rPr>
          <w:rFonts w:cs="David" w:hint="cs"/>
          <w:b/>
          <w:bCs/>
          <w:sz w:val="24"/>
          <w:szCs w:val="24"/>
          <w:u w:val="single"/>
          <w:rtl/>
        </w:rPr>
        <w:t xml:space="preserve"> </w:t>
      </w:r>
    </w:p>
    <w:p w:rsidR="007D426E" w:rsidRDefault="007D426E" w:rsidP="00986742">
      <w:pPr>
        <w:spacing w:after="240" w:line="360" w:lineRule="auto"/>
        <w:jc w:val="both"/>
        <w:rPr>
          <w:rFonts w:cs="David"/>
        </w:rPr>
      </w:pPr>
      <w:r>
        <w:rPr>
          <w:rFonts w:cs="David" w:hint="cs"/>
          <w:rtl/>
        </w:rPr>
        <w:t xml:space="preserve">המשיב </w:t>
      </w:r>
      <w:r w:rsidR="00986742">
        <w:rPr>
          <w:rFonts w:cs="David" w:hint="cs"/>
          <w:rtl/>
        </w:rPr>
        <w:t>סבור כי הוראותיו של</w:t>
      </w:r>
      <w:r>
        <w:rPr>
          <w:rFonts w:cs="David" w:hint="cs"/>
          <w:rtl/>
        </w:rPr>
        <w:t xml:space="preserve"> חוזה הבכירים, </w:t>
      </w:r>
      <w:r w:rsidR="00986742">
        <w:rPr>
          <w:rFonts w:cs="David" w:hint="cs"/>
          <w:rtl/>
        </w:rPr>
        <w:t>הקובעות במפורש כי חוק הגימלאות אינו חל עליו במישרין, מספיקות כדי לדחות את בקשת המבקשות. אולם, למען הזהירות, בדק המשיב את הפסיקה הרלבנטית, ומצא כי אכן גם הפסיקה תומכת בעמדתו, כמפורט להלן.</w:t>
      </w:r>
    </w:p>
    <w:p w:rsidR="00986742" w:rsidRPr="00986742" w:rsidRDefault="00986742" w:rsidP="00057EF8">
      <w:pPr>
        <w:numPr>
          <w:ilvl w:val="0"/>
          <w:numId w:val="1"/>
        </w:numPr>
        <w:tabs>
          <w:tab w:val="clear" w:pos="630"/>
          <w:tab w:val="left" w:pos="620"/>
        </w:tabs>
        <w:spacing w:after="240" w:line="360" w:lineRule="auto"/>
        <w:ind w:left="620" w:hanging="540"/>
        <w:jc w:val="both"/>
        <w:rPr>
          <w:rFonts w:cs="David"/>
        </w:rPr>
      </w:pPr>
      <w:r w:rsidRPr="00986742">
        <w:rPr>
          <w:rFonts w:cs="David" w:hint="cs"/>
          <w:rtl/>
        </w:rPr>
        <w:t>בפרשה דומה (</w:t>
      </w:r>
      <w:r w:rsidRPr="00986742">
        <w:rPr>
          <w:rFonts w:cs="David"/>
          <w:rtl/>
        </w:rPr>
        <w:t xml:space="preserve">תעא (חיפה) 319/07 </w:t>
      </w:r>
      <w:r w:rsidRPr="00986742">
        <w:rPr>
          <w:rFonts w:cs="David"/>
          <w:b/>
          <w:bCs/>
          <w:rtl/>
        </w:rPr>
        <w:t>גרימברג סימון נ' עיריית קרית ביאליק, מדינת ישראל</w:t>
      </w:r>
      <w:r w:rsidRPr="00986742">
        <w:rPr>
          <w:rFonts w:cs="David" w:hint="cs"/>
          <w:b/>
          <w:bCs/>
          <w:rtl/>
        </w:rPr>
        <w:t xml:space="preserve"> ואח'</w:t>
      </w:r>
      <w:r w:rsidRPr="00986742">
        <w:rPr>
          <w:rFonts w:cs="David" w:hint="cs"/>
          <w:rtl/>
        </w:rPr>
        <w:t xml:space="preserve">), שעסקה בעובד שהועסק מספר שנים בדירוג-דרגה, ולאחר מכן הועסק בחוזה בכירים, טענה המדינה כי התביעה הוגשה באיחור, והעלתה טענות דומות לאלה שעלו בבקשה שבכותרת. </w:t>
      </w:r>
    </w:p>
    <w:p w:rsidR="00986742" w:rsidRDefault="00986742" w:rsidP="005B7568">
      <w:pPr>
        <w:tabs>
          <w:tab w:val="left" w:pos="620"/>
        </w:tabs>
        <w:spacing w:after="240" w:line="360" w:lineRule="auto"/>
        <w:ind w:left="620"/>
        <w:jc w:val="both"/>
        <w:rPr>
          <w:rFonts w:cs="David"/>
          <w:rtl/>
        </w:rPr>
      </w:pPr>
      <w:r>
        <w:rPr>
          <w:rFonts w:cs="David" w:hint="cs"/>
          <w:rtl/>
        </w:rPr>
        <w:t>בית הדין האיזורי לעבודה בחיפה סקר את הרקע ליצירת</w:t>
      </w:r>
      <w:r w:rsidR="005B7568">
        <w:rPr>
          <w:rFonts w:cs="David" w:hint="cs"/>
          <w:rtl/>
        </w:rPr>
        <w:t>ו</w:t>
      </w:r>
      <w:r>
        <w:rPr>
          <w:rFonts w:cs="David" w:hint="cs"/>
          <w:rtl/>
        </w:rPr>
        <w:t xml:space="preserve"> של חוזה הבכירים (באותו מקרה </w:t>
      </w:r>
      <w:r>
        <w:rPr>
          <w:rFonts w:cs="David"/>
          <w:rtl/>
        </w:rPr>
        <w:t>–</w:t>
      </w:r>
      <w:r>
        <w:rPr>
          <w:rFonts w:cs="David" w:hint="cs"/>
          <w:rtl/>
        </w:rPr>
        <w:t xml:space="preserve"> ברשויות המקומיות), והגיע למסקנה שלהלן:</w:t>
      </w:r>
    </w:p>
    <w:p w:rsidR="00986742" w:rsidRDefault="00986742" w:rsidP="00986742">
      <w:pPr>
        <w:tabs>
          <w:tab w:val="left" w:pos="1250"/>
        </w:tabs>
        <w:spacing w:line="360" w:lineRule="auto"/>
        <w:ind w:left="1250" w:right="450" w:hanging="360"/>
        <w:jc w:val="both"/>
        <w:rPr>
          <w:rtl/>
        </w:rPr>
      </w:pPr>
      <w:r>
        <w:rPr>
          <w:rFonts w:hint="cs"/>
          <w:rtl/>
        </w:rPr>
        <w:t xml:space="preserve">"15. </w:t>
      </w:r>
      <w:r>
        <w:rPr>
          <w:rtl/>
        </w:rPr>
        <w:t xml:space="preserve">מהאמור עולה, כי </w:t>
      </w:r>
      <w:r w:rsidRPr="00986742">
        <w:rPr>
          <w:b/>
          <w:bCs/>
          <w:u w:val="single"/>
          <w:rtl/>
        </w:rPr>
        <w:t>התובע הוחרג מפורשות מתחולת חוק הגמלאות אף כי זכויותיו לגמלה תקבענה על פי אותו חוק, בכפוף לתנאי החוזה</w:t>
      </w:r>
      <w:r>
        <w:rPr>
          <w:rtl/>
        </w:rPr>
        <w:t>. באופן דומה, נקבעו לתובע בחוזה זכויות מסוימות על פי חוקת העבודה, מבלי שזו חלה על התובע.</w:t>
      </w:r>
    </w:p>
    <w:p w:rsidR="00986742" w:rsidRDefault="00986742" w:rsidP="00986742">
      <w:pPr>
        <w:tabs>
          <w:tab w:val="left" w:pos="1250"/>
        </w:tabs>
        <w:spacing w:after="240" w:line="360" w:lineRule="auto"/>
        <w:ind w:left="1250" w:right="450" w:hanging="360"/>
        <w:jc w:val="both"/>
        <w:rPr>
          <w:rtl/>
        </w:rPr>
      </w:pPr>
      <w:r>
        <w:rPr>
          <w:rtl/>
        </w:rPr>
        <w:t>16.</w:t>
      </w:r>
      <w:r>
        <w:rPr>
          <w:rFonts w:hint="cs"/>
          <w:rtl/>
        </w:rPr>
        <w:t xml:space="preserve"> </w:t>
      </w:r>
      <w:r>
        <w:rPr>
          <w:rtl/>
        </w:rPr>
        <w:t xml:space="preserve">לפיכך, </w:t>
      </w:r>
      <w:r w:rsidRPr="00986742">
        <w:rPr>
          <w:b/>
          <w:bCs/>
          <w:u w:val="single"/>
          <w:rtl/>
        </w:rPr>
        <w:t xml:space="preserve">אין לקבוע כי </w:t>
      </w:r>
      <w:hyperlink r:id="rId10" w:tgtFrame="Hok_32155" w:history="1">
        <w:r w:rsidRPr="00986742">
          <w:rPr>
            <w:b/>
            <w:bCs/>
            <w:u w:val="single"/>
            <w:rtl/>
          </w:rPr>
          <w:t>חוק שירות המדינה (גימלאות</w:t>
        </w:r>
      </w:hyperlink>
      <w:r w:rsidRPr="00986742">
        <w:rPr>
          <w:b/>
          <w:bCs/>
          <w:u w:val="single"/>
          <w:rtl/>
        </w:rPr>
        <w:t>) ותקנותיו לעניין המועד להגשת ערעור חלים על התובע ודין טענת ההתיישנות  להידחות</w:t>
      </w:r>
      <w:r>
        <w:rPr>
          <w:rtl/>
        </w:rPr>
        <w:t>.</w:t>
      </w:r>
      <w:r>
        <w:rPr>
          <w:rFonts w:hint="cs"/>
          <w:rtl/>
        </w:rPr>
        <w:t>".</w:t>
      </w:r>
    </w:p>
    <w:p w:rsidR="00F6064D" w:rsidRPr="00815972" w:rsidRDefault="00986742" w:rsidP="00815972">
      <w:pPr>
        <w:numPr>
          <w:ilvl w:val="0"/>
          <w:numId w:val="1"/>
        </w:numPr>
        <w:tabs>
          <w:tab w:val="clear" w:pos="630"/>
          <w:tab w:val="left" w:pos="620"/>
        </w:tabs>
        <w:spacing w:after="240" w:line="360" w:lineRule="auto"/>
        <w:jc w:val="both"/>
        <w:rPr>
          <w:rFonts w:cs="David"/>
        </w:rPr>
      </w:pPr>
      <w:r w:rsidRPr="00815972">
        <w:rPr>
          <w:rFonts w:cs="David" w:hint="cs"/>
          <w:rtl/>
        </w:rPr>
        <w:t>דברים כדורבנות</w:t>
      </w:r>
      <w:r w:rsidR="00492BF6" w:rsidRPr="00815972">
        <w:rPr>
          <w:rFonts w:cs="David" w:hint="cs"/>
          <w:rtl/>
        </w:rPr>
        <w:t xml:space="preserve">, התומכים בעמדת המשיב כי יש לדחות את הבקשה. בשולי הדברים נעיר כי </w:t>
      </w:r>
      <w:r w:rsidRPr="00815972">
        <w:rPr>
          <w:rFonts w:cs="David" w:hint="cs"/>
          <w:rtl/>
        </w:rPr>
        <w:t xml:space="preserve">ראוי היה שהמדינה, שהיתה צד להליכים שם, תביא את פסק הדין בעניין גרימברג </w:t>
      </w:r>
      <w:r w:rsidR="007C00B3" w:rsidRPr="00815972">
        <w:rPr>
          <w:rFonts w:cs="David" w:hint="cs"/>
          <w:rtl/>
        </w:rPr>
        <w:t xml:space="preserve">לידיעת </w:t>
      </w:r>
      <w:r w:rsidRPr="00815972">
        <w:rPr>
          <w:rFonts w:cs="David" w:hint="cs"/>
          <w:rtl/>
        </w:rPr>
        <w:t xml:space="preserve">בית הדין הנכבד, ולא </w:t>
      </w:r>
      <w:r w:rsidR="007C00B3" w:rsidRPr="00815972">
        <w:rPr>
          <w:rFonts w:cs="David" w:hint="cs"/>
          <w:rtl/>
        </w:rPr>
        <w:t>תנסה להכביר ציטוטים מ</w:t>
      </w:r>
      <w:r w:rsidRPr="00815972">
        <w:rPr>
          <w:rFonts w:cs="David" w:hint="cs"/>
          <w:rtl/>
        </w:rPr>
        <w:t>פסקי דין</w:t>
      </w:r>
      <w:r w:rsidR="007C00B3" w:rsidRPr="00815972">
        <w:rPr>
          <w:rFonts w:cs="David" w:hint="cs"/>
          <w:rtl/>
        </w:rPr>
        <w:t xml:space="preserve"> אחרים</w:t>
      </w:r>
      <w:r w:rsidRPr="00815972">
        <w:rPr>
          <w:rFonts w:cs="David" w:hint="cs"/>
          <w:rtl/>
        </w:rPr>
        <w:t>, שאינם רלבנטיים לענייננו</w:t>
      </w:r>
      <w:r w:rsidR="00F6064D" w:rsidRPr="00815972">
        <w:rPr>
          <w:rFonts w:cs="David" w:hint="cs"/>
          <w:rtl/>
        </w:rPr>
        <w:t>. למען הזהירות, עם זאת, נתייחס בקצרה לשני פסקי הדין האמורים:</w:t>
      </w:r>
    </w:p>
    <w:p w:rsidR="00644176" w:rsidRPr="00644176" w:rsidRDefault="00F6064D" w:rsidP="00815972">
      <w:pPr>
        <w:numPr>
          <w:ilvl w:val="1"/>
          <w:numId w:val="1"/>
        </w:numPr>
        <w:tabs>
          <w:tab w:val="clear" w:pos="792"/>
        </w:tabs>
        <w:spacing w:after="240" w:line="360" w:lineRule="auto"/>
        <w:ind w:left="1160" w:hanging="540"/>
        <w:jc w:val="both"/>
        <w:rPr>
          <w:rFonts w:cs="David"/>
        </w:rPr>
      </w:pPr>
      <w:r w:rsidRPr="00644176">
        <w:rPr>
          <w:rFonts w:cs="David" w:hint="cs"/>
          <w:b/>
          <w:bCs/>
          <w:rtl/>
        </w:rPr>
        <w:t xml:space="preserve">פסק הדין בעניין ברוך שומינר </w:t>
      </w:r>
      <w:r w:rsidRPr="00644176">
        <w:rPr>
          <w:rFonts w:cs="David"/>
          <w:rtl/>
        </w:rPr>
        <w:t>–</w:t>
      </w:r>
      <w:r w:rsidRPr="00644176">
        <w:rPr>
          <w:rFonts w:cs="David" w:hint="cs"/>
          <w:rtl/>
        </w:rPr>
        <w:t xml:space="preserve"> המבקשות מפנות לפסק הדין הוותיק (משנת 1992) בעניין ברוך שומינר, פסק דין שאינו עוסק בסוגיות הקשורות לחוזה בכירים. </w:t>
      </w:r>
      <w:r w:rsidR="00492BF6">
        <w:rPr>
          <w:rFonts w:cs="David" w:hint="cs"/>
          <w:rtl/>
        </w:rPr>
        <w:t>בפרשת שומינר האמורה</w:t>
      </w:r>
      <w:r w:rsidRPr="00644176">
        <w:rPr>
          <w:rFonts w:cs="David" w:hint="cs"/>
          <w:rtl/>
        </w:rPr>
        <w:t xml:space="preserve"> </w:t>
      </w:r>
      <w:r w:rsidRPr="00815972">
        <w:rPr>
          <w:rFonts w:cs="David" w:hint="cs"/>
          <w:b/>
          <w:bCs/>
          <w:rtl/>
        </w:rPr>
        <w:t>עלתה השאלה האם רשאי היה בית הדין קמא, במסגרת ערעור גמלה, להוסיף קביעה עובדתית בנושא שאינו במסגרת הכרעתו של הממונה</w:t>
      </w:r>
      <w:r w:rsidRPr="00644176">
        <w:rPr>
          <w:rFonts w:cs="David" w:hint="cs"/>
          <w:rtl/>
        </w:rPr>
        <w:t xml:space="preserve"> (באותו מקרה </w:t>
      </w:r>
      <w:r w:rsidRPr="00644176">
        <w:rPr>
          <w:rFonts w:cs="David"/>
          <w:rtl/>
        </w:rPr>
        <w:t>–</w:t>
      </w:r>
      <w:r w:rsidRPr="00644176">
        <w:rPr>
          <w:rFonts w:cs="David" w:hint="cs"/>
          <w:rtl/>
        </w:rPr>
        <w:t xml:space="preserve"> האם התובע פוטר או התפטר). </w:t>
      </w:r>
    </w:p>
    <w:p w:rsidR="00F6064D" w:rsidRPr="00644176" w:rsidRDefault="00644176" w:rsidP="00644176">
      <w:pPr>
        <w:tabs>
          <w:tab w:val="left" w:pos="620"/>
        </w:tabs>
        <w:spacing w:after="240" w:line="360" w:lineRule="auto"/>
        <w:ind w:left="1160" w:hanging="540"/>
        <w:jc w:val="both"/>
        <w:rPr>
          <w:rFonts w:cs="David"/>
        </w:rPr>
      </w:pPr>
      <w:r>
        <w:rPr>
          <w:rFonts w:cs="David"/>
          <w:rtl/>
        </w:rPr>
        <w:tab/>
      </w:r>
      <w:r w:rsidR="00F6064D" w:rsidRPr="00644176">
        <w:rPr>
          <w:rFonts w:cs="David" w:hint="cs"/>
          <w:rtl/>
        </w:rPr>
        <w:t>בית הדין הארצי לעבודה קבע כי בית הדין קמא חרג מסמכותו באותו מקרה, וכי בעניינים שאינם קשורים להחלטת הממונה, רשאי כל צד להעלות טענות "בדרך הדיונית המתאימה (</w:t>
      </w:r>
      <w:r w:rsidR="00F6064D" w:rsidRPr="00644176">
        <w:rPr>
          <w:rFonts w:cs="David" w:hint="cs"/>
          <w:i/>
          <w:iCs/>
          <w:rtl/>
        </w:rPr>
        <w:t>סעיף 15 סיפא לפסק הדין)</w:t>
      </w:r>
      <w:r w:rsidR="00F6064D" w:rsidRPr="00644176">
        <w:rPr>
          <w:rFonts w:cs="David" w:hint="cs"/>
          <w:rtl/>
        </w:rPr>
        <w:t>. הא ותו לא. בכל הכבוד, הקשר של פסק דין שומינר לענייננו קלוש, אם בכלל.</w:t>
      </w:r>
    </w:p>
    <w:p w:rsidR="00F6064D" w:rsidRPr="00644176" w:rsidRDefault="00F6064D" w:rsidP="00057EF8">
      <w:pPr>
        <w:numPr>
          <w:ilvl w:val="1"/>
          <w:numId w:val="1"/>
        </w:numPr>
        <w:tabs>
          <w:tab w:val="clear" w:pos="792"/>
        </w:tabs>
        <w:spacing w:after="240" w:line="360" w:lineRule="auto"/>
        <w:ind w:left="1160" w:hanging="540"/>
        <w:jc w:val="both"/>
        <w:rPr>
          <w:rFonts w:cs="David"/>
        </w:rPr>
      </w:pPr>
      <w:r w:rsidRPr="00644176">
        <w:rPr>
          <w:rFonts w:cs="David" w:hint="cs"/>
          <w:b/>
          <w:bCs/>
          <w:rtl/>
        </w:rPr>
        <w:t xml:space="preserve">ההחלטה בעניין מרים רוזנבלום </w:t>
      </w:r>
      <w:r w:rsidRPr="00644176">
        <w:rPr>
          <w:rFonts w:cs="David"/>
          <w:b/>
          <w:bCs/>
          <w:rtl/>
        </w:rPr>
        <w:t>–</w:t>
      </w:r>
      <w:r w:rsidRPr="00644176">
        <w:rPr>
          <w:rFonts w:cs="David" w:hint="cs"/>
          <w:b/>
          <w:bCs/>
          <w:rtl/>
        </w:rPr>
        <w:t xml:space="preserve"> </w:t>
      </w:r>
      <w:r w:rsidRPr="00644176">
        <w:rPr>
          <w:rFonts w:cs="David" w:hint="cs"/>
          <w:rtl/>
        </w:rPr>
        <w:t xml:space="preserve">כמו כן המבקשות מפנות להחלטה של בית הדין האזורי לעבודה בחיפה בעניין מרים רוזנבלום (בש"א 1301/04). בכל הכבוד, </w:t>
      </w:r>
      <w:r w:rsidRPr="00644176">
        <w:rPr>
          <w:rFonts w:cs="David" w:hint="cs"/>
          <w:b/>
          <w:bCs/>
          <w:rtl/>
        </w:rPr>
        <w:t>המבקשות "שכחו" לציין כי השאלה שעמדה על הפרק באותו מקרה היתה צירופה של המדינה כנתבעת נוספת בתיק.</w:t>
      </w:r>
    </w:p>
    <w:p w:rsidR="00F6064D" w:rsidRDefault="00F6064D" w:rsidP="00644176">
      <w:pPr>
        <w:spacing w:after="240" w:line="360" w:lineRule="auto"/>
        <w:ind w:left="1160"/>
        <w:jc w:val="both"/>
        <w:rPr>
          <w:rFonts w:cs="David"/>
        </w:rPr>
      </w:pPr>
      <w:r>
        <w:rPr>
          <w:rFonts w:cs="David" w:hint="cs"/>
          <w:b/>
          <w:bCs/>
          <w:rtl/>
        </w:rPr>
        <w:t>לא עלתה בעניין רוזנבלום שאלה בעניין תחולת חוק הגימלאות על חוזה בכירים, או בשאלת פיצול הדיון, הנטענת במשתמע מהבקשה בתיק שבכותרת.</w:t>
      </w:r>
      <w:r w:rsidR="00644176">
        <w:rPr>
          <w:rFonts w:cs="David" w:hint="cs"/>
          <w:b/>
          <w:bCs/>
          <w:rtl/>
        </w:rPr>
        <w:t xml:space="preserve"> </w:t>
      </w:r>
      <w:r>
        <w:rPr>
          <w:rFonts w:cs="David" w:hint="cs"/>
          <w:rtl/>
        </w:rPr>
        <w:t>לפיכך, ובדומה לפסק דין שומינר, ספק רב אם מדובר בהחלטה הרלבנטית לענייננו.</w:t>
      </w:r>
    </w:p>
    <w:p w:rsidR="00644176" w:rsidRDefault="00644176" w:rsidP="00057EF8">
      <w:pPr>
        <w:numPr>
          <w:ilvl w:val="0"/>
          <w:numId w:val="1"/>
        </w:numPr>
        <w:tabs>
          <w:tab w:val="clear" w:pos="630"/>
          <w:tab w:val="left" w:pos="620"/>
        </w:tabs>
        <w:spacing w:after="240" w:line="360" w:lineRule="auto"/>
        <w:jc w:val="both"/>
        <w:rPr>
          <w:rFonts w:cs="David"/>
        </w:rPr>
      </w:pPr>
      <w:r>
        <w:rPr>
          <w:rFonts w:cs="David" w:hint="cs"/>
          <w:rtl/>
        </w:rPr>
        <w:lastRenderedPageBreak/>
        <w:t xml:space="preserve">מהאמור לעיל עולה, אם כן, כי </w:t>
      </w:r>
      <w:r w:rsidRPr="007C00B3">
        <w:rPr>
          <w:rFonts w:cs="David" w:hint="cs"/>
          <w:b/>
          <w:bCs/>
          <w:rtl/>
        </w:rPr>
        <w:t>הפסיקה הרלבנטית תומכת בעמדת המשיב, ושוללת את עמדת המבקשות</w:t>
      </w:r>
      <w:r>
        <w:rPr>
          <w:rFonts w:cs="David" w:hint="cs"/>
          <w:rtl/>
        </w:rPr>
        <w:t>, כפי שבוודאי ידעה המדינה, שהיתה צד להליכים שם.</w:t>
      </w:r>
      <w:r w:rsidR="00672B49">
        <w:rPr>
          <w:rFonts w:cs="David" w:hint="cs"/>
          <w:rtl/>
        </w:rPr>
        <w:t xml:space="preserve"> </w:t>
      </w:r>
    </w:p>
    <w:p w:rsidR="00644176" w:rsidRPr="00F6064D" w:rsidRDefault="00644176" w:rsidP="007C00B3">
      <w:pPr>
        <w:tabs>
          <w:tab w:val="left" w:pos="620"/>
        </w:tabs>
        <w:spacing w:line="360" w:lineRule="auto"/>
        <w:ind w:left="630"/>
        <w:jc w:val="both"/>
        <w:rPr>
          <w:rFonts w:cs="David"/>
        </w:rPr>
      </w:pPr>
    </w:p>
    <w:p w:rsidR="00986742" w:rsidRDefault="00986742"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כוונות המדינה ביצירת "חוזה בכירים"</w:t>
      </w:r>
    </w:p>
    <w:p w:rsidR="00492BF6" w:rsidRDefault="00986742" w:rsidP="00B86963">
      <w:pPr>
        <w:spacing w:after="240" w:line="360" w:lineRule="auto"/>
        <w:jc w:val="both"/>
        <w:rPr>
          <w:rFonts w:cs="David"/>
          <w:rtl/>
        </w:rPr>
      </w:pPr>
      <w:r>
        <w:rPr>
          <w:rFonts w:cs="David" w:hint="cs"/>
          <w:rtl/>
        </w:rPr>
        <w:t>מעל ומעבר לנדרש, נבקש, להשלמת התמונה</w:t>
      </w:r>
      <w:r w:rsidR="00B86963">
        <w:rPr>
          <w:rFonts w:cs="David" w:hint="cs"/>
          <w:rtl/>
        </w:rPr>
        <w:t xml:space="preserve">, להבהיר כי </w:t>
      </w:r>
      <w:r w:rsidR="00B86963" w:rsidRPr="007C00B3">
        <w:rPr>
          <w:rFonts w:cs="David" w:hint="cs"/>
          <w:b/>
          <w:bCs/>
          <w:rtl/>
        </w:rPr>
        <w:t>המדינה עצמה ביקש ליצור הפרדה ברורה בין העסקה לפי כתב מינוי לבין העסקה בחוזה הבכירים</w:t>
      </w:r>
      <w:r w:rsidR="00B86963">
        <w:rPr>
          <w:rFonts w:cs="David" w:hint="cs"/>
          <w:rtl/>
        </w:rPr>
        <w:t xml:space="preserve">, </w:t>
      </w:r>
      <w:r w:rsidR="00492BF6">
        <w:rPr>
          <w:rFonts w:cs="David" w:hint="cs"/>
          <w:rtl/>
        </w:rPr>
        <w:t>כך שהעסקת המשיב, לרבות לעניין הגמלה, תבוצע לפי כללים שונים מאלה שחלים על עובדי דירוג-דרגה.</w:t>
      </w:r>
    </w:p>
    <w:p w:rsidR="006D22BC" w:rsidRDefault="006D22BC" w:rsidP="00057EF8">
      <w:pPr>
        <w:numPr>
          <w:ilvl w:val="0"/>
          <w:numId w:val="1"/>
        </w:numPr>
        <w:tabs>
          <w:tab w:val="clear" w:pos="630"/>
          <w:tab w:val="left" w:pos="620"/>
        </w:tabs>
        <w:spacing w:after="240" w:line="360" w:lineRule="auto"/>
        <w:ind w:left="620" w:hanging="540"/>
        <w:jc w:val="both"/>
        <w:rPr>
          <w:rFonts w:cs="David"/>
        </w:rPr>
      </w:pPr>
      <w:r w:rsidRPr="006D22BC">
        <w:rPr>
          <w:rFonts w:cs="David"/>
          <w:rtl/>
        </w:rPr>
        <w:t>חוק שירות המדינה (מינויים)</w:t>
      </w:r>
      <w:r>
        <w:rPr>
          <w:rFonts w:cs="David" w:hint="cs"/>
          <w:rtl/>
        </w:rPr>
        <w:t>,</w:t>
      </w:r>
      <w:r w:rsidRPr="006D22BC">
        <w:rPr>
          <w:rFonts w:cs="David"/>
          <w:rtl/>
        </w:rPr>
        <w:t xml:space="preserve"> תשי"ט -1959</w:t>
      </w:r>
      <w:r>
        <w:rPr>
          <w:rFonts w:cs="David" w:hint="cs"/>
          <w:rtl/>
        </w:rPr>
        <w:t>,</w:t>
      </w:r>
      <w:r w:rsidRPr="006D22BC">
        <w:rPr>
          <w:rFonts w:cs="David"/>
          <w:rtl/>
        </w:rPr>
        <w:t xml:space="preserve"> וכן התקנות </w:t>
      </w:r>
      <w:r>
        <w:rPr>
          <w:rFonts w:cs="David" w:hint="cs"/>
          <w:rtl/>
        </w:rPr>
        <w:t xml:space="preserve">שהותקנו מכוחו, </w:t>
      </w:r>
      <w:r w:rsidRPr="006D22BC">
        <w:rPr>
          <w:rFonts w:cs="David"/>
          <w:rtl/>
        </w:rPr>
        <w:t xml:space="preserve">קובעים כי ניתן להעסיק עובד בשירות המדינה באמצעות חוזה מיוחד, </w:t>
      </w:r>
      <w:r>
        <w:rPr>
          <w:rFonts w:cs="David" w:hint="cs"/>
          <w:rtl/>
        </w:rPr>
        <w:t>במקרים מסוימים, שעיקרם הוא חיוניות המשרה והצורך בתשלום שכר גבוה מהמקובל בשירות המדינה</w:t>
      </w:r>
      <w:r w:rsidRPr="006D22BC">
        <w:rPr>
          <w:rFonts w:cs="David"/>
          <w:rtl/>
        </w:rPr>
        <w:t>.</w:t>
      </w:r>
    </w:p>
    <w:p w:rsidR="006D22BC" w:rsidRDefault="006D22BC" w:rsidP="009D1873">
      <w:pPr>
        <w:tabs>
          <w:tab w:val="left" w:pos="620"/>
        </w:tabs>
        <w:spacing w:after="240" w:line="360" w:lineRule="auto"/>
        <w:ind w:left="620"/>
        <w:jc w:val="both"/>
        <w:rPr>
          <w:rFonts w:cs="David"/>
          <w:rtl/>
        </w:rPr>
      </w:pPr>
      <w:r>
        <w:rPr>
          <w:rFonts w:cs="David" w:hint="cs"/>
          <w:rtl/>
        </w:rPr>
        <w:t xml:space="preserve">עובד, המועסק בחוזה בכירים, </w:t>
      </w:r>
      <w:r w:rsidRPr="006D22BC">
        <w:rPr>
          <w:rFonts w:cs="David"/>
          <w:rtl/>
        </w:rPr>
        <w:t>מתנתק</w:t>
      </w:r>
      <w:r>
        <w:rPr>
          <w:rFonts w:cs="David" w:hint="cs"/>
          <w:rtl/>
        </w:rPr>
        <w:t xml:space="preserve"> למעשה</w:t>
      </w:r>
      <w:r w:rsidRPr="006D22BC">
        <w:rPr>
          <w:rFonts w:cs="David"/>
          <w:rtl/>
        </w:rPr>
        <w:t xml:space="preserve"> </w:t>
      </w:r>
      <w:r>
        <w:rPr>
          <w:rFonts w:cs="David" w:hint="cs"/>
          <w:rtl/>
        </w:rPr>
        <w:t>מהדירוג בו הוא הועסק עד למעבר לחוזה בכירים</w:t>
      </w:r>
      <w:r w:rsidRPr="006D22BC">
        <w:rPr>
          <w:rFonts w:cs="David"/>
          <w:rtl/>
        </w:rPr>
        <w:t xml:space="preserve">. </w:t>
      </w:r>
      <w:r>
        <w:rPr>
          <w:rFonts w:cs="David" w:hint="cs"/>
          <w:rtl/>
        </w:rPr>
        <w:t xml:space="preserve">בעניין זה קבע בית הדין הארצי לעבודה </w:t>
      </w:r>
      <w:r w:rsidR="009D1873">
        <w:rPr>
          <w:rFonts w:cs="David" w:hint="cs"/>
          <w:rtl/>
        </w:rPr>
        <w:t>בעניין שיפמן (</w:t>
      </w:r>
      <w:r w:rsidR="009D1873" w:rsidRPr="009D1873">
        <w:rPr>
          <w:rFonts w:cs="David"/>
          <w:rtl/>
        </w:rPr>
        <w:t xml:space="preserve">עע 1243/02  </w:t>
      </w:r>
      <w:r w:rsidR="009D1873" w:rsidRPr="009D1873">
        <w:rPr>
          <w:rFonts w:cs="David"/>
          <w:u w:val="single"/>
          <w:rtl/>
        </w:rPr>
        <w:t>משה שיפמן</w:t>
      </w:r>
      <w:r w:rsidR="009D1873" w:rsidRPr="009D1873">
        <w:rPr>
          <w:rFonts w:cs="David" w:hint="cs"/>
          <w:u w:val="single"/>
          <w:rtl/>
        </w:rPr>
        <w:t xml:space="preserve"> </w:t>
      </w:r>
      <w:r w:rsidR="009D1873" w:rsidRPr="009D1873">
        <w:rPr>
          <w:rFonts w:cs="David"/>
          <w:u w:val="single"/>
          <w:rtl/>
        </w:rPr>
        <w:t>ואח'  נ' מדינת ישראל</w:t>
      </w:r>
      <w:r w:rsidR="009D1873">
        <w:rPr>
          <w:rFonts w:cs="David" w:hint="cs"/>
          <w:rtl/>
        </w:rPr>
        <w:t xml:space="preserve">) </w:t>
      </w:r>
      <w:r>
        <w:rPr>
          <w:rFonts w:cs="David" w:hint="cs"/>
          <w:rtl/>
        </w:rPr>
        <w:t>כדלקמן:</w:t>
      </w:r>
    </w:p>
    <w:p w:rsidR="006D22BC" w:rsidRPr="009D1873" w:rsidRDefault="009D1873" w:rsidP="009D1873">
      <w:pPr>
        <w:spacing w:after="240" w:line="360" w:lineRule="auto"/>
        <w:ind w:left="890" w:right="450"/>
        <w:jc w:val="both"/>
      </w:pPr>
      <w:r>
        <w:rPr>
          <w:rFonts w:hint="cs"/>
          <w:rtl/>
        </w:rPr>
        <w:t>"</w:t>
      </w:r>
      <w:r w:rsidR="006D22BC" w:rsidRPr="009D1873">
        <w:rPr>
          <w:rtl/>
        </w:rPr>
        <w:t xml:space="preserve">בעצם החתימה על חוזה בכירים </w:t>
      </w:r>
      <w:r w:rsidR="006D22BC" w:rsidRPr="009D1873">
        <w:rPr>
          <w:b/>
          <w:bCs/>
          <w:u w:val="single"/>
          <w:rtl/>
        </w:rPr>
        <w:t>מתנתק העובד מסולם הדרגות אליו היה שייך כעובד על פי כתב מינוי</w:t>
      </w:r>
      <w:r w:rsidR="006D22BC" w:rsidRPr="009D1873">
        <w:rPr>
          <w:rtl/>
        </w:rPr>
        <w:t xml:space="preserve"> (כמשמעות מונח זה </w:t>
      </w:r>
      <w:hyperlink r:id="rId11" w:tgtFrame="Hok_32184" w:history="1">
        <w:r w:rsidR="006D22BC" w:rsidRPr="009D1873">
          <w:rPr>
            <w:rtl/>
          </w:rPr>
          <w:t>בחוק שירות המדינה (מינויים), התשי"ט - 1959,</w:t>
        </w:r>
      </w:hyperlink>
      <w:r w:rsidR="006D22BC" w:rsidRPr="009D1873">
        <w:rPr>
          <w:rtl/>
        </w:rPr>
        <w:t xml:space="preserve"> להלן - כתב מינוי) ועובר למסלול השונה ממסלולו הקודם על פי כתב מינוי</w:t>
      </w:r>
      <w:r>
        <w:rPr>
          <w:rFonts w:hint="cs"/>
          <w:rtl/>
        </w:rPr>
        <w:t>"</w:t>
      </w:r>
      <w:r w:rsidR="006D22BC" w:rsidRPr="009D1873">
        <w:rPr>
          <w:rtl/>
        </w:rPr>
        <w:t>.</w:t>
      </w:r>
    </w:p>
    <w:p w:rsidR="009D1873" w:rsidRPr="009D1873" w:rsidRDefault="009D1873" w:rsidP="00057EF8">
      <w:pPr>
        <w:numPr>
          <w:ilvl w:val="0"/>
          <w:numId w:val="1"/>
        </w:numPr>
        <w:tabs>
          <w:tab w:val="clear" w:pos="630"/>
          <w:tab w:val="left" w:pos="620"/>
        </w:tabs>
        <w:spacing w:after="240" w:line="360" w:lineRule="auto"/>
        <w:ind w:left="620" w:hanging="540"/>
        <w:jc w:val="both"/>
        <w:rPr>
          <w:rFonts w:cs="David"/>
          <w:rtl/>
        </w:rPr>
      </w:pPr>
      <w:r>
        <w:rPr>
          <w:rFonts w:cs="David" w:hint="cs"/>
          <w:rtl/>
        </w:rPr>
        <w:t>זאת ועוד, חוזה הבכירים אמנם הביא לשיפור שכר של עובדים שהועסקו מכוחו, אך במקביל הוא ביטל את הקביעות שהיתה לאותם עובדים, כאשר מדובר בסוג של "עסקת חבילה" לטוב או לרע, שעל מהות</w:t>
      </w:r>
      <w:r w:rsidR="00492BF6">
        <w:rPr>
          <w:rFonts w:cs="David" w:hint="cs"/>
          <w:rtl/>
        </w:rPr>
        <w:t>ה</w:t>
      </w:r>
      <w:r>
        <w:rPr>
          <w:rFonts w:cs="David" w:hint="cs"/>
          <w:rtl/>
        </w:rPr>
        <w:t xml:space="preserve"> עמדנו </w:t>
      </w:r>
      <w:r>
        <w:rPr>
          <w:rFonts w:cs="David"/>
          <w:rtl/>
        </w:rPr>
        <w:t>–</w:t>
      </w:r>
      <w:r>
        <w:rPr>
          <w:rFonts w:cs="David" w:hint="cs"/>
          <w:rtl/>
        </w:rPr>
        <w:t xml:space="preserve"> ניתוק מהעסקה לפי כתב מינוי. ראו גם פסק הדין בתיק </w:t>
      </w:r>
      <w:hyperlink r:id="rId12" w:tgtFrame="Psak_198072" w:history="1">
        <w:r w:rsidRPr="009D1873">
          <w:rPr>
            <w:rFonts w:cs="David"/>
            <w:rtl/>
          </w:rPr>
          <w:t>עע 1029/04,</w:t>
        </w:r>
      </w:hyperlink>
      <w:r w:rsidRPr="009D1873">
        <w:rPr>
          <w:rFonts w:cs="David"/>
          <w:rtl/>
        </w:rPr>
        <w:t xml:space="preserve"> </w:t>
      </w:r>
      <w:r w:rsidRPr="009D1873">
        <w:rPr>
          <w:rFonts w:cs="David"/>
          <w:u w:val="single"/>
          <w:rtl/>
        </w:rPr>
        <w:t xml:space="preserve">עמנואל דורנשטיין ואח' </w:t>
      </w:r>
      <w:r>
        <w:rPr>
          <w:rFonts w:cs="David" w:hint="cs"/>
          <w:u w:val="single"/>
          <w:rtl/>
        </w:rPr>
        <w:t>נ'</w:t>
      </w:r>
      <w:r w:rsidRPr="009D1873">
        <w:rPr>
          <w:rFonts w:cs="David"/>
          <w:u w:val="single"/>
          <w:rtl/>
        </w:rPr>
        <w:t xml:space="preserve"> מדינת ישראל</w:t>
      </w:r>
      <w:r>
        <w:rPr>
          <w:rFonts w:cs="David" w:hint="cs"/>
          <w:rtl/>
        </w:rPr>
        <w:t xml:space="preserve"> - </w:t>
      </w:r>
    </w:p>
    <w:p w:rsidR="006D22BC" w:rsidRPr="009D1873" w:rsidRDefault="009D1873" w:rsidP="009D1873">
      <w:pPr>
        <w:pStyle w:val="af0"/>
        <w:spacing w:after="240" w:line="360" w:lineRule="auto"/>
        <w:ind w:left="890" w:right="450"/>
        <w:jc w:val="both"/>
        <w:rPr>
          <w:rFonts w:ascii="Times New Roman" w:eastAsia="Times New Roman" w:hAnsi="Times New Roman" w:cs="Times New Roman"/>
          <w:sz w:val="24"/>
          <w:szCs w:val="24"/>
          <w:rtl/>
          <w:lang w:eastAsia="he-IL"/>
        </w:rPr>
      </w:pPr>
      <w:r>
        <w:rPr>
          <w:rFonts w:ascii="Times New Roman" w:eastAsia="Times New Roman" w:hAnsi="Times New Roman" w:cs="Times New Roman" w:hint="cs"/>
          <w:sz w:val="24"/>
          <w:szCs w:val="24"/>
          <w:rtl/>
          <w:lang w:eastAsia="he-IL"/>
        </w:rPr>
        <w:t>"</w:t>
      </w:r>
      <w:r w:rsidR="006D22BC" w:rsidRPr="009D1873">
        <w:rPr>
          <w:rFonts w:ascii="Times New Roman" w:eastAsia="Times New Roman" w:hAnsi="Times New Roman" w:cs="Times New Roman"/>
          <w:sz w:val="24"/>
          <w:szCs w:val="24"/>
          <w:rtl/>
          <w:lang w:eastAsia="he-IL"/>
        </w:rPr>
        <w:t xml:space="preserve">חוזה הבכירים יצר מעמד מיוחד לחלק מעובדי המדינה הבכירים שהסכימו לעבוד במעמד זה. </w:t>
      </w:r>
      <w:r w:rsidR="006D22BC" w:rsidRPr="009D1873">
        <w:rPr>
          <w:rFonts w:ascii="Times New Roman" w:eastAsia="Times New Roman" w:hAnsi="Times New Roman" w:cs="Times New Roman"/>
          <w:b/>
          <w:bCs/>
          <w:sz w:val="24"/>
          <w:szCs w:val="24"/>
          <w:u w:val="single"/>
          <w:rtl/>
          <w:lang w:eastAsia="he-IL"/>
        </w:rPr>
        <w:t>חוזה הבכירים ניתק את העובדים הבכירים ממסגרת ההעסקה השגרתית שלהם, מסולם השכר החל עליהם ומתנאי הפנסיה שמקורם בחוק</w:t>
      </w:r>
      <w:r w:rsidR="006D22BC" w:rsidRPr="009D1873">
        <w:rPr>
          <w:rFonts w:ascii="Times New Roman" w:eastAsia="Times New Roman" w:hAnsi="Times New Roman" w:cs="Times New Roman"/>
          <w:sz w:val="24"/>
          <w:szCs w:val="24"/>
          <w:rtl/>
          <w:lang w:eastAsia="he-IL"/>
        </w:rPr>
        <w:t xml:space="preserve">. חוזה הבכירים ביטל את הקביעות של העובדים הבכירים ומנגד קבע רמת שכר גבוהה מזו שהיתה לאותם עובדים על פי דירוגם. מכלול הנתונים הנוגעים לחוזה הבכירים (ראו סעיף 14 לפסק הדין של בית הדין האזורי) מלמד כי </w:t>
      </w:r>
      <w:r w:rsidR="006D22BC" w:rsidRPr="009D1873">
        <w:rPr>
          <w:rFonts w:ascii="Times New Roman" w:eastAsia="Times New Roman" w:hAnsi="Times New Roman" w:cs="Times New Roman"/>
          <w:b/>
          <w:bCs/>
          <w:sz w:val="24"/>
          <w:szCs w:val="24"/>
          <w:u w:val="single"/>
          <w:rtl/>
          <w:lang w:eastAsia="he-IL"/>
        </w:rPr>
        <w:t>מדובר בהסדר מיוחד אשר נועד לנתק את העובד הבכיר ממתכונת העסקתו הקודמת וליצור לגביו מתכונת שונה הכוללת יתרונות וחסרונות, בבחינת חוחים ושושנים כאחד</w:t>
      </w:r>
      <w:r w:rsidR="006D22BC" w:rsidRPr="009D1873">
        <w:rPr>
          <w:rFonts w:ascii="Times New Roman" w:eastAsia="Times New Roman" w:hAnsi="Times New Roman" w:cs="Times New Roman"/>
          <w:sz w:val="24"/>
          <w:szCs w:val="24"/>
          <w:rtl/>
          <w:lang w:eastAsia="he-IL"/>
        </w:rPr>
        <w:t xml:space="preserve">. מדובר </w:t>
      </w:r>
      <w:r w:rsidR="006D22BC" w:rsidRPr="009D1873">
        <w:rPr>
          <w:rFonts w:ascii="Times New Roman" w:eastAsia="Times New Roman" w:hAnsi="Times New Roman" w:cs="Times New Roman"/>
          <w:b/>
          <w:bCs/>
          <w:sz w:val="24"/>
          <w:szCs w:val="24"/>
          <w:u w:val="single"/>
          <w:rtl/>
          <w:lang w:eastAsia="he-IL"/>
        </w:rPr>
        <w:t xml:space="preserve">במציאות העסקה שונה, חדשה ומיוחדת הכרוכה – במיוחד – בניתוק העובד הבכיר מסולם השכר הרגיל שלו. העסקת העובדים ב"חוזה בכירים" לא שינתה את סולמות השכר הרגילים, אלא יצרה מנגנון שניתק את העובדים מסולם השכר הרגיל וקבע להם מתכונת שונה – חילופית – של העסקה. לא יכול להיות ספק כי העסקה </w:t>
      </w:r>
      <w:r w:rsidR="006D22BC" w:rsidRPr="009D1873">
        <w:rPr>
          <w:rFonts w:ascii="Times New Roman" w:eastAsia="Times New Roman" w:hAnsi="Times New Roman" w:cs="Times New Roman"/>
          <w:b/>
          <w:bCs/>
          <w:sz w:val="24"/>
          <w:szCs w:val="24"/>
          <w:u w:val="single"/>
          <w:rtl/>
          <w:lang w:eastAsia="he-IL"/>
        </w:rPr>
        <w:lastRenderedPageBreak/>
        <w:t>בחוזה בכירים, במתכונת בה מדובר, הינה שינוי מהותי במבנה ההעסקה ואין היא בבחינת שינוי בסולם השכר לגביו ניתן לבצע "תיאומים</w:t>
      </w:r>
      <w:r>
        <w:rPr>
          <w:rFonts w:ascii="Times New Roman" w:eastAsia="Times New Roman" w:hAnsi="Times New Roman" w:cs="Times New Roman"/>
          <w:sz w:val="24"/>
          <w:szCs w:val="24"/>
          <w:rtl/>
          <w:lang w:eastAsia="he-IL"/>
        </w:rPr>
        <w:t>"</w:t>
      </w:r>
      <w:r>
        <w:rPr>
          <w:rFonts w:ascii="Times New Roman" w:eastAsia="Times New Roman" w:hAnsi="Times New Roman" w:cs="Times New Roman" w:hint="cs"/>
          <w:sz w:val="24"/>
          <w:szCs w:val="24"/>
          <w:rtl/>
          <w:lang w:eastAsia="he-IL"/>
        </w:rPr>
        <w:t xml:space="preserve"> ...</w:t>
      </w:r>
      <w:r w:rsidR="006D22BC" w:rsidRPr="009D1873">
        <w:rPr>
          <w:rFonts w:ascii="Times New Roman" w:eastAsia="Times New Roman" w:hAnsi="Times New Roman" w:cs="Times New Roman"/>
          <w:sz w:val="24"/>
          <w:szCs w:val="24"/>
          <w:rtl/>
          <w:lang w:eastAsia="he-IL"/>
        </w:rPr>
        <w:t xml:space="preserve">". </w:t>
      </w:r>
    </w:p>
    <w:p w:rsidR="0012175D" w:rsidRDefault="0012175D" w:rsidP="00057EF8">
      <w:pPr>
        <w:numPr>
          <w:ilvl w:val="0"/>
          <w:numId w:val="1"/>
        </w:numPr>
        <w:tabs>
          <w:tab w:val="clear" w:pos="630"/>
          <w:tab w:val="left" w:pos="620"/>
        </w:tabs>
        <w:spacing w:after="240" w:line="360" w:lineRule="auto"/>
        <w:ind w:left="620" w:hanging="540"/>
        <w:jc w:val="both"/>
        <w:rPr>
          <w:rFonts w:cs="David"/>
        </w:rPr>
      </w:pPr>
      <w:r>
        <w:rPr>
          <w:rFonts w:cs="David" w:hint="cs"/>
          <w:rtl/>
        </w:rPr>
        <w:t>ואכן, חוזה הבכירים עליו חתם המשיב, כולל הוראות רבות המעידות על כוונת המדינה להחיל מערכת כללים שונה על היחסים החוזיים עם המשיב</w:t>
      </w:r>
      <w:r w:rsidR="009D1873">
        <w:rPr>
          <w:rFonts w:cs="David" w:hint="cs"/>
          <w:rtl/>
        </w:rPr>
        <w:t xml:space="preserve">, ולנתק אותו ממערכת הכללים הקבועה בהעסקה לפי כתבי מינוי </w:t>
      </w:r>
      <w:r w:rsidR="009D1873">
        <w:rPr>
          <w:rFonts w:cs="David"/>
          <w:rtl/>
        </w:rPr>
        <w:t>–</w:t>
      </w:r>
      <w:r w:rsidR="009D1873">
        <w:rPr>
          <w:rFonts w:cs="David" w:hint="cs"/>
          <w:rtl/>
        </w:rPr>
        <w:t xml:space="preserve"> </w:t>
      </w:r>
    </w:p>
    <w:p w:rsidR="0012175D" w:rsidRDefault="009D1873" w:rsidP="00057EF8">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כך, </w:t>
      </w:r>
      <w:r w:rsidR="0012175D">
        <w:rPr>
          <w:rFonts w:cs="David" w:hint="cs"/>
          <w:rtl/>
        </w:rPr>
        <w:t xml:space="preserve">בחלק המבוא נכתב במפורש </w:t>
      </w:r>
      <w:r w:rsidR="0012175D">
        <w:rPr>
          <w:rFonts w:cs="David"/>
          <w:rtl/>
        </w:rPr>
        <w:t>–</w:t>
      </w:r>
      <w:r w:rsidR="0012175D">
        <w:rPr>
          <w:rFonts w:cs="David" w:hint="cs"/>
          <w:rtl/>
        </w:rPr>
        <w:t xml:space="preserve"> "</w:t>
      </w:r>
      <w:r w:rsidR="0012175D" w:rsidRPr="009D1873">
        <w:rPr>
          <w:rFonts w:cs="David" w:hint="cs"/>
          <w:b/>
          <w:bCs/>
          <w:i/>
          <w:iCs/>
          <w:rtl/>
        </w:rPr>
        <w:t>והעובד מסכים לביטול כתב המינוי שלו ולהיות מועסק בשירות המדינה על פי תנאי חוזה מיוחד זה;</w:t>
      </w:r>
      <w:r w:rsidR="0012175D">
        <w:rPr>
          <w:rFonts w:cs="David" w:hint="cs"/>
          <w:rtl/>
        </w:rPr>
        <w:t>".</w:t>
      </w:r>
    </w:p>
    <w:p w:rsidR="001E4F99" w:rsidRPr="001E4F99" w:rsidRDefault="001E4F99" w:rsidP="00057EF8">
      <w:pPr>
        <w:numPr>
          <w:ilvl w:val="1"/>
          <w:numId w:val="1"/>
        </w:numPr>
        <w:tabs>
          <w:tab w:val="clear" w:pos="792"/>
          <w:tab w:val="left" w:pos="1160"/>
        </w:tabs>
        <w:spacing w:after="240" w:line="360" w:lineRule="auto"/>
        <w:ind w:left="1160" w:hanging="540"/>
        <w:jc w:val="both"/>
        <w:rPr>
          <w:rFonts w:cs="David"/>
          <w:rtl/>
        </w:rPr>
      </w:pPr>
      <w:r w:rsidRPr="001E4F99">
        <w:rPr>
          <w:rFonts w:cs="David" w:hint="cs"/>
          <w:rtl/>
        </w:rPr>
        <w:t xml:space="preserve">עוד נקבע במבוא כי החוזה נעשה לפי סעיף 40 לחוק שירות המדינה (מינויים), תשי"ט </w:t>
      </w:r>
      <w:r w:rsidRPr="001E4F99">
        <w:rPr>
          <w:rFonts w:cs="David"/>
          <w:rtl/>
        </w:rPr>
        <w:t>–</w:t>
      </w:r>
      <w:r w:rsidRPr="001E4F99">
        <w:rPr>
          <w:rFonts w:cs="David" w:hint="cs"/>
          <w:rtl/>
        </w:rPr>
        <w:t xml:space="preserve"> 1959. סעיף 40 האמור, שכותרתו </w:t>
      </w:r>
      <w:r w:rsidRPr="001E4F99">
        <w:rPr>
          <w:rFonts w:ascii="David" w:hAnsi="David" w:cs="David"/>
          <w:rtl/>
        </w:rPr>
        <w:t>"חוזה מיוחד" קובע כי –</w:t>
      </w:r>
      <w:r w:rsidRPr="001E4F99">
        <w:rPr>
          <w:rFonts w:asciiTheme="majorBidi" w:hAnsiTheme="majorBidi" w:cstheme="majorBidi"/>
          <w:rtl/>
        </w:rPr>
        <w:t xml:space="preserve"> "</w:t>
      </w:r>
      <w:r w:rsidRPr="001E4F99">
        <w:rPr>
          <w:rStyle w:val="wsubclausecontent1"/>
          <w:rFonts w:asciiTheme="majorBidi" w:hAnsiTheme="majorBidi" w:cstheme="majorBidi"/>
          <w:rtl/>
        </w:rPr>
        <w:t xml:space="preserve">שום דבר האמור בחוק זה אינו בא למנוע את הממשלה לעשות חוזה מיוחד עם אדם שיועסק בשירות המדינה במקרים ולפי תנאים שייקבעו בתקנות על פי המלצת ועדת השירות ובהתייעצות עם ועדת העבודה של הכנסת; בעשיית חוזה מיוחד כאמור תיוצג הממשלה על ידי נציב השירות; </w:t>
      </w:r>
      <w:r w:rsidRPr="001E4F99">
        <w:rPr>
          <w:rStyle w:val="wsubclausecontent1"/>
          <w:rFonts w:asciiTheme="majorBidi" w:hAnsiTheme="majorBidi" w:cstheme="majorBidi"/>
          <w:b/>
          <w:bCs/>
          <w:u w:val="single"/>
          <w:rtl/>
        </w:rPr>
        <w:t>הוראות חוק זה לא יחולו על אדם המועסק לפי חוזה מיוחד אלא במידה שנקבע בחוזה</w:t>
      </w:r>
      <w:r>
        <w:rPr>
          <w:rStyle w:val="wsubclausecontent1"/>
          <w:rFonts w:cs="David" w:hint="cs"/>
          <w:rtl/>
        </w:rPr>
        <w:t>"</w:t>
      </w:r>
      <w:r w:rsidRPr="001E4F99">
        <w:rPr>
          <w:rStyle w:val="wsubclausecontent1"/>
          <w:rFonts w:cs="David" w:hint="cs"/>
          <w:rtl/>
        </w:rPr>
        <w:t>.</w:t>
      </w:r>
    </w:p>
    <w:p w:rsidR="001E4F99" w:rsidRDefault="001E4F99" w:rsidP="00057EF8">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סעיף 5 לחוזה הבכירים כי החל ממועד חתימתו </w:t>
      </w:r>
      <w:r>
        <w:rPr>
          <w:rFonts w:cs="David"/>
          <w:rtl/>
        </w:rPr>
        <w:t>–</w:t>
      </w:r>
      <w:r>
        <w:rPr>
          <w:rFonts w:cs="David" w:hint="cs"/>
          <w:rtl/>
        </w:rPr>
        <w:t xml:space="preserve"> "</w:t>
      </w:r>
      <w:r w:rsidRPr="009D1873">
        <w:rPr>
          <w:rFonts w:cs="David" w:hint="cs"/>
          <w:b/>
          <w:bCs/>
          <w:i/>
          <w:iCs/>
          <w:rtl/>
        </w:rPr>
        <w:t>יועסק העובד על פי חוזה זה ולא על פי כתב המינוי המבוטל בזה</w:t>
      </w:r>
      <w:r>
        <w:rPr>
          <w:rFonts w:cs="David" w:hint="cs"/>
          <w:rtl/>
        </w:rPr>
        <w:t xml:space="preserve">". והסיפא של הסעיף מחמירה וקובעת </w:t>
      </w:r>
      <w:r>
        <w:rPr>
          <w:rFonts w:cs="David"/>
          <w:rtl/>
        </w:rPr>
        <w:t>–</w:t>
      </w:r>
      <w:r>
        <w:rPr>
          <w:rFonts w:cs="David" w:hint="cs"/>
          <w:rtl/>
        </w:rPr>
        <w:t xml:space="preserve"> "</w:t>
      </w:r>
      <w:r w:rsidRPr="009D1873">
        <w:rPr>
          <w:rFonts w:cs="David" w:hint="cs"/>
          <w:b/>
          <w:bCs/>
          <w:i/>
          <w:iCs/>
          <w:rtl/>
        </w:rPr>
        <w:t>לעובד לא תהיה הזכות לחזור ולקבל כתב מינוי</w:t>
      </w:r>
      <w:r>
        <w:rPr>
          <w:rFonts w:cs="David" w:hint="cs"/>
          <w:rtl/>
        </w:rPr>
        <w:t>".</w:t>
      </w:r>
    </w:p>
    <w:p w:rsidR="001E4F99" w:rsidRDefault="001E4F99" w:rsidP="00057EF8">
      <w:pPr>
        <w:numPr>
          <w:ilvl w:val="1"/>
          <w:numId w:val="1"/>
        </w:numPr>
        <w:tabs>
          <w:tab w:val="clear" w:pos="792"/>
          <w:tab w:val="left" w:pos="1160"/>
        </w:tabs>
        <w:spacing w:after="240" w:line="360" w:lineRule="auto"/>
        <w:ind w:left="1160" w:hanging="540"/>
        <w:jc w:val="both"/>
        <w:rPr>
          <w:rFonts w:cs="David"/>
        </w:rPr>
      </w:pPr>
      <w:r>
        <w:rPr>
          <w:rFonts w:cs="David" w:hint="cs"/>
          <w:rtl/>
        </w:rPr>
        <w:t>סעיף 7 לחוזה הבכירים קובע שורה של תנאים להם לא זכאי המשיב, מאחר שהוא מועסק בחוזה בכירים כאמור.</w:t>
      </w:r>
    </w:p>
    <w:p w:rsidR="007C00B3" w:rsidRPr="00815972" w:rsidRDefault="009D1873" w:rsidP="00057EF8">
      <w:pPr>
        <w:numPr>
          <w:ilvl w:val="0"/>
          <w:numId w:val="1"/>
        </w:numPr>
        <w:tabs>
          <w:tab w:val="clear" w:pos="630"/>
          <w:tab w:val="left" w:pos="620"/>
        </w:tabs>
        <w:spacing w:after="240" w:line="360" w:lineRule="auto"/>
        <w:ind w:left="620" w:hanging="540"/>
        <w:jc w:val="both"/>
        <w:rPr>
          <w:rFonts w:cs="David"/>
        </w:rPr>
      </w:pPr>
      <w:r>
        <w:rPr>
          <w:rFonts w:cs="David" w:hint="cs"/>
          <w:rtl/>
        </w:rPr>
        <w:t>על רקע דברים אלה, מתחדדת ומתחזק</w:t>
      </w:r>
      <w:r w:rsidR="00672B49">
        <w:rPr>
          <w:rFonts w:cs="David" w:hint="cs"/>
          <w:rtl/>
        </w:rPr>
        <w:t>ת</w:t>
      </w:r>
      <w:r>
        <w:rPr>
          <w:rFonts w:cs="David" w:hint="cs"/>
          <w:rtl/>
        </w:rPr>
        <w:t xml:space="preserve"> הפרשנות לסעיפים </w:t>
      </w:r>
      <w:r w:rsidR="00F6064D">
        <w:rPr>
          <w:rFonts w:cs="David" w:hint="cs"/>
          <w:rtl/>
        </w:rPr>
        <w:t xml:space="preserve">11 ו </w:t>
      </w:r>
      <w:r w:rsidR="00F6064D">
        <w:rPr>
          <w:rFonts w:cs="David"/>
          <w:rtl/>
        </w:rPr>
        <w:t>–</w:t>
      </w:r>
      <w:r w:rsidR="00F6064D">
        <w:rPr>
          <w:rFonts w:cs="David" w:hint="cs"/>
          <w:rtl/>
        </w:rPr>
        <w:t xml:space="preserve"> 12 לחוזה הבכירים של המשיב, ולפיהם </w:t>
      </w:r>
      <w:r w:rsidR="00F6064D">
        <w:rPr>
          <w:rFonts w:cs="David"/>
          <w:rtl/>
        </w:rPr>
        <w:t>–</w:t>
      </w:r>
      <w:r w:rsidR="00F6064D">
        <w:rPr>
          <w:rFonts w:cs="David" w:hint="cs"/>
          <w:rtl/>
        </w:rPr>
        <w:t xml:space="preserve"> </w:t>
      </w:r>
      <w:r w:rsidR="00F6064D">
        <w:rPr>
          <w:rFonts w:cs="David" w:hint="cs"/>
          <w:b/>
          <w:bCs/>
          <w:rtl/>
        </w:rPr>
        <w:t xml:space="preserve">המדינה ניתקה את המשיב מהוראות חוק הגימלאות וסולמות השכר, </w:t>
      </w:r>
      <w:r w:rsidR="00F6064D" w:rsidRPr="007C00B3">
        <w:rPr>
          <w:rFonts w:cs="David" w:hint="cs"/>
          <w:b/>
          <w:bCs/>
          <w:u w:val="single"/>
          <w:rtl/>
        </w:rPr>
        <w:t>וקבעה את תנאי העסקתו בהתאם להוראות חוזה הבכירים</w:t>
      </w:r>
      <w:r w:rsidR="00F6064D">
        <w:rPr>
          <w:rFonts w:cs="David" w:hint="cs"/>
          <w:b/>
          <w:bCs/>
          <w:rtl/>
        </w:rPr>
        <w:t xml:space="preserve">. </w:t>
      </w:r>
    </w:p>
    <w:p w:rsidR="009D1873" w:rsidRPr="00F6064D" w:rsidRDefault="00F6064D" w:rsidP="007C00B3">
      <w:pPr>
        <w:spacing w:after="240" w:line="360" w:lineRule="auto"/>
        <w:ind w:left="620"/>
        <w:jc w:val="both"/>
        <w:rPr>
          <w:rFonts w:cs="David"/>
        </w:rPr>
      </w:pPr>
      <w:r>
        <w:rPr>
          <w:rFonts w:cs="David" w:hint="cs"/>
          <w:b/>
          <w:bCs/>
          <w:rtl/>
        </w:rPr>
        <w:t xml:space="preserve">חוזה הבכירים אינו קובע כי המשיב נדרש להגיש ערעור בהתאם להוראות חוק הגימלאות, ובהתאם </w:t>
      </w:r>
      <w:r>
        <w:rPr>
          <w:rFonts w:cs="David"/>
          <w:b/>
          <w:bCs/>
          <w:rtl/>
        </w:rPr>
        <w:t>–</w:t>
      </w:r>
      <w:r>
        <w:rPr>
          <w:rFonts w:cs="David" w:hint="cs"/>
          <w:b/>
          <w:bCs/>
          <w:rtl/>
        </w:rPr>
        <w:t xml:space="preserve"> המשיב לא איחר בהגשת תביעתו.</w:t>
      </w:r>
    </w:p>
    <w:p w:rsidR="007172BD" w:rsidRDefault="007172BD" w:rsidP="00057EF8">
      <w:pPr>
        <w:pStyle w:val="2"/>
        <w:numPr>
          <w:ilvl w:val="0"/>
          <w:numId w:val="2"/>
        </w:numPr>
        <w:tabs>
          <w:tab w:val="clear" w:pos="566"/>
          <w:tab w:val="left" w:pos="656"/>
        </w:tabs>
        <w:spacing w:after="120"/>
        <w:ind w:left="656" w:hanging="486"/>
        <w:rPr>
          <w:sz w:val="28"/>
          <w:lang w:eastAsia="en-US"/>
        </w:rPr>
      </w:pPr>
      <w:r>
        <w:rPr>
          <w:rFonts w:hint="cs"/>
          <w:sz w:val="28"/>
          <w:rtl/>
          <w:lang w:eastAsia="en-US"/>
        </w:rPr>
        <w:t>טענת ההתיישנות</w:t>
      </w:r>
    </w:p>
    <w:p w:rsidR="007172BD" w:rsidRDefault="00056C02" w:rsidP="00056C02">
      <w:pPr>
        <w:tabs>
          <w:tab w:val="left" w:pos="566"/>
        </w:tabs>
        <w:spacing w:after="240" w:line="360" w:lineRule="auto"/>
        <w:ind w:right="2070"/>
        <w:jc w:val="both"/>
        <w:rPr>
          <w:rFonts w:cs="David"/>
          <w:rtl/>
        </w:rPr>
      </w:pPr>
      <w:r w:rsidRPr="00056C02">
        <w:rPr>
          <w:rFonts w:ascii="David" w:hAnsi="David" w:cs="David"/>
          <w:i/>
          <w:iCs/>
          <w:rtl/>
        </w:rPr>
        <w:t xml:space="preserve">"לשיטת התובע, </w:t>
      </w:r>
      <w:r w:rsidRPr="00056C02">
        <w:rPr>
          <w:rFonts w:ascii="David" w:hAnsi="David" w:cs="David"/>
          <w:b/>
          <w:bCs/>
          <w:i/>
          <w:iCs/>
          <w:rtl/>
        </w:rPr>
        <w:t>ההחלטה לעניין גמלתו</w:t>
      </w:r>
      <w:r w:rsidRPr="00056C02">
        <w:rPr>
          <w:rFonts w:ascii="David" w:hAnsi="David" w:cs="David"/>
          <w:i/>
          <w:iCs/>
          <w:rtl/>
        </w:rPr>
        <w:t xml:space="preserve"> נשלחה </w:t>
      </w:r>
      <w:r w:rsidRPr="00815972">
        <w:rPr>
          <w:rFonts w:ascii="David" w:hAnsi="David" w:cs="David"/>
          <w:b/>
          <w:bCs/>
          <w:i/>
          <w:iCs/>
          <w:u w:val="single"/>
          <w:rtl/>
        </w:rPr>
        <w:t>לו ביום 10.12.2012</w:t>
      </w:r>
      <w:r w:rsidRPr="00056C02">
        <w:rPr>
          <w:rFonts w:ascii="David" w:hAnsi="David" w:cs="David"/>
          <w:i/>
          <w:iCs/>
          <w:rtl/>
        </w:rPr>
        <w:t xml:space="preserve"> ומשכורתו הקובעת הוצגה לו לראשונה במסגרת תלוש קצבת </w:t>
      </w:r>
      <w:r w:rsidRPr="00815972">
        <w:rPr>
          <w:rFonts w:ascii="David" w:hAnsi="David" w:cs="David"/>
          <w:b/>
          <w:bCs/>
          <w:i/>
          <w:iCs/>
          <w:u w:val="single"/>
          <w:rtl/>
        </w:rPr>
        <w:t>חודש דצמבר 2012</w:t>
      </w:r>
      <w:r w:rsidRPr="00056C02">
        <w:rPr>
          <w:rFonts w:ascii="David" w:hAnsi="David" w:cs="David"/>
          <w:i/>
          <w:iCs/>
          <w:rtl/>
        </w:rPr>
        <w:t>"</w:t>
      </w:r>
      <w:r>
        <w:rPr>
          <w:rFonts w:cs="David" w:hint="cs"/>
          <w:rtl/>
        </w:rPr>
        <w:t xml:space="preserve"> (סעיף 47 לבקשה; ההדגשה </w:t>
      </w:r>
      <w:r w:rsidR="00492BF6">
        <w:rPr>
          <w:rFonts w:cs="David" w:hint="cs"/>
          <w:rtl/>
        </w:rPr>
        <w:t xml:space="preserve">ראשונה בלבד </w:t>
      </w:r>
      <w:r>
        <w:rPr>
          <w:rFonts w:cs="David" w:hint="cs"/>
          <w:rtl/>
        </w:rPr>
        <w:t>במקור).</w:t>
      </w:r>
    </w:p>
    <w:p w:rsidR="00492BF6" w:rsidRPr="00815972" w:rsidRDefault="00492BF6" w:rsidP="00815972">
      <w:pPr>
        <w:pStyle w:val="af0"/>
        <w:numPr>
          <w:ilvl w:val="1"/>
          <w:numId w:val="2"/>
        </w:numPr>
        <w:tabs>
          <w:tab w:val="left" w:pos="620"/>
        </w:tabs>
        <w:spacing w:line="360" w:lineRule="auto"/>
        <w:ind w:left="620" w:hanging="450"/>
        <w:jc w:val="both"/>
        <w:rPr>
          <w:rFonts w:cs="David"/>
          <w:b/>
          <w:bCs/>
          <w:sz w:val="24"/>
          <w:szCs w:val="24"/>
          <w:u w:val="single"/>
        </w:rPr>
      </w:pPr>
      <w:r w:rsidRPr="00815972">
        <w:rPr>
          <w:rFonts w:cs="David" w:hint="eastAsia"/>
          <w:b/>
          <w:bCs/>
          <w:sz w:val="24"/>
          <w:szCs w:val="24"/>
          <w:u w:val="single"/>
          <w:rtl/>
        </w:rPr>
        <w:t>התביעה</w:t>
      </w:r>
      <w:r w:rsidRPr="00815972">
        <w:rPr>
          <w:rFonts w:cs="David"/>
          <w:b/>
          <w:bCs/>
          <w:sz w:val="24"/>
          <w:szCs w:val="24"/>
          <w:u w:val="single"/>
          <w:rtl/>
        </w:rPr>
        <w:t xml:space="preserve"> </w:t>
      </w:r>
      <w:r w:rsidRPr="00815972">
        <w:rPr>
          <w:rFonts w:cs="David" w:hint="eastAsia"/>
          <w:b/>
          <w:bCs/>
          <w:sz w:val="24"/>
          <w:szCs w:val="24"/>
          <w:u w:val="single"/>
          <w:rtl/>
        </w:rPr>
        <w:t>לא</w:t>
      </w:r>
      <w:r w:rsidRPr="00815972">
        <w:rPr>
          <w:rFonts w:cs="David"/>
          <w:b/>
          <w:bCs/>
          <w:sz w:val="24"/>
          <w:szCs w:val="24"/>
          <w:u w:val="single"/>
          <w:rtl/>
        </w:rPr>
        <w:t xml:space="preserve"> </w:t>
      </w:r>
      <w:r w:rsidRPr="00815972">
        <w:rPr>
          <w:rFonts w:cs="David" w:hint="eastAsia"/>
          <w:b/>
          <w:bCs/>
          <w:sz w:val="24"/>
          <w:szCs w:val="24"/>
          <w:u w:val="single"/>
          <w:rtl/>
        </w:rPr>
        <w:t>התיישנה</w:t>
      </w:r>
      <w:r w:rsidRPr="00815972">
        <w:rPr>
          <w:rFonts w:cs="David"/>
          <w:b/>
          <w:bCs/>
          <w:sz w:val="24"/>
          <w:szCs w:val="24"/>
          <w:u w:val="single"/>
          <w:rtl/>
        </w:rPr>
        <w:t xml:space="preserve">, </w:t>
      </w:r>
      <w:r w:rsidRPr="00815972">
        <w:rPr>
          <w:rFonts w:cs="David" w:hint="eastAsia"/>
          <w:b/>
          <w:bCs/>
          <w:sz w:val="24"/>
          <w:szCs w:val="24"/>
          <w:u w:val="single"/>
          <w:rtl/>
        </w:rPr>
        <w:t>נוכח</w:t>
      </w:r>
      <w:r w:rsidRPr="00815972">
        <w:rPr>
          <w:rFonts w:cs="David"/>
          <w:b/>
          <w:bCs/>
          <w:sz w:val="24"/>
          <w:szCs w:val="24"/>
          <w:u w:val="single"/>
          <w:rtl/>
        </w:rPr>
        <w:t xml:space="preserve"> </w:t>
      </w:r>
      <w:r w:rsidRPr="00815972">
        <w:rPr>
          <w:rFonts w:cs="David" w:hint="eastAsia"/>
          <w:b/>
          <w:bCs/>
          <w:sz w:val="24"/>
          <w:szCs w:val="24"/>
          <w:u w:val="single"/>
          <w:rtl/>
        </w:rPr>
        <w:t>המועד</w:t>
      </w:r>
      <w:r w:rsidRPr="00815972">
        <w:rPr>
          <w:rFonts w:cs="David"/>
          <w:b/>
          <w:bCs/>
          <w:sz w:val="24"/>
          <w:szCs w:val="24"/>
          <w:u w:val="single"/>
          <w:rtl/>
        </w:rPr>
        <w:t xml:space="preserve"> </w:t>
      </w:r>
      <w:r w:rsidRPr="00815972">
        <w:rPr>
          <w:rFonts w:cs="David" w:hint="eastAsia"/>
          <w:b/>
          <w:bCs/>
          <w:sz w:val="24"/>
          <w:szCs w:val="24"/>
          <w:u w:val="single"/>
          <w:rtl/>
        </w:rPr>
        <w:t>בו</w:t>
      </w:r>
      <w:r w:rsidRPr="00815972">
        <w:rPr>
          <w:rFonts w:cs="David"/>
          <w:b/>
          <w:bCs/>
          <w:sz w:val="24"/>
          <w:szCs w:val="24"/>
          <w:u w:val="single"/>
          <w:rtl/>
        </w:rPr>
        <w:t xml:space="preserve"> </w:t>
      </w:r>
      <w:r w:rsidRPr="00815972">
        <w:rPr>
          <w:rFonts w:cs="David" w:hint="eastAsia"/>
          <w:b/>
          <w:bCs/>
          <w:sz w:val="24"/>
          <w:szCs w:val="24"/>
          <w:u w:val="single"/>
          <w:rtl/>
        </w:rPr>
        <w:t>נמסרה</w:t>
      </w:r>
      <w:r w:rsidRPr="00815972">
        <w:rPr>
          <w:rFonts w:cs="David"/>
          <w:b/>
          <w:bCs/>
          <w:sz w:val="24"/>
          <w:szCs w:val="24"/>
          <w:u w:val="single"/>
          <w:rtl/>
        </w:rPr>
        <w:t xml:space="preserve"> </w:t>
      </w:r>
      <w:r w:rsidRPr="00815972">
        <w:rPr>
          <w:rFonts w:cs="David" w:hint="eastAsia"/>
          <w:b/>
          <w:bCs/>
          <w:sz w:val="24"/>
          <w:szCs w:val="24"/>
          <w:u w:val="single"/>
          <w:rtl/>
        </w:rPr>
        <w:t>משיב</w:t>
      </w:r>
      <w:bookmarkStart w:id="0" w:name="_GoBack"/>
      <w:bookmarkEnd w:id="0"/>
      <w:r w:rsidRPr="00815972">
        <w:rPr>
          <w:rFonts w:cs="David"/>
          <w:b/>
          <w:bCs/>
          <w:sz w:val="24"/>
          <w:szCs w:val="24"/>
          <w:u w:val="single"/>
          <w:rtl/>
        </w:rPr>
        <w:t xml:space="preserve"> </w:t>
      </w:r>
      <w:r w:rsidRPr="00815972">
        <w:rPr>
          <w:rFonts w:cs="David" w:hint="eastAsia"/>
          <w:b/>
          <w:bCs/>
          <w:sz w:val="24"/>
          <w:szCs w:val="24"/>
          <w:u w:val="single"/>
          <w:rtl/>
        </w:rPr>
        <w:t>החלטת</w:t>
      </w:r>
      <w:r w:rsidRPr="00815972">
        <w:rPr>
          <w:rFonts w:cs="David"/>
          <w:b/>
          <w:bCs/>
          <w:sz w:val="24"/>
          <w:szCs w:val="24"/>
          <w:u w:val="single"/>
          <w:rtl/>
        </w:rPr>
        <w:t xml:space="preserve"> </w:t>
      </w:r>
      <w:r w:rsidRPr="00815972">
        <w:rPr>
          <w:rFonts w:cs="David" w:hint="eastAsia"/>
          <w:b/>
          <w:bCs/>
          <w:sz w:val="24"/>
          <w:szCs w:val="24"/>
          <w:u w:val="single"/>
          <w:rtl/>
        </w:rPr>
        <w:t>הממונה</w:t>
      </w:r>
      <w:r w:rsidRPr="00815972">
        <w:rPr>
          <w:rFonts w:cs="David"/>
          <w:b/>
          <w:bCs/>
          <w:sz w:val="24"/>
          <w:szCs w:val="24"/>
          <w:u w:val="single"/>
          <w:rtl/>
        </w:rPr>
        <w:t xml:space="preserve"> </w:t>
      </w:r>
      <w:r w:rsidRPr="00815972">
        <w:rPr>
          <w:rFonts w:cs="David" w:hint="eastAsia"/>
          <w:b/>
          <w:bCs/>
          <w:sz w:val="24"/>
          <w:szCs w:val="24"/>
          <w:u w:val="single"/>
          <w:rtl/>
        </w:rPr>
        <w:t>על</w:t>
      </w:r>
      <w:r w:rsidRPr="00815972">
        <w:rPr>
          <w:rFonts w:cs="David"/>
          <w:b/>
          <w:bCs/>
          <w:sz w:val="24"/>
          <w:szCs w:val="24"/>
          <w:u w:val="single"/>
          <w:rtl/>
        </w:rPr>
        <w:t xml:space="preserve"> </w:t>
      </w:r>
      <w:r w:rsidRPr="00815972">
        <w:rPr>
          <w:rFonts w:cs="David" w:hint="eastAsia"/>
          <w:b/>
          <w:bCs/>
          <w:sz w:val="24"/>
          <w:szCs w:val="24"/>
          <w:u w:val="single"/>
          <w:rtl/>
        </w:rPr>
        <w:t>הגמלאות</w:t>
      </w:r>
      <w:r>
        <w:rPr>
          <w:rFonts w:cs="David" w:hint="cs"/>
          <w:b/>
          <w:bCs/>
          <w:sz w:val="24"/>
          <w:szCs w:val="24"/>
          <w:u w:val="single"/>
          <w:rtl/>
        </w:rPr>
        <w:t>, ובכלל</w:t>
      </w:r>
    </w:p>
    <w:p w:rsidR="00056C02" w:rsidRDefault="00CD2094" w:rsidP="00057EF8">
      <w:pPr>
        <w:numPr>
          <w:ilvl w:val="0"/>
          <w:numId w:val="1"/>
        </w:numPr>
        <w:tabs>
          <w:tab w:val="left" w:pos="566"/>
        </w:tabs>
        <w:spacing w:after="240" w:line="360" w:lineRule="auto"/>
        <w:ind w:left="566" w:hanging="540"/>
        <w:jc w:val="both"/>
        <w:rPr>
          <w:rFonts w:cs="David"/>
        </w:rPr>
      </w:pPr>
      <w:r>
        <w:rPr>
          <w:rFonts w:cs="David" w:hint="cs"/>
          <w:rtl/>
        </w:rPr>
        <w:lastRenderedPageBreak/>
        <w:t xml:space="preserve">תביעתו של המשיב הוגשה, כידוע, בחודש </w:t>
      </w:r>
      <w:r w:rsidRPr="00CD2094">
        <w:rPr>
          <w:rFonts w:cs="David" w:hint="cs"/>
          <w:b/>
          <w:bCs/>
          <w:rtl/>
        </w:rPr>
        <w:t>אוקטובר 2019</w:t>
      </w:r>
      <w:r>
        <w:rPr>
          <w:rFonts w:cs="David" w:hint="cs"/>
          <w:rtl/>
        </w:rPr>
        <w:t xml:space="preserve">. דהיינו, פחות משבע שנים מהמועדים אותם ציינו המבקשות בבקשתן. ודוק, </w:t>
      </w:r>
      <w:r w:rsidRPr="0024236F">
        <w:rPr>
          <w:rFonts w:cs="David" w:hint="cs"/>
          <w:b/>
          <w:bCs/>
          <w:rtl/>
        </w:rPr>
        <w:t>רק בחודש ינואר 2013, כאשר ראה המשיב את הקיצבה לחודש דצמבר 2012 הוא ידע את המצב לאשורו</w:t>
      </w:r>
      <w:r w:rsidR="0024236F">
        <w:rPr>
          <w:rFonts w:cs="David" w:hint="cs"/>
          <w:b/>
          <w:bCs/>
          <w:rtl/>
        </w:rPr>
        <w:t xml:space="preserve"> </w:t>
      </w:r>
      <w:r w:rsidR="0024236F">
        <w:rPr>
          <w:rFonts w:cs="David" w:hint="cs"/>
          <w:rtl/>
        </w:rPr>
        <w:t>(ראו סעיף 38 לכתב התביעה)</w:t>
      </w:r>
      <w:r w:rsidRPr="0024236F">
        <w:rPr>
          <w:rFonts w:cs="David" w:hint="cs"/>
          <w:b/>
          <w:bCs/>
          <w:rtl/>
        </w:rPr>
        <w:t>.</w:t>
      </w:r>
    </w:p>
    <w:p w:rsidR="00CD2094" w:rsidRDefault="00CD2094" w:rsidP="00CD2094">
      <w:pPr>
        <w:tabs>
          <w:tab w:val="left" w:pos="566"/>
        </w:tabs>
        <w:spacing w:after="240" w:line="360" w:lineRule="auto"/>
        <w:ind w:left="566"/>
        <w:jc w:val="both"/>
        <w:rPr>
          <w:rFonts w:cs="David"/>
        </w:rPr>
      </w:pPr>
      <w:r>
        <w:rPr>
          <w:rFonts w:cs="David" w:hint="cs"/>
          <w:rtl/>
        </w:rPr>
        <w:t xml:space="preserve">לפיכך, וכפי שהמבקשות עצמן ציינו בבקשה, </w:t>
      </w:r>
      <w:r w:rsidR="0024236F" w:rsidRPr="0024236F">
        <w:rPr>
          <w:rFonts w:cs="David" w:hint="cs"/>
          <w:b/>
          <w:bCs/>
          <w:rtl/>
        </w:rPr>
        <w:t>בוודאי ש</w:t>
      </w:r>
      <w:r w:rsidRPr="0024236F">
        <w:rPr>
          <w:rFonts w:cs="David" w:hint="cs"/>
          <w:b/>
          <w:bCs/>
          <w:rtl/>
        </w:rPr>
        <w:t>כל העילות הנוגעות לפנסיה של המשיב לא התיישנו, מהטעם הפשוט שהתביעה הוגשה פחות משבע שנים מהמועד בו נודע לו לראשונה על החלטת הממונה וגובה הפנסיה המשולמת לו.</w:t>
      </w:r>
      <w:r>
        <w:rPr>
          <w:rFonts w:cs="David" w:hint="cs"/>
          <w:rtl/>
        </w:rPr>
        <w:t xml:space="preserve"> </w:t>
      </w:r>
    </w:p>
    <w:p w:rsidR="00CD2094" w:rsidRDefault="00CD2094" w:rsidP="00057EF8">
      <w:pPr>
        <w:numPr>
          <w:ilvl w:val="0"/>
          <w:numId w:val="1"/>
        </w:numPr>
        <w:tabs>
          <w:tab w:val="left" w:pos="566"/>
        </w:tabs>
        <w:spacing w:after="240" w:line="360" w:lineRule="auto"/>
        <w:ind w:left="566" w:hanging="540"/>
        <w:jc w:val="both"/>
        <w:rPr>
          <w:rFonts w:cs="David"/>
        </w:rPr>
      </w:pPr>
      <w:r>
        <w:rPr>
          <w:rFonts w:cs="David" w:hint="cs"/>
          <w:rtl/>
        </w:rPr>
        <w:t xml:space="preserve">המבקשות אינן עושות אבחנה של ממש בין עילות התביעה, </w:t>
      </w:r>
      <w:r w:rsidR="0024236F">
        <w:rPr>
          <w:rFonts w:cs="David" w:hint="cs"/>
          <w:rtl/>
        </w:rPr>
        <w:t xml:space="preserve">ומסתפקות בטענה כללית ובאזכורי פסיקה שבכל הכבוד אינם יורדים ללב העניין. די בכך, נוכח הדברים שלעיל בעניין המועד בו נודע למשיב על </w:t>
      </w:r>
      <w:r w:rsidR="007C00B3">
        <w:rPr>
          <w:rFonts w:cs="David" w:hint="cs"/>
          <w:rtl/>
        </w:rPr>
        <w:t>ה</w:t>
      </w:r>
      <w:r w:rsidR="0024236F">
        <w:rPr>
          <w:rFonts w:cs="David" w:hint="cs"/>
          <w:rtl/>
        </w:rPr>
        <w:t xml:space="preserve">החלטה </w:t>
      </w:r>
      <w:r w:rsidR="007C00B3">
        <w:rPr>
          <w:rFonts w:cs="David" w:hint="cs"/>
          <w:rtl/>
        </w:rPr>
        <w:t xml:space="preserve">בעניין הגמלה </w:t>
      </w:r>
      <w:r w:rsidR="0024236F">
        <w:rPr>
          <w:rFonts w:cs="David" w:hint="cs"/>
          <w:rtl/>
        </w:rPr>
        <w:t>ו</w:t>
      </w:r>
      <w:r w:rsidR="007C00B3">
        <w:rPr>
          <w:rFonts w:cs="David" w:hint="cs"/>
          <w:rtl/>
        </w:rPr>
        <w:t xml:space="preserve">בהמשך </w:t>
      </w:r>
      <w:r w:rsidR="0024236F">
        <w:rPr>
          <w:rFonts w:cs="David" w:hint="cs"/>
          <w:rtl/>
        </w:rPr>
        <w:t xml:space="preserve">על גובה הפנסיה, </w:t>
      </w:r>
      <w:r w:rsidR="007C00B3">
        <w:rPr>
          <w:rFonts w:cs="David" w:hint="cs"/>
          <w:rtl/>
        </w:rPr>
        <w:t xml:space="preserve">כדי </w:t>
      </w:r>
      <w:r w:rsidR="0024236F">
        <w:rPr>
          <w:rFonts w:cs="David" w:hint="cs"/>
          <w:rtl/>
        </w:rPr>
        <w:t>לדחות את הבקשה בעניין זה.</w:t>
      </w:r>
    </w:p>
    <w:p w:rsidR="00692ECA" w:rsidRDefault="00692ECA" w:rsidP="00692ECA">
      <w:pPr>
        <w:tabs>
          <w:tab w:val="left" w:pos="566"/>
        </w:tabs>
        <w:spacing w:after="240" w:line="360" w:lineRule="auto"/>
        <w:ind w:left="26"/>
        <w:jc w:val="both"/>
        <w:rPr>
          <w:rFonts w:cs="David"/>
        </w:rPr>
      </w:pPr>
      <w:r>
        <w:rPr>
          <w:rFonts w:cs="David" w:hint="cs"/>
          <w:rtl/>
        </w:rPr>
        <w:t>למען הזהירות בלבד נוסיף ונפרט כדלקמן:</w:t>
      </w:r>
    </w:p>
    <w:p w:rsidR="00692ECA" w:rsidRDefault="00692ECA" w:rsidP="00057EF8">
      <w:pPr>
        <w:numPr>
          <w:ilvl w:val="0"/>
          <w:numId w:val="1"/>
        </w:numPr>
        <w:tabs>
          <w:tab w:val="left" w:pos="566"/>
        </w:tabs>
        <w:spacing w:after="240" w:line="360" w:lineRule="auto"/>
        <w:ind w:left="566" w:hanging="540"/>
        <w:jc w:val="both"/>
        <w:rPr>
          <w:rFonts w:cs="David"/>
        </w:rPr>
      </w:pPr>
      <w:r>
        <w:rPr>
          <w:rFonts w:cs="David" w:hint="cs"/>
          <w:rtl/>
        </w:rPr>
        <w:t xml:space="preserve">אין חולק שהמשיב נאלץ להפסיק את עבודתו בפועל בחודש אוגוסט 2012, זאת שעה </w:t>
      </w:r>
      <w:r w:rsidRPr="0024236F">
        <w:rPr>
          <w:rFonts w:cs="David" w:hint="cs"/>
          <w:b/>
          <w:bCs/>
          <w:rtl/>
        </w:rPr>
        <w:t>ש</w:t>
      </w:r>
      <w:r>
        <w:rPr>
          <w:rFonts w:cs="David" w:hint="cs"/>
          <w:b/>
          <w:bCs/>
          <w:rtl/>
        </w:rPr>
        <w:t xml:space="preserve">תוקפו של </w:t>
      </w:r>
      <w:r w:rsidRPr="0024236F">
        <w:rPr>
          <w:rFonts w:cs="David" w:hint="cs"/>
          <w:b/>
          <w:bCs/>
          <w:rtl/>
        </w:rPr>
        <w:t xml:space="preserve">חוזה </w:t>
      </w:r>
      <w:r>
        <w:rPr>
          <w:rFonts w:cs="David" w:hint="cs"/>
          <w:b/>
          <w:bCs/>
          <w:rtl/>
        </w:rPr>
        <w:t>העבודה עליו חתם</w:t>
      </w:r>
      <w:r w:rsidRPr="0024236F">
        <w:rPr>
          <w:rFonts w:cs="David" w:hint="cs"/>
          <w:b/>
          <w:bCs/>
          <w:rtl/>
        </w:rPr>
        <w:t xml:space="preserve"> היה אמור להסתיים ביום 31.3.2014!</w:t>
      </w:r>
    </w:p>
    <w:p w:rsidR="00692ECA" w:rsidRDefault="00692ECA" w:rsidP="00692ECA">
      <w:pPr>
        <w:tabs>
          <w:tab w:val="left" w:pos="566"/>
          <w:tab w:val="left" w:pos="656"/>
        </w:tabs>
        <w:spacing w:after="240" w:line="360" w:lineRule="auto"/>
        <w:ind w:left="630"/>
        <w:jc w:val="both"/>
        <w:rPr>
          <w:rFonts w:ascii="David" w:hAnsi="David" w:cs="David"/>
        </w:rPr>
      </w:pPr>
      <w:r>
        <w:rPr>
          <w:rFonts w:cs="David" w:hint="cs"/>
          <w:rtl/>
        </w:rPr>
        <w:t xml:space="preserve">אולם, במשך מספר חודשים לא העבירה המדינה למשיב הודעה בעניין גמלתו, ולא שילמה את גמלתו. על כך כתבנו, בסעיף 5 סיפא לכתב </w:t>
      </w:r>
      <w:r w:rsidRPr="00692ECA">
        <w:rPr>
          <w:rFonts w:ascii="David" w:hAnsi="David" w:cs="David"/>
          <w:rtl/>
        </w:rPr>
        <w:t>התביעה – "</w:t>
      </w:r>
      <w:r w:rsidRPr="00692ECA">
        <w:rPr>
          <w:rFonts w:ascii="David" w:hAnsi="David" w:cs="David"/>
          <w:i/>
          <w:iCs/>
          <w:rtl/>
        </w:rPr>
        <w:t xml:space="preserve">בכך פעלו הנתבעות, או מי מהן, בניגוד מוחלט להוראות הדין, בעניין הוצאתו של התובע לגימלאות, ויצרו מצב משפטי (אבסורדי, יש לציין) לפיו </w:t>
      </w:r>
      <w:r w:rsidRPr="00692ECA">
        <w:rPr>
          <w:rFonts w:ascii="David" w:hAnsi="David" w:cs="David"/>
          <w:b/>
          <w:bCs/>
          <w:i/>
          <w:iCs/>
          <w:rtl/>
        </w:rPr>
        <w:t>התובע לא הופרש לגמלאות, אך עבודתו בפועל הופסקה</w:t>
      </w:r>
      <w:r w:rsidRPr="00692ECA">
        <w:rPr>
          <w:rFonts w:ascii="David" w:hAnsi="David" w:cs="David"/>
          <w:rtl/>
        </w:rPr>
        <w:t>".</w:t>
      </w:r>
    </w:p>
    <w:p w:rsidR="00692ECA" w:rsidRDefault="00692ECA" w:rsidP="00057EF8">
      <w:pPr>
        <w:numPr>
          <w:ilvl w:val="0"/>
          <w:numId w:val="1"/>
        </w:numPr>
        <w:tabs>
          <w:tab w:val="left" w:pos="566"/>
        </w:tabs>
        <w:spacing w:after="240" w:line="360" w:lineRule="auto"/>
        <w:ind w:left="566" w:hanging="540"/>
        <w:jc w:val="both"/>
        <w:rPr>
          <w:rFonts w:cs="David"/>
        </w:rPr>
      </w:pPr>
      <w:r w:rsidRPr="00692ECA">
        <w:rPr>
          <w:rFonts w:cs="David" w:hint="cs"/>
          <w:rtl/>
        </w:rPr>
        <w:t xml:space="preserve">כלומר, על פי כתב התביעה, שהעובדות הנטענות בו הן היחידות הנבחנות במסגרת הבקשה שבכותרת, </w:t>
      </w:r>
      <w:r w:rsidRPr="00692ECA">
        <w:rPr>
          <w:rFonts w:cs="David" w:hint="cs"/>
          <w:b/>
          <w:bCs/>
          <w:rtl/>
        </w:rPr>
        <w:t>רק בחודש דצמבר 2012, עת קיבל המשיב את ההחלטה בעניין הגמלה ואת הגמלה עצמה, הוא הופרש מעבודתו במדינה</w:t>
      </w:r>
      <w:r w:rsidRPr="00692ECA">
        <w:rPr>
          <w:rFonts w:cs="David" w:hint="cs"/>
          <w:rtl/>
        </w:rPr>
        <w:t xml:space="preserve">. </w:t>
      </w:r>
    </w:p>
    <w:p w:rsidR="00FA365A" w:rsidRDefault="00FA365A" w:rsidP="00815972">
      <w:pPr>
        <w:numPr>
          <w:ilvl w:val="0"/>
          <w:numId w:val="1"/>
        </w:numPr>
        <w:tabs>
          <w:tab w:val="left" w:pos="566"/>
        </w:tabs>
        <w:spacing w:after="240" w:line="360" w:lineRule="auto"/>
        <w:ind w:left="566" w:hanging="540"/>
        <w:jc w:val="both"/>
        <w:rPr>
          <w:rFonts w:cs="David"/>
        </w:rPr>
      </w:pPr>
      <w:r>
        <w:rPr>
          <w:rFonts w:cs="David" w:hint="cs"/>
          <w:rtl/>
        </w:rPr>
        <w:t xml:space="preserve">המשיב העלה טענות ביחס להתנהלות המבקשות, או מי מהן, גם בתקופה שקדמה למועד זה (חודש דצמבר 2012), </w:t>
      </w:r>
      <w:r w:rsidR="00492BF6">
        <w:rPr>
          <w:rFonts w:cs="David" w:hint="cs"/>
          <w:rtl/>
        </w:rPr>
        <w:t xml:space="preserve">כדי לתת את הרקע המלא לתביעתו. אולם, </w:t>
      </w:r>
      <w:r>
        <w:rPr>
          <w:rFonts w:cs="David" w:hint="cs"/>
          <w:rtl/>
        </w:rPr>
        <w:t xml:space="preserve">הסעדים המבוקשים כולם מתחילים </w:t>
      </w:r>
      <w:r w:rsidR="00492BF6">
        <w:rPr>
          <w:rFonts w:cs="David" w:hint="cs"/>
          <w:rtl/>
        </w:rPr>
        <w:t xml:space="preserve">בפועל </w:t>
      </w:r>
      <w:r>
        <w:rPr>
          <w:rFonts w:cs="David" w:hint="cs"/>
          <w:rtl/>
        </w:rPr>
        <w:t xml:space="preserve">החל ממועד זה </w:t>
      </w:r>
      <w:r w:rsidR="00492BF6">
        <w:rPr>
          <w:rFonts w:cs="David" w:hint="cs"/>
          <w:rtl/>
        </w:rPr>
        <w:t xml:space="preserve"> - </w:t>
      </w:r>
      <w:r>
        <w:rPr>
          <w:rFonts w:cs="David" w:hint="cs"/>
          <w:rtl/>
        </w:rPr>
        <w:t>חודש דצמבר 2012</w:t>
      </w:r>
      <w:r w:rsidR="00492BF6">
        <w:rPr>
          <w:rFonts w:cs="David" w:hint="cs"/>
          <w:rtl/>
        </w:rPr>
        <w:t>, המועד בו ניתנה ההחלטה על הגמלה</w:t>
      </w:r>
      <w:r>
        <w:rPr>
          <w:rFonts w:cs="David" w:hint="cs"/>
          <w:rtl/>
        </w:rPr>
        <w:t>.</w:t>
      </w:r>
    </w:p>
    <w:p w:rsidR="00FA365A" w:rsidRDefault="00FA365A" w:rsidP="00FA365A">
      <w:pPr>
        <w:tabs>
          <w:tab w:val="left" w:pos="566"/>
        </w:tabs>
        <w:spacing w:after="240" w:line="360" w:lineRule="auto"/>
        <w:ind w:left="566"/>
        <w:jc w:val="both"/>
        <w:rPr>
          <w:rFonts w:cs="David"/>
          <w:rtl/>
        </w:rPr>
      </w:pPr>
      <w:r>
        <w:rPr>
          <w:rFonts w:cs="David" w:hint="cs"/>
          <w:rtl/>
        </w:rPr>
        <w:t xml:space="preserve">ודוק </w:t>
      </w:r>
      <w:r>
        <w:rPr>
          <w:rFonts w:cs="David"/>
          <w:rtl/>
        </w:rPr>
        <w:t>–</w:t>
      </w:r>
      <w:r>
        <w:rPr>
          <w:rFonts w:cs="David" w:hint="cs"/>
          <w:rtl/>
        </w:rPr>
        <w:t xml:space="preserve"> גם הסעדים הכספיים נוגעים ישירות למועד זה, שכן רק בחודש דצמבר 2012 שולמה למשיב גמלה (רטרואקטיבית), ולכן גם על כל הסעדים הכספיים לא חלה התיישנות. </w:t>
      </w:r>
    </w:p>
    <w:p w:rsidR="00FA365A" w:rsidRPr="00692ECA" w:rsidRDefault="00FA365A" w:rsidP="00FA365A">
      <w:pPr>
        <w:tabs>
          <w:tab w:val="left" w:pos="566"/>
        </w:tabs>
        <w:spacing w:after="240" w:line="360" w:lineRule="auto"/>
        <w:ind w:left="566"/>
        <w:jc w:val="both"/>
        <w:rPr>
          <w:rFonts w:cs="David"/>
        </w:rPr>
      </w:pPr>
      <w:r>
        <w:rPr>
          <w:rFonts w:cs="David" w:hint="cs"/>
          <w:rtl/>
        </w:rPr>
        <w:t xml:space="preserve">בהערת אגב נוסיף כי לו היתה המדינה פועלת כדין ומשלמת למשיב גמלה החל ממועד סילוקו בפועל מעבודתו, ייתכן והיה טעם בטענתה ביחס לחודשיים ימים (אוגוסט 2012 </w:t>
      </w:r>
      <w:r>
        <w:rPr>
          <w:rFonts w:cs="David"/>
          <w:rtl/>
        </w:rPr>
        <w:t>–</w:t>
      </w:r>
      <w:r>
        <w:rPr>
          <w:rFonts w:cs="David" w:hint="cs"/>
          <w:rtl/>
        </w:rPr>
        <w:t xml:space="preserve"> אוקטובר 2012, זאת בהתחשב במועד הגשת התביעה </w:t>
      </w:r>
      <w:r>
        <w:rPr>
          <w:rFonts w:cs="David"/>
          <w:rtl/>
        </w:rPr>
        <w:t>–</w:t>
      </w:r>
      <w:r>
        <w:rPr>
          <w:rFonts w:cs="David" w:hint="cs"/>
          <w:rtl/>
        </w:rPr>
        <w:t xml:space="preserve"> אוקטובר 2019). אולם, משכשלה המדינה למלא אפילו את החובה הבסיסית של תשלום גמלה במועד, נשמט הבסיס גם לטענת ההתיישנות הקלושה ביחס לחודשיים הימים האמורים.</w:t>
      </w:r>
    </w:p>
    <w:p w:rsidR="00FA365A" w:rsidRDefault="00FA365A" w:rsidP="00057EF8">
      <w:pPr>
        <w:numPr>
          <w:ilvl w:val="0"/>
          <w:numId w:val="1"/>
        </w:numPr>
        <w:tabs>
          <w:tab w:val="left" w:pos="566"/>
        </w:tabs>
        <w:spacing w:after="240" w:line="360" w:lineRule="auto"/>
        <w:ind w:left="566" w:hanging="540"/>
        <w:jc w:val="both"/>
        <w:rPr>
          <w:rFonts w:cs="David"/>
        </w:rPr>
      </w:pPr>
      <w:r>
        <w:rPr>
          <w:rFonts w:cs="David" w:hint="cs"/>
          <w:rtl/>
        </w:rPr>
        <w:t>על כן, יש לדחות את טענת ההתיישנות כולה, הן בשל חוסר הפירוט ביחס לעילות התביעה והן לגופה, בהיעדר עילה נוכח המועד בו החל המשיב לקבל את גמלתו.</w:t>
      </w:r>
    </w:p>
    <w:p w:rsidR="00E51A43" w:rsidRDefault="00E51A43" w:rsidP="00815972">
      <w:pPr>
        <w:pStyle w:val="30"/>
        <w:rPr>
          <w:rtl/>
        </w:rPr>
      </w:pPr>
    </w:p>
    <w:p w:rsidR="00177B37" w:rsidRPr="0039100F" w:rsidRDefault="00177B37" w:rsidP="00815972">
      <w:pPr>
        <w:pStyle w:val="af0"/>
        <w:numPr>
          <w:ilvl w:val="1"/>
          <w:numId w:val="2"/>
        </w:numPr>
        <w:tabs>
          <w:tab w:val="left" w:pos="620"/>
        </w:tabs>
        <w:spacing w:line="360" w:lineRule="auto"/>
        <w:ind w:left="620" w:hanging="450"/>
        <w:jc w:val="both"/>
        <w:rPr>
          <w:rFonts w:cs="David"/>
          <w:b/>
          <w:bCs/>
          <w:u w:val="single"/>
        </w:rPr>
      </w:pPr>
      <w:r w:rsidRPr="00815972">
        <w:rPr>
          <w:rFonts w:cs="David" w:hint="eastAsia"/>
          <w:b/>
          <w:bCs/>
          <w:sz w:val="24"/>
          <w:szCs w:val="24"/>
          <w:u w:val="single"/>
          <w:rtl/>
        </w:rPr>
        <w:t>התביעה</w:t>
      </w:r>
      <w:r w:rsidRPr="00815972">
        <w:rPr>
          <w:rFonts w:cs="David"/>
          <w:b/>
          <w:bCs/>
          <w:sz w:val="24"/>
          <w:szCs w:val="24"/>
          <w:u w:val="single"/>
          <w:rtl/>
        </w:rPr>
        <w:t xml:space="preserve"> </w:t>
      </w:r>
      <w:r w:rsidRPr="00815972">
        <w:rPr>
          <w:rFonts w:cs="David" w:hint="eastAsia"/>
          <w:b/>
          <w:bCs/>
          <w:sz w:val="24"/>
          <w:szCs w:val="24"/>
          <w:u w:val="single"/>
          <w:rtl/>
        </w:rPr>
        <w:t>בתיק</w:t>
      </w:r>
      <w:r w:rsidRPr="00815972">
        <w:rPr>
          <w:rFonts w:cs="David"/>
          <w:b/>
          <w:bCs/>
          <w:sz w:val="24"/>
          <w:szCs w:val="24"/>
          <w:u w:val="single"/>
          <w:rtl/>
        </w:rPr>
        <w:t xml:space="preserve"> </w:t>
      </w:r>
      <w:r w:rsidRPr="00815972">
        <w:rPr>
          <w:rFonts w:cs="David" w:hint="eastAsia"/>
          <w:b/>
          <w:bCs/>
          <w:sz w:val="24"/>
          <w:szCs w:val="24"/>
          <w:u w:val="single"/>
          <w:rtl/>
        </w:rPr>
        <w:t>שבכותרת</w:t>
      </w:r>
      <w:r w:rsidRPr="00815972">
        <w:rPr>
          <w:rFonts w:cs="David"/>
          <w:b/>
          <w:bCs/>
          <w:sz w:val="24"/>
          <w:szCs w:val="24"/>
          <w:u w:val="single"/>
          <w:rtl/>
        </w:rPr>
        <w:t xml:space="preserve"> </w:t>
      </w:r>
      <w:r w:rsidRPr="00815972">
        <w:rPr>
          <w:rFonts w:cs="David" w:hint="eastAsia"/>
          <w:b/>
          <w:bCs/>
          <w:sz w:val="24"/>
          <w:szCs w:val="24"/>
          <w:u w:val="single"/>
          <w:rtl/>
        </w:rPr>
        <w:t>היא</w:t>
      </w:r>
      <w:r w:rsidRPr="00815972">
        <w:rPr>
          <w:rFonts w:cs="David"/>
          <w:b/>
          <w:bCs/>
          <w:sz w:val="24"/>
          <w:szCs w:val="24"/>
          <w:u w:val="single"/>
          <w:rtl/>
        </w:rPr>
        <w:t xml:space="preserve"> </w:t>
      </w:r>
      <w:r w:rsidRPr="00815972">
        <w:rPr>
          <w:rFonts w:cs="David" w:hint="eastAsia"/>
          <w:b/>
          <w:bCs/>
          <w:sz w:val="24"/>
          <w:szCs w:val="24"/>
          <w:u w:val="single"/>
          <w:rtl/>
        </w:rPr>
        <w:t>תביעה</w:t>
      </w:r>
      <w:r w:rsidRPr="00815972">
        <w:rPr>
          <w:rFonts w:cs="David"/>
          <w:b/>
          <w:bCs/>
          <w:sz w:val="24"/>
          <w:szCs w:val="24"/>
          <w:u w:val="single"/>
          <w:rtl/>
        </w:rPr>
        <w:t xml:space="preserve"> </w:t>
      </w:r>
      <w:r w:rsidRPr="00815972">
        <w:rPr>
          <w:rFonts w:cs="David" w:hint="eastAsia"/>
          <w:b/>
          <w:bCs/>
          <w:sz w:val="24"/>
          <w:szCs w:val="24"/>
          <w:u w:val="single"/>
          <w:rtl/>
        </w:rPr>
        <w:t>מתחדשת</w:t>
      </w:r>
      <w:r w:rsidRPr="00815972">
        <w:rPr>
          <w:rFonts w:cs="David"/>
          <w:b/>
          <w:bCs/>
          <w:sz w:val="24"/>
          <w:szCs w:val="24"/>
          <w:u w:val="single"/>
          <w:rtl/>
        </w:rPr>
        <w:t xml:space="preserve"> </w:t>
      </w:r>
      <w:r w:rsidR="0039100F">
        <w:rPr>
          <w:rFonts w:cs="David" w:hint="cs"/>
          <w:b/>
          <w:bCs/>
          <w:sz w:val="24"/>
          <w:szCs w:val="24"/>
          <w:u w:val="single"/>
          <w:rtl/>
        </w:rPr>
        <w:t>ועל כן היא לא התיישנה</w:t>
      </w:r>
    </w:p>
    <w:p w:rsidR="00177B37" w:rsidRPr="00815972" w:rsidRDefault="00177B37" w:rsidP="00177B37">
      <w:pPr>
        <w:numPr>
          <w:ilvl w:val="0"/>
          <w:numId w:val="1"/>
        </w:numPr>
        <w:tabs>
          <w:tab w:val="clear" w:pos="630"/>
          <w:tab w:val="left" w:pos="620"/>
        </w:tabs>
        <w:spacing w:after="240" w:line="360" w:lineRule="auto"/>
        <w:ind w:left="620" w:hanging="540"/>
        <w:jc w:val="both"/>
        <w:rPr>
          <w:rStyle w:val="ac"/>
          <w:rFonts w:ascii="David" w:hAnsi="David" w:cs="David"/>
        </w:rPr>
      </w:pPr>
      <w:r w:rsidRPr="00815972">
        <w:rPr>
          <w:rFonts w:ascii="David" w:hAnsi="David" w:cs="David" w:hint="eastAsia"/>
          <w:rtl/>
        </w:rPr>
        <w:t>מבלי</w:t>
      </w:r>
      <w:r w:rsidRPr="00815972">
        <w:rPr>
          <w:rFonts w:ascii="David" w:hAnsi="David" w:cs="David"/>
          <w:rtl/>
        </w:rPr>
        <w:t xml:space="preserve"> לגרוע מהאמור לעיל, </w:t>
      </w:r>
      <w:r w:rsidR="0039100F">
        <w:rPr>
          <w:rFonts w:ascii="David" w:hAnsi="David" w:cs="David" w:hint="cs"/>
          <w:rtl/>
        </w:rPr>
        <w:t xml:space="preserve">ולמען הזהירות בלבד, </w:t>
      </w:r>
      <w:r w:rsidRPr="00815972">
        <w:rPr>
          <w:rFonts w:ascii="David" w:hAnsi="David" w:cs="David"/>
          <w:rtl/>
        </w:rPr>
        <w:t xml:space="preserve">המערער יוסיף ויטען כי התביעה שלפנינו היא תביעה לגמלה מתחדשות, ועיקר תביעתו היא לעניין הפרשי גמלה. לפיכך, עילת התביעה לתשלום גמלה מתחדשת מידי חודש בחודשו, ולא חלה עליה התיישנות (בג"צ 3514/07 </w:t>
      </w:r>
      <w:r w:rsidRPr="00815972">
        <w:rPr>
          <w:rFonts w:ascii="David" w:hAnsi="David" w:cs="David"/>
          <w:b/>
          <w:bCs/>
          <w:rtl/>
        </w:rPr>
        <w:t>מבטחים נ' פיורסט</w:t>
      </w:r>
      <w:r w:rsidRPr="00815972">
        <w:rPr>
          <w:rFonts w:ascii="David" w:hAnsi="David" w:cs="David"/>
          <w:rtl/>
        </w:rPr>
        <w:t xml:space="preserve"> , ניתן ביום 13.5.12 והאסמכתאות המפורטות שם; ראו גם </w:t>
      </w:r>
      <w:r w:rsidRPr="00177B37">
        <w:rPr>
          <w:rStyle w:val="ac"/>
          <w:rFonts w:ascii="David" w:hAnsi="David" w:cs="David"/>
          <w:rtl/>
        </w:rPr>
        <w:t xml:space="preserve">סעש (תל אביב) 38544-10/12  </w:t>
      </w:r>
      <w:r w:rsidRPr="00177B37">
        <w:rPr>
          <w:rStyle w:val="ac"/>
          <w:rFonts w:ascii="David" w:hAnsi="David" w:cs="David"/>
          <w:b/>
          <w:bCs/>
          <w:u w:val="single"/>
          <w:rtl/>
        </w:rPr>
        <w:t>ראובן בן דוד נ' מנהלת הגמלאות - משרד האוצר ואח').</w:t>
      </w:r>
    </w:p>
    <w:p w:rsidR="00177B37" w:rsidRPr="00177B37" w:rsidRDefault="00177B37" w:rsidP="00211F05">
      <w:pPr>
        <w:pStyle w:val="30"/>
        <w:spacing w:after="240"/>
        <w:rPr>
          <w:rtl/>
        </w:rPr>
      </w:pPr>
    </w:p>
    <w:p w:rsidR="00177B37" w:rsidRPr="00692ECA" w:rsidRDefault="00177B37" w:rsidP="00211F05">
      <w:pPr>
        <w:pStyle w:val="30"/>
        <w:spacing w:after="240"/>
        <w:rPr>
          <w:rtl/>
        </w:rPr>
      </w:pPr>
    </w:p>
    <w:p w:rsidR="007172BD" w:rsidRDefault="007172BD" w:rsidP="00057EF8">
      <w:pPr>
        <w:pStyle w:val="2"/>
        <w:numPr>
          <w:ilvl w:val="0"/>
          <w:numId w:val="2"/>
        </w:numPr>
        <w:tabs>
          <w:tab w:val="clear" w:pos="566"/>
          <w:tab w:val="left" w:pos="656"/>
        </w:tabs>
        <w:spacing w:after="120"/>
        <w:ind w:left="656" w:hanging="486"/>
        <w:rPr>
          <w:sz w:val="28"/>
          <w:lang w:eastAsia="en-US"/>
        </w:rPr>
      </w:pPr>
      <w:r>
        <w:rPr>
          <w:rFonts w:hint="cs"/>
          <w:sz w:val="28"/>
          <w:rtl/>
          <w:lang w:eastAsia="en-US"/>
        </w:rPr>
        <w:t>טענת השיהוי</w:t>
      </w:r>
    </w:p>
    <w:p w:rsidR="0024236F" w:rsidRDefault="00FA365A" w:rsidP="00815972">
      <w:pPr>
        <w:tabs>
          <w:tab w:val="left" w:pos="566"/>
        </w:tabs>
        <w:spacing w:after="240" w:line="360" w:lineRule="auto"/>
        <w:jc w:val="both"/>
        <w:rPr>
          <w:rFonts w:cs="David"/>
          <w:rtl/>
        </w:rPr>
      </w:pPr>
      <w:r>
        <w:rPr>
          <w:rFonts w:cs="David" w:hint="cs"/>
          <w:rtl/>
        </w:rPr>
        <w:t>כפי שכבר ציינו, ונחזור על כך בראשית פרק זה -</w:t>
      </w:r>
      <w:r w:rsidR="0024236F">
        <w:rPr>
          <w:rFonts w:cs="David" w:hint="cs"/>
          <w:rtl/>
        </w:rPr>
        <w:t xml:space="preserve"> </w:t>
      </w:r>
      <w:r w:rsidR="0024236F">
        <w:rPr>
          <w:rFonts w:cs="David" w:hint="cs"/>
          <w:b/>
          <w:bCs/>
          <w:rtl/>
        </w:rPr>
        <w:t xml:space="preserve">נדרשת עזות מצח מצד המדינה להעלות טענה כזאת במקרה של המשיב, נוכח התנהלותה הקלוקלת, והסחבת הבלתי נסבלת שהיא נקטה בעניינו. </w:t>
      </w:r>
      <w:r w:rsidR="00B26FEE">
        <w:rPr>
          <w:rFonts w:cs="David" w:hint="cs"/>
          <w:rtl/>
        </w:rPr>
        <w:t>בוודאי שאין בסיס לטענת השיהוי במקרה זה, כפי ש</w:t>
      </w:r>
      <w:r w:rsidR="0024236F">
        <w:rPr>
          <w:rFonts w:cs="David" w:hint="cs"/>
          <w:rtl/>
        </w:rPr>
        <w:t>המשיב יוסיף ויפרט בעניין זה:</w:t>
      </w:r>
    </w:p>
    <w:p w:rsidR="005840DE" w:rsidRPr="007C00B3" w:rsidRDefault="005840DE"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העובדות הרלבנטיות המפורטות בכתב התביעה</w:t>
      </w:r>
    </w:p>
    <w:p w:rsidR="00692ECA" w:rsidRPr="00692ECA" w:rsidRDefault="00692ECA" w:rsidP="00057EF8">
      <w:pPr>
        <w:numPr>
          <w:ilvl w:val="0"/>
          <w:numId w:val="1"/>
        </w:numPr>
        <w:tabs>
          <w:tab w:val="left" w:pos="566"/>
        </w:tabs>
        <w:spacing w:after="240" w:line="360" w:lineRule="auto"/>
        <w:ind w:left="566" w:hanging="540"/>
        <w:jc w:val="both"/>
        <w:rPr>
          <w:rFonts w:cs="David"/>
        </w:rPr>
      </w:pPr>
      <w:r w:rsidRPr="00692ECA">
        <w:rPr>
          <w:rFonts w:cs="David" w:hint="cs"/>
          <w:rtl/>
        </w:rPr>
        <w:t>עמדנו על כך שהמשיב הופרש משירות המדינה רק בחודש דצמבר 2012 (ועל כן לא חלה התיישנות על תביעתו). פרק ב.8</w:t>
      </w:r>
      <w:r w:rsidR="00B26FEE">
        <w:rPr>
          <w:rFonts w:cs="David" w:hint="cs"/>
          <w:rtl/>
        </w:rPr>
        <w:t>.</w:t>
      </w:r>
      <w:r w:rsidRPr="00692ECA">
        <w:rPr>
          <w:rFonts w:cs="David" w:hint="cs"/>
          <w:rtl/>
        </w:rPr>
        <w:t xml:space="preserve"> לכתב התביעה, הנושא את הכותרת "</w:t>
      </w:r>
      <w:r w:rsidRPr="00692ECA">
        <w:rPr>
          <w:rFonts w:cs="David" w:hint="cs"/>
          <w:b/>
          <w:bCs/>
          <w:i/>
          <w:iCs/>
          <w:rtl/>
        </w:rPr>
        <w:t>הסחבת הבלתי נסבלת בטיפול בפניותיו של התובע</w:t>
      </w:r>
      <w:r>
        <w:rPr>
          <w:rFonts w:cs="David" w:hint="cs"/>
          <w:rtl/>
        </w:rPr>
        <w:t>"</w:t>
      </w:r>
      <w:r w:rsidR="00367D2B">
        <w:rPr>
          <w:rFonts w:cs="David" w:hint="cs"/>
          <w:rtl/>
        </w:rPr>
        <w:t>, מתאר את המשך ההתרחשות לאחר שהמשיב קיבל את הגמלה הראשונה.</w:t>
      </w:r>
    </w:p>
    <w:p w:rsidR="00367D2B" w:rsidRPr="00367D2B" w:rsidRDefault="00367D2B" w:rsidP="00057EF8">
      <w:pPr>
        <w:numPr>
          <w:ilvl w:val="0"/>
          <w:numId w:val="1"/>
        </w:numPr>
        <w:tabs>
          <w:tab w:val="left" w:pos="566"/>
        </w:tabs>
        <w:spacing w:after="240" w:line="360" w:lineRule="auto"/>
        <w:ind w:left="566" w:hanging="540"/>
        <w:jc w:val="both"/>
        <w:rPr>
          <w:rFonts w:ascii="David" w:hAnsi="David" w:cs="David"/>
        </w:rPr>
      </w:pPr>
      <w:r w:rsidRPr="00367D2B">
        <w:rPr>
          <w:rFonts w:ascii="David" w:hAnsi="David" w:cs="David"/>
          <w:rtl/>
        </w:rPr>
        <w:t>בסעיף 44 לכתב התביעה הפותח את פרק ב.8</w:t>
      </w:r>
      <w:r w:rsidR="00B26FEE">
        <w:rPr>
          <w:rFonts w:ascii="David" w:hAnsi="David" w:cs="David" w:hint="cs"/>
          <w:rtl/>
        </w:rPr>
        <w:t>. לכתב התביעה</w:t>
      </w:r>
      <w:r w:rsidRPr="00367D2B">
        <w:rPr>
          <w:rFonts w:ascii="David" w:hAnsi="David" w:cs="David"/>
          <w:rtl/>
        </w:rPr>
        <w:t>, מבהיר המשיב כי פעל בכל דרך שהיא על מנת להגיע לפתרון – "</w:t>
      </w:r>
      <w:r w:rsidRPr="00367D2B">
        <w:rPr>
          <w:rFonts w:ascii="David" w:hAnsi="David" w:cs="David"/>
          <w:i/>
          <w:iCs/>
          <w:rtl/>
        </w:rPr>
        <w:t>התובע, בתמימותו, האמין כי לאחר הצגת טענותיו תתקן המדינה את הטעויות שנפלו בעניינו, ללא צורך בהתערבות של בתי המשפט</w:t>
      </w:r>
      <w:r w:rsidRPr="00367D2B">
        <w:rPr>
          <w:rFonts w:ascii="David" w:hAnsi="David" w:cs="David"/>
          <w:b/>
          <w:bCs/>
          <w:i/>
          <w:iCs/>
          <w:rtl/>
        </w:rPr>
        <w:t xml:space="preserve">, </w:t>
      </w:r>
      <w:r w:rsidRPr="00367D2B">
        <w:rPr>
          <w:rFonts w:ascii="David" w:hAnsi="David" w:cs="David"/>
          <w:b/>
          <w:bCs/>
          <w:i/>
          <w:iCs/>
          <w:u w:val="single"/>
          <w:rtl/>
        </w:rPr>
        <w:t>ובהתאם לכך הוא פנה לכל הגורמים הרלוונטיים על מנת למצוא פתרון</w:t>
      </w:r>
      <w:r w:rsidRPr="00367D2B">
        <w:rPr>
          <w:rFonts w:ascii="David" w:hAnsi="David" w:cs="David" w:hint="cs"/>
          <w:i/>
          <w:iCs/>
          <w:rtl/>
        </w:rPr>
        <w:t>"</w:t>
      </w:r>
      <w:r w:rsidRPr="00367D2B">
        <w:rPr>
          <w:rFonts w:ascii="David" w:hAnsi="David" w:cs="David"/>
          <w:rtl/>
        </w:rPr>
        <w:t xml:space="preserve">. </w:t>
      </w:r>
    </w:p>
    <w:p w:rsidR="00367D2B" w:rsidRDefault="00367D2B" w:rsidP="00367D2B">
      <w:pPr>
        <w:tabs>
          <w:tab w:val="left" w:pos="566"/>
        </w:tabs>
        <w:spacing w:after="240" w:line="360" w:lineRule="auto"/>
        <w:ind w:left="566"/>
        <w:jc w:val="both"/>
        <w:rPr>
          <w:rFonts w:cs="David"/>
        </w:rPr>
      </w:pPr>
      <w:r>
        <w:rPr>
          <w:rFonts w:cs="David" w:hint="cs"/>
          <w:rtl/>
        </w:rPr>
        <w:t xml:space="preserve">בסעיף 45 סיפא לכתב התביעה מבהיר המשיב כי </w:t>
      </w:r>
      <w:r>
        <w:rPr>
          <w:rFonts w:cs="David"/>
          <w:rtl/>
        </w:rPr>
        <w:t>–</w:t>
      </w:r>
      <w:r>
        <w:rPr>
          <w:rFonts w:cs="David" w:hint="cs"/>
          <w:rtl/>
        </w:rPr>
        <w:t xml:space="preserve"> "</w:t>
      </w:r>
      <w:r w:rsidRPr="00367D2B">
        <w:rPr>
          <w:rStyle w:val="emailstyle17"/>
          <w:rFonts w:cs="David" w:hint="cs"/>
          <w:b/>
          <w:bCs/>
          <w:i/>
          <w:iCs/>
          <w:color w:val="auto"/>
          <w:sz w:val="22"/>
          <w:rtl/>
        </w:rPr>
        <w:t>מדובר בעשרות פניות (לכל הפחות) מהן התעלמו הנתבעות או השיבו באיחור ולאחר עיכובים ותזכורות רבות מספור</w:t>
      </w:r>
      <w:r>
        <w:rPr>
          <w:rStyle w:val="emailstyle17"/>
          <w:rFonts w:cs="David" w:hint="cs"/>
          <w:color w:val="auto"/>
          <w:sz w:val="22"/>
          <w:rtl/>
        </w:rPr>
        <w:t>".</w:t>
      </w:r>
    </w:p>
    <w:p w:rsidR="00367D2B" w:rsidRDefault="00367D2B" w:rsidP="00815972">
      <w:pPr>
        <w:numPr>
          <w:ilvl w:val="0"/>
          <w:numId w:val="1"/>
        </w:numPr>
        <w:tabs>
          <w:tab w:val="left" w:pos="566"/>
        </w:tabs>
        <w:spacing w:after="240" w:line="360" w:lineRule="auto"/>
        <w:ind w:left="566" w:hanging="540"/>
        <w:jc w:val="both"/>
        <w:rPr>
          <w:rFonts w:cs="David"/>
        </w:rPr>
      </w:pPr>
      <w:r>
        <w:rPr>
          <w:rFonts w:cs="David" w:hint="cs"/>
          <w:rtl/>
        </w:rPr>
        <w:t xml:space="preserve">בחודש אפריל 2017 פנה </w:t>
      </w:r>
      <w:r w:rsidR="00B26FEE">
        <w:rPr>
          <w:rFonts w:cs="David" w:hint="cs"/>
          <w:rtl/>
        </w:rPr>
        <w:t xml:space="preserve">המשיב </w:t>
      </w:r>
      <w:r>
        <w:rPr>
          <w:rFonts w:cs="David" w:hint="cs"/>
          <w:rtl/>
        </w:rPr>
        <w:t xml:space="preserve">לנציב תלונות הציבור. </w:t>
      </w:r>
      <w:r w:rsidRPr="00367D2B">
        <w:rPr>
          <w:rFonts w:cs="David" w:hint="cs"/>
          <w:rtl/>
        </w:rPr>
        <w:t>רק לאחר כשנה ו</w:t>
      </w:r>
      <w:r>
        <w:rPr>
          <w:rFonts w:cs="David" w:hint="cs"/>
          <w:rtl/>
        </w:rPr>
        <w:t>שלושה חודשים</w:t>
      </w:r>
      <w:r w:rsidRPr="00367D2B">
        <w:rPr>
          <w:rFonts w:cs="David" w:hint="cs"/>
          <w:rtl/>
        </w:rPr>
        <w:t xml:space="preserve">, במהלך </w:t>
      </w:r>
      <w:r w:rsidR="005840DE" w:rsidRPr="005840DE">
        <w:rPr>
          <w:rFonts w:cs="David" w:hint="cs"/>
          <w:b/>
          <w:bCs/>
          <w:u w:val="single"/>
          <w:rtl/>
        </w:rPr>
        <w:t xml:space="preserve">חודש </w:t>
      </w:r>
      <w:r w:rsidRPr="005840DE">
        <w:rPr>
          <w:rFonts w:cs="David" w:hint="cs"/>
          <w:b/>
          <w:bCs/>
          <w:u w:val="single"/>
          <w:rtl/>
        </w:rPr>
        <w:t>יולי 2018</w:t>
      </w:r>
      <w:r w:rsidRPr="00367D2B">
        <w:rPr>
          <w:rFonts w:cs="David" w:hint="cs"/>
          <w:rtl/>
        </w:rPr>
        <w:t xml:space="preserve">, </w:t>
      </w:r>
      <w:r w:rsidR="00B26FEE">
        <w:rPr>
          <w:rFonts w:cs="David" w:hint="cs"/>
          <w:rtl/>
        </w:rPr>
        <w:t xml:space="preserve">ולאחר עיכוב ממושך במענה הפנימי של הנציבות לפניותיו של נציג התלונות, </w:t>
      </w:r>
      <w:r w:rsidRPr="00367D2B">
        <w:rPr>
          <w:rFonts w:cs="David" w:hint="cs"/>
          <w:rtl/>
        </w:rPr>
        <w:t>נתקבלה תשובתו</w:t>
      </w:r>
      <w:r>
        <w:rPr>
          <w:rFonts w:cs="David" w:hint="cs"/>
          <w:rtl/>
        </w:rPr>
        <w:t xml:space="preserve"> של הנציב. נחזור פעם נוספת - </w:t>
      </w:r>
      <w:r w:rsidRPr="00367D2B">
        <w:rPr>
          <w:rFonts w:cs="David" w:hint="cs"/>
          <w:b/>
          <w:bCs/>
          <w:rtl/>
        </w:rPr>
        <w:t xml:space="preserve">שנה ושלושה חודשים </w:t>
      </w:r>
      <w:r w:rsidR="00B26FEE">
        <w:rPr>
          <w:rFonts w:cs="David" w:hint="cs"/>
          <w:b/>
          <w:bCs/>
          <w:rtl/>
        </w:rPr>
        <w:t xml:space="preserve">נדרשו לנציב </w:t>
      </w:r>
      <w:r w:rsidRPr="00367D2B">
        <w:rPr>
          <w:rFonts w:cs="David" w:hint="cs"/>
          <w:b/>
          <w:bCs/>
          <w:rtl/>
        </w:rPr>
        <w:t>כדי להשיב על פנייה</w:t>
      </w:r>
      <w:r>
        <w:rPr>
          <w:rFonts w:cs="David" w:hint="cs"/>
          <w:rtl/>
        </w:rPr>
        <w:t xml:space="preserve">. וזאת לאחר עשרות פניות של המשיב למבקשות. </w:t>
      </w:r>
    </w:p>
    <w:p w:rsidR="00367D2B" w:rsidRDefault="00367D2B" w:rsidP="00367D2B">
      <w:pPr>
        <w:tabs>
          <w:tab w:val="left" w:pos="566"/>
        </w:tabs>
        <w:spacing w:after="240" w:line="360" w:lineRule="auto"/>
        <w:ind w:left="566"/>
        <w:jc w:val="both"/>
        <w:rPr>
          <w:rFonts w:cs="David"/>
          <w:rtl/>
        </w:rPr>
      </w:pPr>
      <w:r>
        <w:rPr>
          <w:rFonts w:cs="David" w:hint="cs"/>
          <w:rtl/>
        </w:rPr>
        <w:t>לא בכדי מסתיימת תשובת הנציב במלים אלה: "</w:t>
      </w:r>
      <w:r>
        <w:rPr>
          <w:rFonts w:cs="David" w:hint="cs"/>
          <w:b/>
          <w:bCs/>
          <w:i/>
          <w:iCs/>
          <w:rtl/>
        </w:rPr>
        <w:t xml:space="preserve">בשולי הדברים אך לא בשולי חשיבותם נבקש </w:t>
      </w:r>
      <w:r w:rsidRPr="00815972">
        <w:rPr>
          <w:rFonts w:cs="David" w:hint="cs"/>
          <w:b/>
          <w:bCs/>
          <w:i/>
          <w:iCs/>
          <w:u w:val="single"/>
          <w:rtl/>
        </w:rPr>
        <w:t>להתנצל על העיכוב במתן המענה מטעמנו שנבע מעומס עבודה</w:t>
      </w:r>
      <w:r>
        <w:rPr>
          <w:rFonts w:cs="David" w:hint="cs"/>
          <w:rtl/>
        </w:rPr>
        <w:t>" (נספח 12ב' לכתב התביעה).</w:t>
      </w:r>
    </w:p>
    <w:p w:rsidR="005840DE" w:rsidRPr="008C0045" w:rsidRDefault="00367D2B" w:rsidP="00057EF8">
      <w:pPr>
        <w:numPr>
          <w:ilvl w:val="0"/>
          <w:numId w:val="1"/>
        </w:numPr>
        <w:tabs>
          <w:tab w:val="left" w:pos="566"/>
        </w:tabs>
        <w:spacing w:after="240" w:line="360" w:lineRule="auto"/>
        <w:ind w:left="566" w:hanging="540"/>
        <w:jc w:val="both"/>
        <w:rPr>
          <w:rFonts w:cs="David"/>
        </w:rPr>
      </w:pPr>
      <w:r w:rsidRPr="005840DE">
        <w:rPr>
          <w:rFonts w:cs="David" w:hint="cs"/>
          <w:rtl/>
        </w:rPr>
        <w:t>אנו רואים, אם כן, כי</w:t>
      </w:r>
      <w:r w:rsidRPr="005840DE">
        <w:rPr>
          <w:rFonts w:cs="David" w:hint="cs"/>
          <w:b/>
          <w:bCs/>
          <w:rtl/>
        </w:rPr>
        <w:t xml:space="preserve"> במשך מספר שנים נוקטות המבקשות סחבת בלתי נסבלת בכל הקשור לטיפול בפניותיו של המשיב. </w:t>
      </w:r>
      <w:r w:rsidR="005840DE">
        <w:rPr>
          <w:rFonts w:cs="David" w:hint="cs"/>
          <w:b/>
          <w:bCs/>
          <w:rtl/>
        </w:rPr>
        <w:t xml:space="preserve">החל בעיכוב בן חמישה חודשים בתשלום הגימלה, </w:t>
      </w:r>
      <w:r w:rsidR="00B26FEE">
        <w:rPr>
          <w:rFonts w:cs="David" w:hint="cs"/>
          <w:b/>
          <w:bCs/>
          <w:rtl/>
        </w:rPr>
        <w:t>ו</w:t>
      </w:r>
      <w:r w:rsidR="005840DE">
        <w:rPr>
          <w:rFonts w:cs="David" w:hint="cs"/>
          <w:b/>
          <w:bCs/>
          <w:rtl/>
        </w:rPr>
        <w:t xml:space="preserve">המשך בהשתהות וסחבת בכל </w:t>
      </w:r>
      <w:r w:rsidR="005840DE">
        <w:rPr>
          <w:rFonts w:cs="David" w:hint="cs"/>
          <w:b/>
          <w:bCs/>
          <w:rtl/>
        </w:rPr>
        <w:lastRenderedPageBreak/>
        <w:t xml:space="preserve">הקשור לפניותיו של המשיב, סחבת </w:t>
      </w:r>
      <w:r w:rsidRPr="005840DE">
        <w:rPr>
          <w:rFonts w:cs="David" w:hint="cs"/>
          <w:b/>
          <w:bCs/>
          <w:rtl/>
        </w:rPr>
        <w:t xml:space="preserve">שמסתיימת בחודש </w:t>
      </w:r>
      <w:r w:rsidR="005840DE">
        <w:rPr>
          <w:rFonts w:cs="David" w:hint="cs"/>
          <w:b/>
          <w:bCs/>
          <w:rtl/>
        </w:rPr>
        <w:t xml:space="preserve">רק </w:t>
      </w:r>
      <w:r w:rsidRPr="005840DE">
        <w:rPr>
          <w:rFonts w:cs="David" w:hint="cs"/>
          <w:b/>
          <w:bCs/>
          <w:rtl/>
        </w:rPr>
        <w:t xml:space="preserve">יולי 2018 בהתנצלות של נציב תלונות הציבור על "העיכוב". </w:t>
      </w:r>
    </w:p>
    <w:p w:rsidR="00367D2B" w:rsidRDefault="005840DE" w:rsidP="005840DE">
      <w:pPr>
        <w:tabs>
          <w:tab w:val="left" w:pos="566"/>
        </w:tabs>
        <w:spacing w:after="240" w:line="360" w:lineRule="auto"/>
        <w:ind w:left="566"/>
        <w:jc w:val="both"/>
        <w:rPr>
          <w:rFonts w:cs="David"/>
          <w:b/>
          <w:bCs/>
          <w:u w:val="single"/>
          <w:rtl/>
        </w:rPr>
      </w:pPr>
      <w:r w:rsidRPr="005840DE">
        <w:rPr>
          <w:rFonts w:cs="David" w:hint="cs"/>
          <w:rtl/>
        </w:rPr>
        <w:t>ו</w:t>
      </w:r>
      <w:r w:rsidR="00367D2B" w:rsidRPr="005840DE">
        <w:rPr>
          <w:rFonts w:cs="David" w:hint="cs"/>
          <w:rtl/>
        </w:rPr>
        <w:t>כפי שפתחנו</w:t>
      </w:r>
      <w:r>
        <w:rPr>
          <w:rFonts w:cs="David" w:hint="cs"/>
          <w:rtl/>
        </w:rPr>
        <w:t xml:space="preserve"> כך </w:t>
      </w:r>
      <w:r w:rsidR="00367D2B" w:rsidRPr="005840DE">
        <w:rPr>
          <w:rFonts w:cs="David" w:hint="cs"/>
          <w:rtl/>
        </w:rPr>
        <w:t>נסיים חלק זה</w:t>
      </w:r>
      <w:r>
        <w:rPr>
          <w:rFonts w:cs="David" w:hint="cs"/>
          <w:rtl/>
        </w:rPr>
        <w:t xml:space="preserve"> בתשובה: </w:t>
      </w:r>
      <w:r>
        <w:rPr>
          <w:rFonts w:cs="David" w:hint="cs"/>
          <w:b/>
          <w:bCs/>
          <w:u w:val="single"/>
          <w:rtl/>
        </w:rPr>
        <w:t xml:space="preserve">נדרשת עזות מצח של ממש מצד המדינה, שהשתהתה בכל פעולותיו, לבוא ולטעון כי המשיב </w:t>
      </w:r>
      <w:r>
        <w:rPr>
          <w:rFonts w:cs="David"/>
          <w:b/>
          <w:bCs/>
          <w:u w:val="single"/>
          <w:rtl/>
        </w:rPr>
        <w:t>–</w:t>
      </w:r>
      <w:r>
        <w:rPr>
          <w:rFonts w:cs="David" w:hint="cs"/>
          <w:b/>
          <w:bCs/>
          <w:u w:val="single"/>
          <w:rtl/>
        </w:rPr>
        <w:t xml:space="preserve"> שעשה כל מאמץ להימנע מערכאות </w:t>
      </w:r>
      <w:r>
        <w:rPr>
          <w:rFonts w:cs="David"/>
          <w:b/>
          <w:bCs/>
          <w:u w:val="single"/>
          <w:rtl/>
        </w:rPr>
        <w:t>–</w:t>
      </w:r>
      <w:r>
        <w:rPr>
          <w:rFonts w:cs="David" w:hint="cs"/>
          <w:b/>
          <w:bCs/>
          <w:u w:val="single"/>
          <w:rtl/>
        </w:rPr>
        <w:t xml:space="preserve"> הוא שהשתהה בהגשת תביעתו.</w:t>
      </w:r>
    </w:p>
    <w:p w:rsidR="008C0045" w:rsidRPr="005840DE" w:rsidRDefault="008C0045" w:rsidP="00FA365A">
      <w:pPr>
        <w:tabs>
          <w:tab w:val="left" w:pos="566"/>
        </w:tabs>
        <w:spacing w:line="360" w:lineRule="auto"/>
        <w:ind w:left="566"/>
        <w:jc w:val="both"/>
        <w:rPr>
          <w:rFonts w:cs="David"/>
        </w:rPr>
      </w:pPr>
    </w:p>
    <w:p w:rsidR="008C0045" w:rsidRDefault="008C0045"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התנאים לקבלת טענת שיהוי (שאינם מתקיימים בבקשה נשוא הכותרת)</w:t>
      </w:r>
    </w:p>
    <w:p w:rsidR="008C0045" w:rsidRPr="002F3C6F" w:rsidRDefault="004127D8" w:rsidP="00057EF8">
      <w:pPr>
        <w:numPr>
          <w:ilvl w:val="0"/>
          <w:numId w:val="1"/>
        </w:numPr>
        <w:tabs>
          <w:tab w:val="left" w:pos="566"/>
        </w:tabs>
        <w:spacing w:after="240" w:line="360" w:lineRule="auto"/>
        <w:ind w:left="566" w:hanging="540"/>
        <w:jc w:val="both"/>
        <w:rPr>
          <w:rFonts w:cs="David"/>
          <w:b/>
          <w:bCs/>
        </w:rPr>
      </w:pPr>
      <w:r>
        <w:rPr>
          <w:rFonts w:cs="David" w:hint="cs"/>
          <w:rtl/>
        </w:rPr>
        <w:t>על מנת להוכיח את טענת השיהוי נדרשות המבקשות לעמוד בשלושה תנאים שנקבעו בפסיקה:</w:t>
      </w:r>
    </w:p>
    <w:p w:rsidR="008C0045" w:rsidRPr="004127D8" w:rsidRDefault="004127D8" w:rsidP="004127D8">
      <w:pPr>
        <w:pStyle w:val="af0"/>
        <w:spacing w:after="240" w:line="360" w:lineRule="auto"/>
        <w:ind w:left="890" w:right="450"/>
        <w:jc w:val="both"/>
        <w:rPr>
          <w:rFonts w:ascii="Times New Roman" w:eastAsia="Times New Roman" w:hAnsi="Times New Roman" w:cs="Times New Roman"/>
          <w:sz w:val="24"/>
          <w:szCs w:val="24"/>
          <w:rtl/>
          <w:lang w:eastAsia="he-IL"/>
        </w:rPr>
      </w:pPr>
      <w:r>
        <w:rPr>
          <w:rFonts w:ascii="Times New Roman" w:eastAsia="Times New Roman" w:hAnsi="Times New Roman" w:cs="Times New Roman" w:hint="cs"/>
          <w:sz w:val="24"/>
          <w:szCs w:val="24"/>
          <w:rtl/>
          <w:lang w:eastAsia="he-IL"/>
        </w:rPr>
        <w:t>"</w:t>
      </w:r>
      <w:r w:rsidR="008C0045" w:rsidRPr="004127D8">
        <w:rPr>
          <w:rFonts w:ascii="Times New Roman" w:eastAsia="Times New Roman" w:hAnsi="Times New Roman" w:cs="Times New Roman"/>
          <w:sz w:val="24"/>
          <w:szCs w:val="24"/>
          <w:rtl/>
          <w:lang w:eastAsia="he-IL"/>
        </w:rPr>
        <w:t>לצורך טענת שיהוי נדרש להוכיח כי בנסיבות המקרה ה</w:t>
      </w:r>
      <w:r w:rsidR="008C0045" w:rsidRPr="004127D8">
        <w:rPr>
          <w:rFonts w:ascii="Times New Roman" w:eastAsia="Times New Roman" w:hAnsi="Times New Roman" w:cs="Times New Roman"/>
          <w:b/>
          <w:bCs/>
          <w:sz w:val="24"/>
          <w:szCs w:val="24"/>
          <w:u w:val="single"/>
          <w:rtl/>
          <w:lang w:eastAsia="he-IL"/>
        </w:rPr>
        <w:t>תובע זנח את זכות התביעה העומדת לו, או שבמשך הזמן שינה הנתבע את מצבו לרעה. היו שהוסיפו תנאי חלופי שלישי שעניינו שיהוי שנגרם עקב חוסר תום לבו של התובע</w:t>
      </w:r>
      <w:r w:rsidR="008C0045" w:rsidRPr="004127D8">
        <w:rPr>
          <w:rFonts w:ascii="Times New Roman" w:eastAsia="Times New Roman" w:hAnsi="Times New Roman" w:cs="Times New Roman"/>
          <w:sz w:val="24"/>
          <w:szCs w:val="24"/>
          <w:rtl/>
          <w:lang w:eastAsia="he-IL"/>
        </w:rPr>
        <w:t xml:space="preserve"> (</w:t>
      </w:r>
      <w:hyperlink r:id="rId13" w:tgtFrame="Psak_606354" w:history="1">
        <w:r w:rsidR="008C0045" w:rsidRPr="004127D8">
          <w:rPr>
            <w:rFonts w:ascii="Times New Roman" w:eastAsia="Times New Roman" w:hAnsi="Times New Roman" w:cs="Times New Roman"/>
            <w:sz w:val="24"/>
            <w:szCs w:val="24"/>
            <w:rtl/>
            <w:lang w:eastAsia="he-IL"/>
          </w:rPr>
          <w:t>ע"א 403/63</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תמיר נ' שמואלי</w:t>
      </w:r>
      <w:r w:rsidR="008C0045" w:rsidRPr="004127D8">
        <w:rPr>
          <w:rFonts w:ascii="Times New Roman" w:eastAsia="Times New Roman" w:hAnsi="Times New Roman" w:cs="Times New Roman"/>
          <w:sz w:val="24"/>
          <w:szCs w:val="24"/>
          <w:rtl/>
          <w:lang w:eastAsia="he-IL"/>
        </w:rPr>
        <w:t xml:space="preserve">, פד"י יח(1) 47, 53; ע"א 410/87 </w:t>
      </w:r>
      <w:r w:rsidR="008C0045" w:rsidRPr="004127D8">
        <w:rPr>
          <w:rFonts w:ascii="Times New Roman" w:eastAsia="Times New Roman" w:hAnsi="Times New Roman" w:cs="Times New Roman"/>
          <w:sz w:val="24"/>
          <w:szCs w:val="24"/>
          <w:u w:val="single"/>
          <w:rtl/>
          <w:lang w:eastAsia="he-IL"/>
        </w:rPr>
        <w:t>עזבון ליברמן נ' יונגר</w:t>
      </w:r>
      <w:r w:rsidR="008C0045" w:rsidRPr="004127D8">
        <w:rPr>
          <w:rFonts w:ascii="Times New Roman" w:eastAsia="Times New Roman" w:hAnsi="Times New Roman" w:cs="Times New Roman"/>
          <w:sz w:val="24"/>
          <w:szCs w:val="24"/>
          <w:rtl/>
          <w:lang w:eastAsia="he-IL"/>
        </w:rPr>
        <w:t xml:space="preserve">, פד"י מה(3) 749,  755-6). </w:t>
      </w:r>
      <w:r w:rsidR="008C0045" w:rsidRPr="004127D8">
        <w:rPr>
          <w:rFonts w:ascii="Times New Roman" w:eastAsia="Times New Roman" w:hAnsi="Times New Roman" w:cs="Times New Roman"/>
          <w:b/>
          <w:bCs/>
          <w:sz w:val="24"/>
          <w:szCs w:val="24"/>
          <w:u w:val="single"/>
          <w:rtl/>
          <w:lang w:eastAsia="he-IL"/>
        </w:rPr>
        <w:t>הנטל להוכיח את התנאים הנדרשים לקיום שיהוי מוטל על הטוען לכך – קרי: הנתבע</w:t>
      </w:r>
      <w:r w:rsidR="008C0045" w:rsidRPr="004127D8">
        <w:rPr>
          <w:rFonts w:ascii="Times New Roman" w:eastAsia="Times New Roman" w:hAnsi="Times New Roman" w:cs="Times New Roman"/>
          <w:sz w:val="24"/>
          <w:szCs w:val="24"/>
          <w:rtl/>
          <w:lang w:eastAsia="he-IL"/>
        </w:rPr>
        <w:t xml:space="preserve"> (</w:t>
      </w:r>
      <w:hyperlink r:id="rId14" w:tgtFrame="Psak_1287213" w:history="1">
        <w:r w:rsidR="008C0045" w:rsidRPr="004127D8">
          <w:rPr>
            <w:rFonts w:ascii="Times New Roman" w:eastAsia="Times New Roman" w:hAnsi="Times New Roman" w:cs="Times New Roman"/>
            <w:sz w:val="24"/>
            <w:szCs w:val="24"/>
            <w:rtl/>
            <w:lang w:eastAsia="he-IL"/>
          </w:rPr>
          <w:t>ע"א 206/75</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סלון 100 בע"מ נ' פנטריסה</w:t>
      </w:r>
      <w:r w:rsidR="008C0045" w:rsidRPr="004127D8">
        <w:rPr>
          <w:rFonts w:ascii="Times New Roman" w:eastAsia="Times New Roman" w:hAnsi="Times New Roman" w:cs="Times New Roman"/>
          <w:sz w:val="24"/>
          <w:szCs w:val="24"/>
          <w:rtl/>
          <w:lang w:eastAsia="he-IL"/>
        </w:rPr>
        <w:t xml:space="preserve">, פד"י ל(1) 732; פרשת ליברמן, שם, עמ' 756; </w:t>
      </w:r>
      <w:hyperlink r:id="rId15" w:tgtFrame="Psak_456603" w:history="1">
        <w:r w:rsidR="008C0045" w:rsidRPr="004127D8">
          <w:rPr>
            <w:rFonts w:ascii="Times New Roman" w:eastAsia="Times New Roman" w:hAnsi="Times New Roman" w:cs="Times New Roman"/>
            <w:sz w:val="24"/>
            <w:szCs w:val="24"/>
            <w:rtl/>
            <w:lang w:eastAsia="he-IL"/>
          </w:rPr>
          <w:t>ע"א 167/01</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ברסקי נ' סגל</w:t>
      </w:r>
      <w:r w:rsidR="008C0045" w:rsidRPr="004127D8">
        <w:rPr>
          <w:rFonts w:ascii="Times New Roman" w:eastAsia="Times New Roman" w:hAnsi="Times New Roman" w:cs="Times New Roman"/>
          <w:sz w:val="24"/>
          <w:szCs w:val="24"/>
          <w:rtl/>
          <w:lang w:eastAsia="he-IL"/>
        </w:rPr>
        <w:t xml:space="preserve">, פד"י טז', 15; </w:t>
      </w:r>
      <w:hyperlink r:id="rId16" w:tgtFrame="Psak_1328330" w:history="1">
        <w:r w:rsidR="008C0045" w:rsidRPr="004127D8">
          <w:rPr>
            <w:rFonts w:ascii="Times New Roman" w:eastAsia="Times New Roman" w:hAnsi="Times New Roman" w:cs="Times New Roman"/>
            <w:sz w:val="24"/>
            <w:szCs w:val="24"/>
            <w:rtl/>
            <w:lang w:eastAsia="he-IL"/>
          </w:rPr>
          <w:t>ע"א 118/75</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עזבון שריידי נ' מנסור</w:t>
      </w:r>
      <w:r w:rsidR="008C0045" w:rsidRPr="004127D8">
        <w:rPr>
          <w:rFonts w:ascii="Times New Roman" w:eastAsia="Times New Roman" w:hAnsi="Times New Roman" w:cs="Times New Roman"/>
          <w:sz w:val="24"/>
          <w:szCs w:val="24"/>
          <w:rtl/>
          <w:lang w:eastAsia="he-IL"/>
        </w:rPr>
        <w:t xml:space="preserve">, פד"י לא(2) 659, 664; ע"א 554/84 </w:t>
      </w:r>
      <w:r w:rsidR="008C0045" w:rsidRPr="004127D8">
        <w:rPr>
          <w:rFonts w:ascii="Times New Roman" w:eastAsia="Times New Roman" w:hAnsi="Times New Roman" w:cs="Times New Roman"/>
          <w:sz w:val="24"/>
          <w:szCs w:val="24"/>
          <w:u w:val="single"/>
          <w:rtl/>
          <w:lang w:eastAsia="he-IL"/>
        </w:rPr>
        <w:t>חברה לשיכון עממי נ' מימון</w:t>
      </w:r>
      <w:r w:rsidR="008C0045" w:rsidRPr="004127D8">
        <w:rPr>
          <w:rFonts w:ascii="Times New Roman" w:eastAsia="Times New Roman" w:hAnsi="Times New Roman" w:cs="Times New Roman"/>
          <w:sz w:val="24"/>
          <w:szCs w:val="24"/>
          <w:rtl/>
          <w:lang w:eastAsia="he-IL"/>
        </w:rPr>
        <w:t xml:space="preserve">, פד"י מ(2) 802, 810; </w:t>
      </w:r>
      <w:hyperlink r:id="rId17" w:tgtFrame="Psak_927549" w:history="1">
        <w:r w:rsidR="008C0045" w:rsidRPr="004127D8">
          <w:rPr>
            <w:rFonts w:ascii="Times New Roman" w:eastAsia="Times New Roman" w:hAnsi="Times New Roman" w:cs="Times New Roman"/>
            <w:sz w:val="24"/>
            <w:szCs w:val="24"/>
            <w:rtl/>
            <w:lang w:eastAsia="he-IL"/>
          </w:rPr>
          <w:t>ע"א 109/87</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חוות מקורה נ' חסן</w:t>
      </w:r>
      <w:r w:rsidR="008C0045" w:rsidRPr="004127D8">
        <w:rPr>
          <w:rFonts w:ascii="Times New Roman" w:eastAsia="Times New Roman" w:hAnsi="Times New Roman" w:cs="Times New Roman"/>
          <w:sz w:val="24"/>
          <w:szCs w:val="24"/>
          <w:rtl/>
          <w:lang w:eastAsia="he-IL"/>
        </w:rPr>
        <w:t xml:space="preserve">, פד"י מז(5) 1; </w:t>
      </w:r>
      <w:hyperlink r:id="rId18" w:tgtFrame="Psak_1041160" w:history="1">
        <w:r w:rsidR="008C0045" w:rsidRPr="004127D8">
          <w:rPr>
            <w:rFonts w:ascii="Times New Roman" w:eastAsia="Times New Roman" w:hAnsi="Times New Roman" w:cs="Times New Roman"/>
            <w:sz w:val="24"/>
            <w:szCs w:val="24"/>
            <w:rtl/>
            <w:lang w:eastAsia="he-IL"/>
          </w:rPr>
          <w:t>ע"א 5634/90</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פינטו נ' אפוטרופוס על נכסי נפקדים</w:t>
      </w:r>
      <w:r w:rsidR="008C0045" w:rsidRPr="004127D8">
        <w:rPr>
          <w:rFonts w:ascii="Times New Roman" w:eastAsia="Times New Roman" w:hAnsi="Times New Roman" w:cs="Times New Roman"/>
          <w:sz w:val="24"/>
          <w:szCs w:val="24"/>
          <w:rtl/>
          <w:lang w:eastAsia="he-IL"/>
        </w:rPr>
        <w:t>, פד"י מז(4) 846).</w:t>
      </w:r>
    </w:p>
    <w:p w:rsidR="004127D8" w:rsidRPr="004127D8" w:rsidRDefault="004127D8" w:rsidP="003D49C9">
      <w:pPr>
        <w:tabs>
          <w:tab w:val="left" w:pos="566"/>
        </w:tabs>
        <w:spacing w:after="240" w:line="360" w:lineRule="auto"/>
        <w:ind w:left="566"/>
        <w:jc w:val="both"/>
        <w:rPr>
          <w:rFonts w:cs="David"/>
          <w:b/>
          <w:bCs/>
        </w:rPr>
      </w:pPr>
      <w:r>
        <w:rPr>
          <w:rFonts w:cs="David" w:hint="cs"/>
          <w:b/>
          <w:bCs/>
          <w:rtl/>
        </w:rPr>
        <w:t xml:space="preserve">הנטל, אם כן, הוא על כתפי המבקשות, ועליהן להוכיח את שני התנאים הראשיים והתנאי החלופי. </w:t>
      </w:r>
      <w:r>
        <w:rPr>
          <w:rFonts w:cs="David" w:hint="cs"/>
          <w:rtl/>
        </w:rPr>
        <w:t xml:space="preserve">כפי שכבר ניתן להבין מהאמור לעיל </w:t>
      </w:r>
      <w:r>
        <w:rPr>
          <w:rFonts w:cs="David"/>
          <w:rtl/>
        </w:rPr>
        <w:t>–</w:t>
      </w:r>
      <w:r>
        <w:rPr>
          <w:rFonts w:cs="David" w:hint="cs"/>
          <w:rtl/>
        </w:rPr>
        <w:t xml:space="preserve"> המבקשות לא עמדו בנטל זה:</w:t>
      </w:r>
    </w:p>
    <w:p w:rsidR="004127D8" w:rsidRPr="002D080E" w:rsidRDefault="002F3C6F" w:rsidP="00815972">
      <w:pPr>
        <w:numPr>
          <w:ilvl w:val="0"/>
          <w:numId w:val="1"/>
        </w:numPr>
        <w:tabs>
          <w:tab w:val="left" w:pos="566"/>
        </w:tabs>
        <w:spacing w:after="240" w:line="360" w:lineRule="auto"/>
        <w:ind w:left="566" w:hanging="540"/>
        <w:jc w:val="both"/>
        <w:rPr>
          <w:rFonts w:cs="David"/>
          <w:b/>
          <w:bCs/>
        </w:rPr>
      </w:pPr>
      <w:r w:rsidRPr="00815972">
        <w:rPr>
          <w:rFonts w:cs="David" w:hint="eastAsia"/>
          <w:b/>
          <w:bCs/>
          <w:u w:val="single"/>
          <w:rtl/>
        </w:rPr>
        <w:t>המשיב</w:t>
      </w:r>
      <w:r w:rsidRPr="00815972">
        <w:rPr>
          <w:rFonts w:cs="David"/>
          <w:b/>
          <w:bCs/>
          <w:u w:val="single"/>
          <w:rtl/>
        </w:rPr>
        <w:t xml:space="preserve"> </w:t>
      </w:r>
      <w:r w:rsidRPr="00815972">
        <w:rPr>
          <w:rFonts w:cs="David" w:hint="eastAsia"/>
          <w:b/>
          <w:bCs/>
          <w:u w:val="single"/>
          <w:rtl/>
        </w:rPr>
        <w:t>לא</w:t>
      </w:r>
      <w:r w:rsidRPr="00815972">
        <w:rPr>
          <w:rFonts w:cs="David"/>
          <w:b/>
          <w:bCs/>
          <w:u w:val="single"/>
          <w:rtl/>
        </w:rPr>
        <w:t xml:space="preserve"> </w:t>
      </w:r>
      <w:r w:rsidRPr="00815972">
        <w:rPr>
          <w:rFonts w:cs="David" w:hint="eastAsia"/>
          <w:b/>
          <w:bCs/>
          <w:u w:val="single"/>
          <w:rtl/>
        </w:rPr>
        <w:t>זנח</w:t>
      </w:r>
      <w:r w:rsidRPr="00815972">
        <w:rPr>
          <w:rFonts w:cs="David"/>
          <w:b/>
          <w:bCs/>
          <w:u w:val="single"/>
          <w:rtl/>
        </w:rPr>
        <w:t xml:space="preserve"> </w:t>
      </w:r>
      <w:r w:rsidRPr="00815972">
        <w:rPr>
          <w:rFonts w:cs="David" w:hint="eastAsia"/>
          <w:b/>
          <w:bCs/>
          <w:u w:val="single"/>
          <w:rtl/>
        </w:rPr>
        <w:t>את</w:t>
      </w:r>
      <w:r w:rsidRPr="00815972">
        <w:rPr>
          <w:rFonts w:cs="David"/>
          <w:b/>
          <w:bCs/>
          <w:u w:val="single"/>
          <w:rtl/>
        </w:rPr>
        <w:t xml:space="preserve"> </w:t>
      </w:r>
      <w:r w:rsidRPr="00815972">
        <w:rPr>
          <w:rFonts w:cs="David" w:hint="eastAsia"/>
          <w:b/>
          <w:bCs/>
          <w:u w:val="single"/>
          <w:rtl/>
        </w:rPr>
        <w:t>תביעתו</w:t>
      </w:r>
      <w:r w:rsidRPr="002D080E">
        <w:rPr>
          <w:rFonts w:cs="David"/>
          <w:b/>
          <w:bCs/>
          <w:rtl/>
        </w:rPr>
        <w:t xml:space="preserve"> </w:t>
      </w:r>
      <w:r w:rsidRPr="002D080E">
        <w:rPr>
          <w:rFonts w:cs="David"/>
          <w:rtl/>
        </w:rPr>
        <w:t>–</w:t>
      </w:r>
      <w:r w:rsidR="002D080E" w:rsidRPr="002D080E">
        <w:rPr>
          <w:rFonts w:cs="David"/>
          <w:rtl/>
        </w:rPr>
        <w:t xml:space="preserve"> </w:t>
      </w:r>
      <w:r w:rsidRPr="002D080E">
        <w:rPr>
          <w:rFonts w:cs="David" w:hint="eastAsia"/>
          <w:rtl/>
        </w:rPr>
        <w:t>עמדנו</w:t>
      </w:r>
      <w:r w:rsidRPr="002D080E">
        <w:rPr>
          <w:rFonts w:cs="David"/>
          <w:rtl/>
        </w:rPr>
        <w:t xml:space="preserve"> על כך שהמשיב פנה עשרות פעמים (אם לא יותר) למבקשות, ולבסוף פנה גם לנציב התלונות, שהשיב לו רק בחודש אוגוסט 2018. ברור, אם כן, כי המשיב לא זנח את תביעתו. נהפוך הוא: המשיב הפך כל אבן וסלע, </w:t>
      </w:r>
      <w:r w:rsidR="003D49C9" w:rsidRPr="002D080E">
        <w:rPr>
          <w:rFonts w:cs="David" w:hint="eastAsia"/>
          <w:rtl/>
        </w:rPr>
        <w:t>ו</w:t>
      </w:r>
      <w:r w:rsidR="00B26FEE">
        <w:rPr>
          <w:rFonts w:cs="David" w:hint="cs"/>
          <w:rtl/>
        </w:rPr>
        <w:t xml:space="preserve">רק </w:t>
      </w:r>
      <w:r w:rsidR="003D49C9" w:rsidRPr="002D080E">
        <w:rPr>
          <w:rFonts w:cs="David" w:hint="eastAsia"/>
          <w:rtl/>
        </w:rPr>
        <w:t>מש</w:t>
      </w:r>
      <w:r w:rsidR="00177B37" w:rsidRPr="002D080E">
        <w:rPr>
          <w:rFonts w:cs="David" w:hint="eastAsia"/>
          <w:rtl/>
        </w:rPr>
        <w:t>כל</w:t>
      </w:r>
      <w:r w:rsidR="003D49C9" w:rsidRPr="002D080E">
        <w:rPr>
          <w:rFonts w:cs="David" w:hint="eastAsia"/>
          <w:rtl/>
        </w:rPr>
        <w:t>ו</w:t>
      </w:r>
      <w:r w:rsidR="003D49C9" w:rsidRPr="002D080E">
        <w:rPr>
          <w:rFonts w:cs="David"/>
          <w:rtl/>
        </w:rPr>
        <w:t xml:space="preserve"> כל </w:t>
      </w:r>
      <w:r w:rsidRPr="002D080E">
        <w:rPr>
          <w:rFonts w:cs="David" w:hint="eastAsia"/>
          <w:rtl/>
        </w:rPr>
        <w:t>הק</w:t>
      </w:r>
      <w:r w:rsidR="00177B37" w:rsidRPr="002D080E">
        <w:rPr>
          <w:rFonts w:cs="David" w:hint="eastAsia"/>
          <w:rtl/>
        </w:rPr>
        <w:t>י</w:t>
      </w:r>
      <w:r w:rsidRPr="002D080E">
        <w:rPr>
          <w:rFonts w:cs="David" w:hint="eastAsia"/>
          <w:rtl/>
        </w:rPr>
        <w:t>צי</w:t>
      </w:r>
      <w:r w:rsidR="00177B37" w:rsidRPr="002D080E">
        <w:rPr>
          <w:rFonts w:cs="David" w:hint="eastAsia"/>
          <w:rtl/>
        </w:rPr>
        <w:t>ן</w:t>
      </w:r>
      <w:r w:rsidRPr="002D080E">
        <w:rPr>
          <w:rFonts w:cs="David"/>
          <w:rtl/>
        </w:rPr>
        <w:t xml:space="preserve"> פנה לבית הדין הנכבד; </w:t>
      </w:r>
    </w:p>
    <w:p w:rsidR="00177B37" w:rsidRPr="00815972" w:rsidRDefault="002D080E" w:rsidP="00815972">
      <w:pPr>
        <w:numPr>
          <w:ilvl w:val="0"/>
          <w:numId w:val="1"/>
        </w:numPr>
        <w:tabs>
          <w:tab w:val="left" w:pos="566"/>
        </w:tabs>
        <w:spacing w:after="120" w:line="360" w:lineRule="auto"/>
        <w:ind w:left="566" w:hanging="540"/>
        <w:jc w:val="both"/>
        <w:rPr>
          <w:rFonts w:cs="David"/>
          <w:b/>
          <w:bCs/>
          <w:rtl/>
        </w:rPr>
      </w:pPr>
      <w:r w:rsidRPr="00815972">
        <w:rPr>
          <w:rFonts w:cs="David" w:hint="eastAsia"/>
          <w:b/>
          <w:bCs/>
          <w:u w:val="single"/>
          <w:rtl/>
        </w:rPr>
        <w:t>לא</w:t>
      </w:r>
      <w:r w:rsidRPr="00815972">
        <w:rPr>
          <w:rFonts w:cs="David"/>
          <w:b/>
          <w:bCs/>
          <w:u w:val="single"/>
          <w:rtl/>
        </w:rPr>
        <w:t xml:space="preserve"> היה </w:t>
      </w:r>
      <w:r w:rsidR="002F3C6F" w:rsidRPr="00815972">
        <w:rPr>
          <w:rFonts w:cs="David" w:hint="eastAsia"/>
          <w:b/>
          <w:bCs/>
          <w:u w:val="single"/>
          <w:rtl/>
        </w:rPr>
        <w:t>שינוי</w:t>
      </w:r>
      <w:r w:rsidR="002F3C6F" w:rsidRPr="00815972">
        <w:rPr>
          <w:rFonts w:cs="David"/>
          <w:b/>
          <w:bCs/>
          <w:u w:val="single"/>
          <w:rtl/>
        </w:rPr>
        <w:t xml:space="preserve"> </w:t>
      </w:r>
      <w:r w:rsidR="002F3C6F" w:rsidRPr="00815972">
        <w:rPr>
          <w:rFonts w:cs="David" w:hint="eastAsia"/>
          <w:b/>
          <w:bCs/>
          <w:u w:val="single"/>
          <w:rtl/>
        </w:rPr>
        <w:t>מצב</w:t>
      </w:r>
      <w:r w:rsidR="002F3C6F" w:rsidRPr="00815972">
        <w:rPr>
          <w:rFonts w:cs="David"/>
          <w:b/>
          <w:bCs/>
          <w:u w:val="single"/>
          <w:rtl/>
        </w:rPr>
        <w:t xml:space="preserve"> </w:t>
      </w:r>
      <w:r w:rsidR="002F3C6F" w:rsidRPr="00815972">
        <w:rPr>
          <w:rFonts w:cs="David" w:hint="eastAsia"/>
          <w:b/>
          <w:bCs/>
          <w:u w:val="single"/>
          <w:rtl/>
        </w:rPr>
        <w:t>לרעה</w:t>
      </w:r>
      <w:r w:rsidR="002F3C6F" w:rsidRPr="002F3C6F">
        <w:rPr>
          <w:rFonts w:cs="David" w:hint="cs"/>
          <w:b/>
          <w:bCs/>
          <w:rtl/>
        </w:rPr>
        <w:t xml:space="preserve"> </w:t>
      </w:r>
      <w:r w:rsidR="002F3C6F">
        <w:rPr>
          <w:rFonts w:cs="David"/>
          <w:rtl/>
        </w:rPr>
        <w:t>–</w:t>
      </w:r>
      <w:r w:rsidR="002F3C6F">
        <w:rPr>
          <w:rFonts w:cs="David" w:hint="cs"/>
          <w:rtl/>
        </w:rPr>
        <w:t xml:space="preserve"> </w:t>
      </w:r>
    </w:p>
    <w:p w:rsidR="00177B37" w:rsidRDefault="002F3C6F" w:rsidP="00815972">
      <w:pPr>
        <w:numPr>
          <w:ilvl w:val="1"/>
          <w:numId w:val="1"/>
        </w:numPr>
        <w:tabs>
          <w:tab w:val="clear" w:pos="792"/>
          <w:tab w:val="left" w:pos="1160"/>
        </w:tabs>
        <w:spacing w:after="240" w:line="360" w:lineRule="auto"/>
        <w:ind w:left="1160" w:hanging="540"/>
        <w:jc w:val="both"/>
        <w:rPr>
          <w:rFonts w:cs="David"/>
        </w:rPr>
      </w:pPr>
      <w:r>
        <w:rPr>
          <w:rFonts w:cs="David" w:hint="cs"/>
          <w:rtl/>
        </w:rPr>
        <w:t>בכל הכבוד, מלבד טענות כלליות על חלוף הזמן לא טרחו המבקשות להצביע על שינוי מצב לרעה, על מסמך אחד שהושמד בשל חלוף הזמן או עדים שחלילה אינם עמנו עוד. ודוק, חזקה היא שדווקא המדינה, המחזיקה תיקים אישיים של עובדיה, וחלה עליה חובת תיעוד מנהלית, שמרה את המסמכים הרלבנטיים.</w:t>
      </w:r>
      <w:r w:rsidR="003D49C9" w:rsidRPr="00815972">
        <w:rPr>
          <w:rFonts w:cs="David"/>
          <w:rtl/>
        </w:rPr>
        <w:t xml:space="preserve"> </w:t>
      </w:r>
    </w:p>
    <w:p w:rsidR="00177B37" w:rsidRPr="00815972" w:rsidRDefault="00177B37" w:rsidP="00815972">
      <w:pPr>
        <w:numPr>
          <w:ilvl w:val="1"/>
          <w:numId w:val="1"/>
        </w:numPr>
        <w:tabs>
          <w:tab w:val="clear" w:pos="792"/>
          <w:tab w:val="left" w:pos="1160"/>
        </w:tabs>
        <w:spacing w:after="240" w:line="360" w:lineRule="auto"/>
        <w:ind w:left="1160" w:hanging="540"/>
        <w:jc w:val="both"/>
        <w:rPr>
          <w:rFonts w:cs="David"/>
          <w:rtl/>
        </w:rPr>
      </w:pPr>
      <w:r w:rsidRPr="002D080E">
        <w:rPr>
          <w:rFonts w:cs="David" w:hint="eastAsia"/>
          <w:rtl/>
        </w:rPr>
        <w:t>בהקשר</w:t>
      </w:r>
      <w:r w:rsidRPr="002D080E">
        <w:rPr>
          <w:rFonts w:cs="David"/>
          <w:rtl/>
        </w:rPr>
        <w:t xml:space="preserve"> </w:t>
      </w:r>
      <w:r w:rsidRPr="002D080E">
        <w:rPr>
          <w:rFonts w:cs="David" w:hint="eastAsia"/>
          <w:rtl/>
        </w:rPr>
        <w:t>זה</w:t>
      </w:r>
      <w:r w:rsidRPr="002D080E">
        <w:rPr>
          <w:rFonts w:cs="David"/>
          <w:rtl/>
        </w:rPr>
        <w:t xml:space="preserve"> </w:t>
      </w:r>
      <w:r w:rsidR="00B26FEE">
        <w:rPr>
          <w:rFonts w:cs="David" w:hint="cs"/>
          <w:rtl/>
        </w:rPr>
        <w:t xml:space="preserve">נציין כי </w:t>
      </w:r>
      <w:r w:rsidRPr="002D080E">
        <w:rPr>
          <w:rFonts w:cs="David" w:hint="eastAsia"/>
          <w:rtl/>
        </w:rPr>
        <w:t>דומה</w:t>
      </w:r>
      <w:r w:rsidRPr="002D080E">
        <w:rPr>
          <w:rFonts w:cs="David"/>
          <w:rtl/>
        </w:rPr>
        <w:t xml:space="preserve"> </w:t>
      </w:r>
      <w:r w:rsidRPr="002D080E">
        <w:rPr>
          <w:rFonts w:cs="David" w:hint="eastAsia"/>
          <w:rtl/>
        </w:rPr>
        <w:t>כי</w:t>
      </w:r>
      <w:r w:rsidRPr="002D080E">
        <w:rPr>
          <w:rFonts w:cs="David"/>
          <w:rtl/>
        </w:rPr>
        <w:t xml:space="preserve"> </w:t>
      </w:r>
      <w:r w:rsidRPr="002D080E">
        <w:rPr>
          <w:rFonts w:cs="David" w:hint="eastAsia"/>
          <w:rtl/>
        </w:rPr>
        <w:t>נשכחו</w:t>
      </w:r>
      <w:r w:rsidRPr="002D080E">
        <w:rPr>
          <w:rFonts w:cs="David"/>
          <w:rtl/>
        </w:rPr>
        <w:t xml:space="preserve"> </w:t>
      </w:r>
      <w:r w:rsidRPr="002D080E">
        <w:rPr>
          <w:rFonts w:cs="David" w:hint="eastAsia"/>
          <w:rtl/>
        </w:rPr>
        <w:t>מהמבקשות</w:t>
      </w:r>
      <w:r w:rsidRPr="002D080E">
        <w:rPr>
          <w:rFonts w:cs="David"/>
          <w:rtl/>
        </w:rPr>
        <w:t xml:space="preserve"> </w:t>
      </w:r>
      <w:r w:rsidRPr="002D080E">
        <w:rPr>
          <w:rFonts w:cs="David" w:hint="eastAsia"/>
          <w:rtl/>
        </w:rPr>
        <w:t>ההוראות</w:t>
      </w:r>
      <w:r w:rsidRPr="002D080E">
        <w:rPr>
          <w:rFonts w:cs="David"/>
          <w:rtl/>
        </w:rPr>
        <w:t xml:space="preserve"> </w:t>
      </w:r>
      <w:r w:rsidRPr="002D080E">
        <w:rPr>
          <w:rFonts w:cs="David" w:hint="eastAsia"/>
          <w:rtl/>
        </w:rPr>
        <w:t>הקבועות</w:t>
      </w:r>
      <w:r w:rsidRPr="002D080E">
        <w:rPr>
          <w:rFonts w:cs="David"/>
          <w:rtl/>
        </w:rPr>
        <w:t xml:space="preserve"> </w:t>
      </w:r>
      <w:r w:rsidRPr="002D080E">
        <w:rPr>
          <w:rFonts w:cs="David" w:hint="eastAsia"/>
          <w:rtl/>
        </w:rPr>
        <w:t>ב</w:t>
      </w:r>
      <w:r w:rsidRPr="00815972">
        <w:rPr>
          <w:rFonts w:cs="David"/>
          <w:rtl/>
        </w:rPr>
        <w:t>תקנות הארכיונים (ביעור חומר ארכיוני במוסדות המדינה וברשויות המקומיות),</w:t>
      </w:r>
      <w:r w:rsidRPr="002D080E">
        <w:rPr>
          <w:rFonts w:cs="David"/>
          <w:rtl/>
        </w:rPr>
        <w:t xml:space="preserve"> ת</w:t>
      </w:r>
      <w:r w:rsidRPr="00815972">
        <w:rPr>
          <w:rFonts w:cs="David"/>
          <w:rtl/>
        </w:rPr>
        <w:t>שמ"ו-1986</w:t>
      </w:r>
      <w:r w:rsidR="002D080E" w:rsidRPr="002D080E">
        <w:rPr>
          <w:rFonts w:cs="David"/>
          <w:rtl/>
        </w:rPr>
        <w:t xml:space="preserve">. </w:t>
      </w:r>
      <w:r w:rsidR="002D080E" w:rsidRPr="002D080E">
        <w:rPr>
          <w:rFonts w:cs="David" w:hint="eastAsia"/>
          <w:rtl/>
        </w:rPr>
        <w:t>תקנה</w:t>
      </w:r>
      <w:r w:rsidR="002D080E" w:rsidRPr="002D080E">
        <w:rPr>
          <w:rFonts w:cs="David"/>
          <w:rtl/>
        </w:rPr>
        <w:t xml:space="preserve"> 4(7) קובעת כי שמירת תיקו האישי של עובד שהוא או שאריו מקבלים גמלה </w:t>
      </w:r>
      <w:r w:rsidR="002D080E" w:rsidRPr="002D080E">
        <w:rPr>
          <w:rFonts w:cs="David" w:hint="eastAsia"/>
          <w:rtl/>
        </w:rPr>
        <w:t>מהמדינה</w:t>
      </w:r>
      <w:r w:rsidR="002D080E" w:rsidRPr="002D080E">
        <w:rPr>
          <w:rFonts w:cs="David"/>
          <w:rtl/>
        </w:rPr>
        <w:t xml:space="preserve">, </w:t>
      </w:r>
      <w:r w:rsidR="002D080E" w:rsidRPr="002D080E">
        <w:rPr>
          <w:rFonts w:cs="David" w:hint="eastAsia"/>
          <w:rtl/>
        </w:rPr>
        <w:t>יישמר</w:t>
      </w:r>
      <w:r w:rsidR="002D080E" w:rsidRPr="002D080E">
        <w:rPr>
          <w:rFonts w:cs="David"/>
          <w:rtl/>
        </w:rPr>
        <w:t xml:space="preserve"> - "</w:t>
      </w:r>
      <w:r w:rsidR="002D080E" w:rsidRPr="00815972">
        <w:rPr>
          <w:rFonts w:asciiTheme="majorBidi" w:hAnsiTheme="majorBidi" w:cstheme="majorBidi"/>
          <w:b/>
          <w:bCs/>
          <w:u w:val="single"/>
          <w:rtl/>
        </w:rPr>
        <w:t>100 ש</w:t>
      </w:r>
      <w:r w:rsidR="002D080E" w:rsidRPr="00815972">
        <w:rPr>
          <w:rFonts w:asciiTheme="majorBidi" w:hAnsiTheme="majorBidi" w:cstheme="majorBidi" w:hint="eastAsia"/>
          <w:b/>
          <w:bCs/>
          <w:u w:val="single"/>
          <w:rtl/>
        </w:rPr>
        <w:t>נים</w:t>
      </w:r>
      <w:r w:rsidR="002D080E" w:rsidRPr="00815972">
        <w:rPr>
          <w:rFonts w:asciiTheme="majorBidi" w:hAnsiTheme="majorBidi" w:cstheme="majorBidi"/>
          <w:b/>
          <w:bCs/>
          <w:u w:val="single"/>
          <w:rtl/>
        </w:rPr>
        <w:t xml:space="preserve"> ל</w:t>
      </w:r>
      <w:r w:rsidR="002D080E" w:rsidRPr="00815972">
        <w:rPr>
          <w:rFonts w:asciiTheme="majorBidi" w:hAnsiTheme="majorBidi" w:cstheme="majorBidi" w:hint="eastAsia"/>
          <w:b/>
          <w:bCs/>
          <w:u w:val="single"/>
          <w:rtl/>
        </w:rPr>
        <w:t>אחר</w:t>
      </w:r>
      <w:r w:rsidR="002D080E" w:rsidRPr="00815972">
        <w:rPr>
          <w:rFonts w:asciiTheme="majorBidi" w:hAnsiTheme="majorBidi" w:cstheme="majorBidi"/>
          <w:b/>
          <w:bCs/>
          <w:u w:val="single"/>
          <w:rtl/>
        </w:rPr>
        <w:t xml:space="preserve"> </w:t>
      </w:r>
      <w:r w:rsidR="002D080E" w:rsidRPr="00815972">
        <w:rPr>
          <w:rFonts w:asciiTheme="majorBidi" w:hAnsiTheme="majorBidi" w:cstheme="majorBidi" w:hint="eastAsia"/>
          <w:b/>
          <w:bCs/>
          <w:u w:val="single"/>
          <w:rtl/>
        </w:rPr>
        <w:t>לידתו</w:t>
      </w:r>
      <w:r w:rsidR="002D080E" w:rsidRPr="00815972">
        <w:rPr>
          <w:rFonts w:asciiTheme="majorBidi" w:hAnsiTheme="majorBidi" w:cstheme="majorBidi"/>
          <w:b/>
          <w:bCs/>
          <w:u w:val="single"/>
          <w:rtl/>
        </w:rPr>
        <w:t xml:space="preserve"> ש</w:t>
      </w:r>
      <w:r w:rsidR="002D080E" w:rsidRPr="00815972">
        <w:rPr>
          <w:rFonts w:asciiTheme="majorBidi" w:hAnsiTheme="majorBidi" w:cstheme="majorBidi" w:hint="eastAsia"/>
          <w:b/>
          <w:bCs/>
          <w:u w:val="single"/>
          <w:rtl/>
        </w:rPr>
        <w:t>ל</w:t>
      </w:r>
      <w:r w:rsidR="002D080E" w:rsidRPr="00815972">
        <w:rPr>
          <w:rFonts w:asciiTheme="majorBidi" w:hAnsiTheme="majorBidi" w:cstheme="majorBidi"/>
          <w:b/>
          <w:bCs/>
          <w:u w:val="single"/>
          <w:rtl/>
        </w:rPr>
        <w:t xml:space="preserve"> האדם א</w:t>
      </w:r>
      <w:r w:rsidR="002D080E" w:rsidRPr="00815972">
        <w:rPr>
          <w:rFonts w:asciiTheme="majorBidi" w:hAnsiTheme="majorBidi" w:cstheme="majorBidi" w:hint="eastAsia"/>
          <w:b/>
          <w:bCs/>
          <w:u w:val="single"/>
          <w:rtl/>
        </w:rPr>
        <w:t>ליו</w:t>
      </w:r>
      <w:r w:rsidR="002D080E" w:rsidRPr="00815972">
        <w:rPr>
          <w:rFonts w:asciiTheme="majorBidi" w:hAnsiTheme="majorBidi" w:cstheme="majorBidi"/>
          <w:b/>
          <w:bCs/>
          <w:u w:val="single"/>
          <w:rtl/>
        </w:rPr>
        <w:t xml:space="preserve"> </w:t>
      </w:r>
      <w:r w:rsidR="002D080E" w:rsidRPr="00815972">
        <w:rPr>
          <w:rFonts w:asciiTheme="majorBidi" w:hAnsiTheme="majorBidi" w:cstheme="majorBidi" w:hint="eastAsia"/>
          <w:b/>
          <w:bCs/>
          <w:u w:val="single"/>
          <w:rtl/>
        </w:rPr>
        <w:t>מ</w:t>
      </w:r>
      <w:r w:rsidR="002D080E" w:rsidRPr="00815972">
        <w:rPr>
          <w:rFonts w:asciiTheme="majorBidi" w:hAnsiTheme="majorBidi" w:cstheme="majorBidi"/>
          <w:b/>
          <w:bCs/>
          <w:u w:val="single"/>
          <w:rtl/>
        </w:rPr>
        <w:t>ת</w:t>
      </w:r>
      <w:r w:rsidR="002D080E" w:rsidRPr="00815972">
        <w:rPr>
          <w:rFonts w:asciiTheme="majorBidi" w:hAnsiTheme="majorBidi" w:cstheme="majorBidi" w:hint="eastAsia"/>
          <w:b/>
          <w:bCs/>
          <w:u w:val="single"/>
          <w:rtl/>
        </w:rPr>
        <w:t>ייחס</w:t>
      </w:r>
      <w:r w:rsidR="002D080E" w:rsidRPr="00815972">
        <w:rPr>
          <w:rFonts w:asciiTheme="majorBidi" w:hAnsiTheme="majorBidi" w:cstheme="majorBidi"/>
          <w:b/>
          <w:bCs/>
          <w:u w:val="single"/>
          <w:rtl/>
        </w:rPr>
        <w:t xml:space="preserve"> ה</w:t>
      </w:r>
      <w:r w:rsidR="002D080E" w:rsidRPr="00815972">
        <w:rPr>
          <w:rFonts w:asciiTheme="majorBidi" w:hAnsiTheme="majorBidi" w:cstheme="majorBidi" w:hint="eastAsia"/>
          <w:b/>
          <w:bCs/>
          <w:u w:val="single"/>
          <w:rtl/>
        </w:rPr>
        <w:t>תיק</w:t>
      </w:r>
      <w:r w:rsidR="002D080E" w:rsidRPr="002D080E">
        <w:rPr>
          <w:rFonts w:cs="David"/>
          <w:rtl/>
        </w:rPr>
        <w:t xml:space="preserve">". </w:t>
      </w:r>
      <w:r w:rsidR="002D080E" w:rsidRPr="002D080E">
        <w:rPr>
          <w:rFonts w:cs="David" w:hint="eastAsia"/>
          <w:rtl/>
        </w:rPr>
        <w:t>המשיב</w:t>
      </w:r>
      <w:r w:rsidR="002D080E" w:rsidRPr="002D080E">
        <w:rPr>
          <w:rFonts w:cs="David"/>
          <w:rtl/>
        </w:rPr>
        <w:t xml:space="preserve"> אמנם מתכנן לחיות לפחות 100 שנים, אך </w:t>
      </w:r>
      <w:r w:rsidR="002D080E" w:rsidRPr="002D080E">
        <w:rPr>
          <w:rFonts w:cs="David"/>
          <w:rtl/>
        </w:rPr>
        <w:lastRenderedPageBreak/>
        <w:t xml:space="preserve">לעת הזאת הוא עדיין רחוק מכך, ולכן – ובהנחה </w:t>
      </w:r>
      <w:r w:rsidR="002D080E" w:rsidRPr="002D080E">
        <w:rPr>
          <w:rFonts w:cs="David" w:hint="eastAsia"/>
          <w:rtl/>
        </w:rPr>
        <w:t>שהמדינה</w:t>
      </w:r>
      <w:r w:rsidR="002D080E" w:rsidRPr="002D080E">
        <w:rPr>
          <w:rFonts w:cs="David"/>
          <w:rtl/>
        </w:rPr>
        <w:t xml:space="preserve"> מקיימת את הוראות הדין – תיקו האישי שמור במלואו. </w:t>
      </w:r>
    </w:p>
    <w:p w:rsidR="002F3C6F" w:rsidRDefault="003D49C9" w:rsidP="00815972">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ממילא חלה חובה </w:t>
      </w:r>
      <w:r w:rsidR="002D080E">
        <w:rPr>
          <w:rFonts w:cs="David" w:hint="cs"/>
          <w:rtl/>
        </w:rPr>
        <w:t xml:space="preserve">כללית </w:t>
      </w:r>
      <w:r>
        <w:rPr>
          <w:rFonts w:cs="David" w:hint="cs"/>
          <w:rtl/>
        </w:rPr>
        <w:t>על המדינה</w:t>
      </w:r>
      <w:r w:rsidR="002D080E">
        <w:rPr>
          <w:rFonts w:cs="David" w:hint="cs"/>
          <w:rtl/>
        </w:rPr>
        <w:t>, כמעסיק ציבורי,</w:t>
      </w:r>
      <w:r>
        <w:rPr>
          <w:rFonts w:cs="David" w:hint="cs"/>
          <w:rtl/>
        </w:rPr>
        <w:t xml:space="preserve"> לשמור </w:t>
      </w:r>
      <w:r w:rsidR="002D080E">
        <w:rPr>
          <w:rFonts w:cs="David" w:hint="cs"/>
          <w:rtl/>
        </w:rPr>
        <w:t>מסמכים ל</w:t>
      </w:r>
      <w:r w:rsidR="00B26FEE">
        <w:rPr>
          <w:rFonts w:cs="David" w:hint="cs"/>
          <w:rtl/>
        </w:rPr>
        <w:t xml:space="preserve">פחות לכל </w:t>
      </w:r>
      <w:r w:rsidR="002D080E">
        <w:rPr>
          <w:rFonts w:cs="David" w:hint="cs"/>
          <w:rtl/>
        </w:rPr>
        <w:t>תקופת ההתיישנות</w:t>
      </w:r>
      <w:r>
        <w:rPr>
          <w:rFonts w:cs="David" w:hint="cs"/>
          <w:rtl/>
        </w:rPr>
        <w:t xml:space="preserve">, ואין היא יכולה להיבנות מטענה ערטילאית </w:t>
      </w:r>
      <w:r w:rsidR="00B26FEE">
        <w:rPr>
          <w:rFonts w:cs="David" w:hint="cs"/>
          <w:rtl/>
        </w:rPr>
        <w:t xml:space="preserve">ולא מוכחת </w:t>
      </w:r>
      <w:r>
        <w:rPr>
          <w:rFonts w:cs="David" w:hint="cs"/>
          <w:rtl/>
        </w:rPr>
        <w:t>של "נזק ראייתי".</w:t>
      </w:r>
    </w:p>
    <w:p w:rsidR="00B26FEE" w:rsidRPr="00177B37" w:rsidRDefault="00B26FEE" w:rsidP="00815972">
      <w:pPr>
        <w:tabs>
          <w:tab w:val="left" w:pos="1160"/>
        </w:tabs>
        <w:spacing w:after="240" w:line="360" w:lineRule="auto"/>
        <w:ind w:left="1160"/>
        <w:jc w:val="both"/>
        <w:rPr>
          <w:rFonts w:cs="David"/>
          <w:rtl/>
        </w:rPr>
      </w:pPr>
      <w:r>
        <w:rPr>
          <w:rFonts w:cs="David" w:hint="cs"/>
          <w:rtl/>
        </w:rPr>
        <w:t>נדגיש בעניין זה כי לא הועלתה טענה עובדתית על נזק ראייתי, שנתמכה בתצהיר או מסמך כלשהו שיכול להוכיח טענה כאמור. בכך כשלה המדינה לעמוד בנטל ההוכחה המוטל עליה.</w:t>
      </w:r>
    </w:p>
    <w:p w:rsidR="009C62D0" w:rsidRPr="00815972" w:rsidRDefault="009C62D0" w:rsidP="00815972">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זאת ועוד, </w:t>
      </w:r>
      <w:r w:rsidR="00B26FEE">
        <w:rPr>
          <w:rFonts w:cs="David" w:hint="cs"/>
          <w:rtl/>
        </w:rPr>
        <w:t xml:space="preserve">מעיון בבקשה עולה השאלה </w:t>
      </w:r>
      <w:r w:rsidRPr="00815972">
        <w:rPr>
          <w:rFonts w:cs="David" w:hint="eastAsia"/>
          <w:b/>
          <w:bCs/>
          <w:rtl/>
        </w:rPr>
        <w:t>האם</w:t>
      </w:r>
      <w:r w:rsidRPr="00815972">
        <w:rPr>
          <w:rFonts w:cs="David"/>
          <w:b/>
          <w:bCs/>
          <w:rtl/>
        </w:rPr>
        <w:t xml:space="preserve"> טענת המבקשות היא כי נציב התלונות נתן את תשובתו מבלי שעמדו לפניו המסמכים הנוגעים להעסקתו של המשיב – ואופן ספציפי יותר – לסיו</w:t>
      </w:r>
      <w:r w:rsidRPr="00815972">
        <w:rPr>
          <w:rFonts w:cs="David" w:hint="eastAsia"/>
          <w:b/>
          <w:bCs/>
          <w:rtl/>
        </w:rPr>
        <w:t>ם</w:t>
      </w:r>
      <w:r w:rsidRPr="00815972">
        <w:rPr>
          <w:rFonts w:cs="David"/>
          <w:b/>
          <w:bCs/>
          <w:rtl/>
        </w:rPr>
        <w:t xml:space="preserve"> </w:t>
      </w:r>
      <w:r w:rsidRPr="00815972">
        <w:rPr>
          <w:rFonts w:cs="David" w:hint="eastAsia"/>
          <w:b/>
          <w:bCs/>
          <w:rtl/>
        </w:rPr>
        <w:t>העסקתו</w:t>
      </w:r>
      <w:r>
        <w:rPr>
          <w:rFonts w:cs="David" w:hint="cs"/>
          <w:rtl/>
        </w:rPr>
        <w:t xml:space="preserve">? ככל שכך, חומרת הדברים ברורה, גם אם איננה מעניינה של תגובה זו. </w:t>
      </w:r>
    </w:p>
    <w:p w:rsidR="002F3C6F" w:rsidRPr="002D080E" w:rsidRDefault="002F3C6F" w:rsidP="0039100F">
      <w:pPr>
        <w:numPr>
          <w:ilvl w:val="0"/>
          <w:numId w:val="1"/>
        </w:numPr>
        <w:tabs>
          <w:tab w:val="left" w:pos="566"/>
        </w:tabs>
        <w:spacing w:after="240" w:line="360" w:lineRule="auto"/>
        <w:ind w:left="566" w:hanging="540"/>
        <w:jc w:val="both"/>
        <w:rPr>
          <w:rFonts w:cs="David"/>
          <w:b/>
          <w:bCs/>
        </w:rPr>
      </w:pPr>
      <w:r w:rsidRPr="00815972">
        <w:rPr>
          <w:rFonts w:cs="David" w:hint="eastAsia"/>
          <w:b/>
          <w:bCs/>
          <w:u w:val="single"/>
          <w:rtl/>
        </w:rPr>
        <w:t>תום</w:t>
      </w:r>
      <w:r w:rsidRPr="00815972">
        <w:rPr>
          <w:rFonts w:cs="David"/>
          <w:b/>
          <w:bCs/>
          <w:u w:val="single"/>
          <w:rtl/>
        </w:rPr>
        <w:t xml:space="preserve"> </w:t>
      </w:r>
      <w:r w:rsidRPr="00815972">
        <w:rPr>
          <w:rFonts w:cs="David" w:hint="eastAsia"/>
          <w:b/>
          <w:bCs/>
          <w:u w:val="single"/>
          <w:rtl/>
        </w:rPr>
        <w:t>לבו</w:t>
      </w:r>
      <w:r w:rsidRPr="00815972">
        <w:rPr>
          <w:rFonts w:cs="David"/>
          <w:b/>
          <w:bCs/>
          <w:u w:val="single"/>
          <w:rtl/>
        </w:rPr>
        <w:t xml:space="preserve"> </w:t>
      </w:r>
      <w:r w:rsidRPr="00815972">
        <w:rPr>
          <w:rFonts w:cs="David" w:hint="eastAsia"/>
          <w:b/>
          <w:bCs/>
          <w:u w:val="single"/>
          <w:rtl/>
        </w:rPr>
        <w:t>של</w:t>
      </w:r>
      <w:r w:rsidRPr="00815972">
        <w:rPr>
          <w:rFonts w:cs="David"/>
          <w:b/>
          <w:bCs/>
          <w:u w:val="single"/>
          <w:rtl/>
        </w:rPr>
        <w:t xml:space="preserve"> </w:t>
      </w:r>
      <w:r w:rsidRPr="00815972">
        <w:rPr>
          <w:rFonts w:cs="David" w:hint="eastAsia"/>
          <w:b/>
          <w:bCs/>
          <w:u w:val="single"/>
          <w:rtl/>
        </w:rPr>
        <w:t>המשיב</w:t>
      </w:r>
      <w:r w:rsidRPr="002D080E">
        <w:rPr>
          <w:rFonts w:cs="David"/>
          <w:rtl/>
        </w:rPr>
        <w:t xml:space="preserve"> – לא בכדי לא העלו המבקשות כל טענה ממשית בעניין זה, שהרי המשיב פעל בתום לב מלא עת ניסה בכל כוחו להימנע מהגשת תביעה</w:t>
      </w:r>
      <w:r w:rsidR="002D080E" w:rsidRPr="002D080E">
        <w:rPr>
          <w:rFonts w:cs="David"/>
          <w:rtl/>
        </w:rPr>
        <w:t xml:space="preserve"> לאחר כ- 42 שנות עבודה במדינה, ותביעתו הוגשה לאחר שמיצה כל אפשרות אחרת</w:t>
      </w:r>
      <w:r w:rsidRPr="002D080E">
        <w:rPr>
          <w:rFonts w:cs="David"/>
          <w:rtl/>
        </w:rPr>
        <w:t>.</w:t>
      </w:r>
    </w:p>
    <w:p w:rsidR="002F3C6F" w:rsidRDefault="002F3C6F" w:rsidP="00057EF8">
      <w:pPr>
        <w:numPr>
          <w:ilvl w:val="0"/>
          <w:numId w:val="1"/>
        </w:numPr>
        <w:tabs>
          <w:tab w:val="left" w:pos="566"/>
        </w:tabs>
        <w:spacing w:after="240" w:line="360" w:lineRule="auto"/>
        <w:ind w:left="566" w:hanging="540"/>
        <w:jc w:val="both"/>
        <w:rPr>
          <w:rFonts w:cs="David"/>
        </w:rPr>
      </w:pPr>
      <w:r w:rsidRPr="002F3C6F">
        <w:rPr>
          <w:rFonts w:cs="David" w:hint="cs"/>
          <w:rtl/>
        </w:rPr>
        <w:t>לאור האמור לעיל, ועל אח</w:t>
      </w:r>
      <w:r>
        <w:rPr>
          <w:rFonts w:cs="David" w:hint="cs"/>
          <w:rtl/>
        </w:rPr>
        <w:t xml:space="preserve">ת כמה וכמה </w:t>
      </w:r>
      <w:r w:rsidRPr="00FA365A">
        <w:rPr>
          <w:rFonts w:cs="David" w:hint="cs"/>
          <w:b/>
          <w:bCs/>
          <w:rtl/>
        </w:rPr>
        <w:t>כאשר הנטל הוא על המבקשות</w:t>
      </w:r>
      <w:r>
        <w:rPr>
          <w:rFonts w:cs="David" w:hint="cs"/>
          <w:rtl/>
        </w:rPr>
        <w:t>, וכאשר לנגד עינינו עומדות ההלכות בעניין ידו הקפוצה של בית הדין בבקשות לסילוק על הסף</w:t>
      </w:r>
      <w:r w:rsidR="00B26FEE">
        <w:rPr>
          <w:rFonts w:cs="David" w:hint="cs"/>
          <w:rtl/>
        </w:rPr>
        <w:t>, יש לדחות גם את טענת השיהוי</w:t>
      </w:r>
      <w:r>
        <w:rPr>
          <w:rFonts w:cs="David" w:hint="cs"/>
          <w:rtl/>
        </w:rPr>
        <w:t>.</w:t>
      </w:r>
    </w:p>
    <w:p w:rsidR="002D080E" w:rsidRPr="00815972" w:rsidRDefault="002D080E" w:rsidP="00815972">
      <w:pPr>
        <w:tabs>
          <w:tab w:val="left" w:pos="566"/>
        </w:tabs>
        <w:spacing w:line="360" w:lineRule="auto"/>
        <w:ind w:left="566"/>
        <w:jc w:val="both"/>
        <w:rPr>
          <w:rFonts w:cs="David"/>
        </w:rPr>
      </w:pPr>
    </w:p>
    <w:p w:rsidR="00C901B5" w:rsidRPr="00C901B5" w:rsidRDefault="00C901B5" w:rsidP="00C901B5">
      <w:pPr>
        <w:pStyle w:val="2"/>
        <w:numPr>
          <w:ilvl w:val="0"/>
          <w:numId w:val="2"/>
        </w:numPr>
        <w:tabs>
          <w:tab w:val="clear" w:pos="566"/>
          <w:tab w:val="left" w:pos="656"/>
        </w:tabs>
        <w:spacing w:after="120"/>
        <w:ind w:left="656" w:hanging="486"/>
        <w:rPr>
          <w:sz w:val="28"/>
          <w:lang w:eastAsia="en-US"/>
        </w:rPr>
      </w:pPr>
      <w:r w:rsidRPr="00C901B5">
        <w:rPr>
          <w:rFonts w:hint="cs"/>
          <w:sz w:val="28"/>
          <w:rtl/>
          <w:lang w:eastAsia="en-US"/>
        </w:rPr>
        <w:t>הערה בעניין (חוסר) תום לב וחובת ההגינות הציבורית</w:t>
      </w:r>
    </w:p>
    <w:p w:rsidR="00C901B5" w:rsidRDefault="00C901B5" w:rsidP="00412566">
      <w:pPr>
        <w:tabs>
          <w:tab w:val="left" w:pos="566"/>
        </w:tabs>
        <w:spacing w:after="240" w:line="360" w:lineRule="auto"/>
        <w:jc w:val="both"/>
        <w:rPr>
          <w:rFonts w:cs="David"/>
        </w:rPr>
      </w:pPr>
      <w:r>
        <w:rPr>
          <w:rFonts w:cs="David" w:hint="cs"/>
          <w:rtl/>
        </w:rPr>
        <w:t xml:space="preserve">אמת היא כי חלפה התקופה בה נמנעה המדינה מהעלאת טענות שיהוי והתיישנות. אולם, </w:t>
      </w:r>
      <w:r w:rsidRPr="00C901B5">
        <w:rPr>
          <w:rFonts w:cs="David" w:hint="cs"/>
          <w:b/>
          <w:bCs/>
          <w:rtl/>
        </w:rPr>
        <w:t xml:space="preserve">טרם חלפה החובה החלה על המדינה לנהוג בתום לב ובהגינות </w:t>
      </w:r>
      <w:r w:rsidR="00412566">
        <w:rPr>
          <w:rFonts w:cs="David" w:hint="cs"/>
          <w:b/>
          <w:bCs/>
          <w:rtl/>
        </w:rPr>
        <w:t>מנהלית</w:t>
      </w:r>
      <w:r>
        <w:rPr>
          <w:rFonts w:cs="David" w:hint="cs"/>
          <w:rtl/>
        </w:rPr>
        <w:t>, שהיא חובה מחמירה אף יותר מחובת תום הלב. קריאת הבקשה שבכותרת מעוררת אי נוחות רבה ביחס להתנהלותה של המדינה כאן, אי נוחות המצדיקה, לכשעצמה את דחיית הבקשה, כפי שנפרט:</w:t>
      </w:r>
    </w:p>
    <w:p w:rsidR="00C901B5" w:rsidRDefault="00C901B5" w:rsidP="00C901B5">
      <w:pPr>
        <w:numPr>
          <w:ilvl w:val="0"/>
          <w:numId w:val="1"/>
        </w:numPr>
        <w:tabs>
          <w:tab w:val="left" w:pos="566"/>
        </w:tabs>
        <w:spacing w:after="240" w:line="360" w:lineRule="auto"/>
        <w:ind w:left="566" w:hanging="540"/>
        <w:jc w:val="both"/>
        <w:rPr>
          <w:rFonts w:cs="David"/>
        </w:rPr>
      </w:pPr>
      <w:r>
        <w:rPr>
          <w:rFonts w:cs="David" w:hint="cs"/>
          <w:rtl/>
        </w:rPr>
        <w:t xml:space="preserve">כתב התביעה מגלה מספר רב של מקרים בהם דווקא המדינה לא עמדה במועדים הקבועים בחוק. על קצה המזלג ממש </w:t>
      </w:r>
      <w:r>
        <w:rPr>
          <w:rFonts w:cs="David"/>
          <w:rtl/>
        </w:rPr>
        <w:t>–</w:t>
      </w:r>
      <w:r>
        <w:rPr>
          <w:rFonts w:cs="David" w:hint="cs"/>
          <w:rtl/>
        </w:rPr>
        <w:t xml:space="preserve"> </w:t>
      </w:r>
    </w:p>
    <w:p w:rsidR="009C62D0" w:rsidRPr="00EC6557" w:rsidRDefault="00EC6557" w:rsidP="009C62D0">
      <w:pPr>
        <w:numPr>
          <w:ilvl w:val="1"/>
          <w:numId w:val="1"/>
        </w:numPr>
        <w:tabs>
          <w:tab w:val="clear" w:pos="792"/>
          <w:tab w:val="left" w:pos="1250"/>
        </w:tabs>
        <w:spacing w:after="240" w:line="360" w:lineRule="auto"/>
        <w:ind w:left="1250" w:hanging="630"/>
        <w:jc w:val="both"/>
        <w:rPr>
          <w:rFonts w:ascii="David" w:hAnsi="David" w:cs="David"/>
        </w:rPr>
      </w:pPr>
      <w:r w:rsidRPr="009C62D0">
        <w:rPr>
          <w:rFonts w:ascii="David" w:hAnsi="David" w:cs="David"/>
          <w:rtl/>
        </w:rPr>
        <w:t>ההודעה על סיום העסקתו של המשיב ניתנה פחות מחודש מהמועד שהיה קבוע בהודעה (סעיף 7 לכתב התביעה). כלומר, פחות מפרק הזמן המינימלי להודעה מוקדמת על פי חוק;</w:t>
      </w:r>
    </w:p>
    <w:p w:rsidR="00EC6557" w:rsidRPr="009C62D0" w:rsidRDefault="00EC6557" w:rsidP="009C62D0">
      <w:pPr>
        <w:numPr>
          <w:ilvl w:val="1"/>
          <w:numId w:val="1"/>
        </w:numPr>
        <w:tabs>
          <w:tab w:val="clear" w:pos="792"/>
          <w:tab w:val="left" w:pos="1250"/>
        </w:tabs>
        <w:spacing w:after="240" w:line="360" w:lineRule="auto"/>
        <w:ind w:left="1250" w:hanging="630"/>
        <w:jc w:val="both"/>
        <w:rPr>
          <w:rFonts w:ascii="David" w:hAnsi="David" w:cs="David"/>
        </w:rPr>
      </w:pPr>
      <w:r w:rsidRPr="009C62D0">
        <w:rPr>
          <w:rFonts w:ascii="David" w:hAnsi="David" w:cs="David"/>
          <w:rtl/>
        </w:rPr>
        <w:t xml:space="preserve">בהתאם להוראות חוק הגמלאות, נציב שרות המדינה חייב לידע את העובד בדואר רשום על החלטתו להפריש אותו לקיצבאות </w:t>
      </w:r>
      <w:r w:rsidRPr="009C62D0">
        <w:rPr>
          <w:rFonts w:ascii="David" w:hAnsi="David" w:cs="David"/>
          <w:b/>
          <w:bCs/>
          <w:rtl/>
        </w:rPr>
        <w:t>לפחות 90 יום לפני יום הפרישה</w:t>
      </w:r>
      <w:r w:rsidRPr="009C62D0">
        <w:rPr>
          <w:rFonts w:ascii="David" w:hAnsi="David" w:cs="David"/>
          <w:rtl/>
        </w:rPr>
        <w:t xml:space="preserve">. </w:t>
      </w:r>
      <w:r w:rsidRPr="009C62D0">
        <w:rPr>
          <w:rFonts w:ascii="David" w:hAnsi="David" w:cs="David" w:hint="eastAsia"/>
          <w:rtl/>
        </w:rPr>
        <w:t>כידוע</w:t>
      </w:r>
      <w:r w:rsidRPr="009C62D0">
        <w:rPr>
          <w:rFonts w:ascii="David" w:hAnsi="David" w:cs="David"/>
          <w:rtl/>
        </w:rPr>
        <w:t xml:space="preserve">, ההודעה ניתנה רק בחודש דצמבר 2012, רטרואקטיבית לחודש יולי; </w:t>
      </w:r>
    </w:p>
    <w:p w:rsidR="00EC6557" w:rsidRDefault="00EC6557" w:rsidP="00815972">
      <w:pPr>
        <w:numPr>
          <w:ilvl w:val="1"/>
          <w:numId w:val="1"/>
        </w:numPr>
        <w:tabs>
          <w:tab w:val="clear" w:pos="792"/>
          <w:tab w:val="left" w:pos="1250"/>
        </w:tabs>
        <w:spacing w:after="240" w:line="360" w:lineRule="auto"/>
        <w:ind w:left="1250" w:hanging="630"/>
        <w:jc w:val="both"/>
        <w:rPr>
          <w:rFonts w:ascii="David" w:hAnsi="David" w:cs="David"/>
        </w:rPr>
      </w:pPr>
      <w:r>
        <w:rPr>
          <w:rFonts w:ascii="David" w:hAnsi="David" w:cs="David" w:hint="cs"/>
          <w:rtl/>
        </w:rPr>
        <w:t>בהתאם להוראות</w:t>
      </w:r>
      <w:r w:rsidRPr="00EC6557">
        <w:rPr>
          <w:rFonts w:ascii="David" w:hAnsi="David" w:cs="David"/>
          <w:rtl/>
        </w:rPr>
        <w:t xml:space="preserve"> התקשי"ר, סמנכ"ל המשרד (ולא פקיד זוטר כלשהו) חייב לתת הודעה על צאתו הצפוי של העובד לגמלאות </w:t>
      </w:r>
      <w:r w:rsidRPr="00EC6557">
        <w:rPr>
          <w:rFonts w:ascii="David" w:hAnsi="David" w:cs="David"/>
          <w:b/>
          <w:bCs/>
          <w:rtl/>
        </w:rPr>
        <w:t>שנה של</w:t>
      </w:r>
      <w:r>
        <w:rPr>
          <w:rFonts w:ascii="David" w:hAnsi="David" w:cs="David" w:hint="cs"/>
          <w:b/>
          <w:bCs/>
          <w:rtl/>
        </w:rPr>
        <w:t>י</w:t>
      </w:r>
      <w:r w:rsidRPr="00EC6557">
        <w:rPr>
          <w:rFonts w:ascii="David" w:hAnsi="David" w:cs="David"/>
          <w:b/>
          <w:bCs/>
          <w:rtl/>
        </w:rPr>
        <w:t>מה לפני מועד הפרישה</w:t>
      </w:r>
      <w:r w:rsidRPr="00EC6557">
        <w:rPr>
          <w:rFonts w:ascii="David" w:hAnsi="David" w:cs="David"/>
          <w:rtl/>
        </w:rPr>
        <w:t xml:space="preserve">. הודעה כאמור לא נמסרה לתובע במועד הקבוע בחוק ולא במועד הנדרש </w:t>
      </w:r>
      <w:r w:rsidR="00B26FEE">
        <w:rPr>
          <w:rFonts w:ascii="David" w:hAnsi="David" w:cs="David" w:hint="cs"/>
          <w:rtl/>
        </w:rPr>
        <w:t>בתקשי"ר</w:t>
      </w:r>
      <w:r>
        <w:rPr>
          <w:rFonts w:ascii="David" w:hAnsi="David" w:cs="David" w:hint="cs"/>
          <w:rtl/>
        </w:rPr>
        <w:t>, אלא רק בחודש דצמבר 2012</w:t>
      </w:r>
      <w:r w:rsidRPr="00EC6557">
        <w:rPr>
          <w:rFonts w:ascii="David" w:hAnsi="David" w:cs="David"/>
          <w:rtl/>
        </w:rPr>
        <w:t>.</w:t>
      </w:r>
    </w:p>
    <w:p w:rsidR="00EC6557" w:rsidRDefault="00EC6557" w:rsidP="00EC6557">
      <w:pPr>
        <w:numPr>
          <w:ilvl w:val="1"/>
          <w:numId w:val="1"/>
        </w:numPr>
        <w:tabs>
          <w:tab w:val="clear" w:pos="792"/>
          <w:tab w:val="left" w:pos="1250"/>
        </w:tabs>
        <w:spacing w:after="240" w:line="360" w:lineRule="auto"/>
        <w:ind w:left="1250" w:hanging="630"/>
        <w:jc w:val="both"/>
        <w:rPr>
          <w:rFonts w:ascii="David" w:hAnsi="David" w:cs="David"/>
        </w:rPr>
      </w:pPr>
      <w:r>
        <w:rPr>
          <w:rFonts w:ascii="David" w:hAnsi="David" w:cs="David" w:hint="cs"/>
          <w:rtl/>
        </w:rPr>
        <w:lastRenderedPageBreak/>
        <w:t>בהתאם להוראות התקשי"ר, היה על האחראי על משיב לשלוח</w:t>
      </w:r>
      <w:r w:rsidRPr="00EC6557">
        <w:rPr>
          <w:rFonts w:ascii="David" w:hAnsi="David" w:cs="David"/>
          <w:rtl/>
        </w:rPr>
        <w:t xml:space="preserve"> עותק של טופס הודעה על הפסקת העבודה גם לממונה על הגמלאות במשרד האוצר</w:t>
      </w:r>
      <w:r>
        <w:rPr>
          <w:rFonts w:ascii="David" w:hAnsi="David" w:cs="David" w:hint="cs"/>
          <w:rtl/>
        </w:rPr>
        <w:t xml:space="preserve"> לפחות 90 ימים לפני מועד הפרישה. הדבר לא נעשה, וכפי שכבר הבהרנו </w:t>
      </w:r>
      <w:r>
        <w:rPr>
          <w:rFonts w:ascii="David" w:hAnsi="David" w:cs="David"/>
          <w:rtl/>
        </w:rPr>
        <w:t>–</w:t>
      </w:r>
      <w:r>
        <w:rPr>
          <w:rFonts w:ascii="David" w:hAnsi="David" w:cs="David" w:hint="cs"/>
          <w:rtl/>
        </w:rPr>
        <w:t xml:space="preserve"> מינהלת הגמלאות לא היתה ערוכה לכך, ורק בחודש דצמבר 2012 נערכה לתשלום והוא בוצע בסוף החודש.</w:t>
      </w:r>
    </w:p>
    <w:p w:rsidR="00C901B5" w:rsidRPr="00412566" w:rsidRDefault="00412566" w:rsidP="00412566">
      <w:pPr>
        <w:numPr>
          <w:ilvl w:val="0"/>
          <w:numId w:val="1"/>
        </w:numPr>
        <w:tabs>
          <w:tab w:val="left" w:pos="566"/>
        </w:tabs>
        <w:spacing w:after="240" w:line="360" w:lineRule="auto"/>
        <w:ind w:left="566" w:hanging="540"/>
        <w:jc w:val="both"/>
        <w:rPr>
          <w:rFonts w:cs="David"/>
        </w:rPr>
      </w:pPr>
      <w:r w:rsidRPr="00412566">
        <w:rPr>
          <w:rFonts w:cs="David" w:hint="cs"/>
          <w:rtl/>
        </w:rPr>
        <w:t>י</w:t>
      </w:r>
      <w:r w:rsidR="00C901B5" w:rsidRPr="00412566">
        <w:rPr>
          <w:rFonts w:cs="David" w:hint="cs"/>
          <w:rtl/>
        </w:rPr>
        <w:t>תרה מכך, לאורך כל התקופה עד להגשת כתב התביעה (ומתברר שגם לאחריו, נוכח בקשות הדחייה</w:t>
      </w:r>
      <w:r w:rsidR="00EC6557" w:rsidRPr="00412566">
        <w:rPr>
          <w:rFonts w:cs="David" w:hint="cs"/>
          <w:rtl/>
        </w:rPr>
        <w:t xml:space="preserve"> להגשת כתב ההגנה), השתהתה המדינה בטיפול בפניותיו של המשיב. </w:t>
      </w:r>
      <w:r w:rsidRPr="00412566">
        <w:rPr>
          <w:rFonts w:cs="David" w:hint="cs"/>
          <w:b/>
          <w:bCs/>
          <w:rtl/>
        </w:rPr>
        <w:t>יצוין כי תחילה גם נאמר למשיב מפורשות שימצה את הנושא מול הגורמים הרלבנטיים, וכך הוא עשה בפועל.</w:t>
      </w:r>
      <w:r>
        <w:rPr>
          <w:rFonts w:cs="David" w:hint="cs"/>
          <w:rtl/>
        </w:rPr>
        <w:t xml:space="preserve"> </w:t>
      </w:r>
      <w:r w:rsidR="00EC6557" w:rsidRPr="00412566">
        <w:rPr>
          <w:rFonts w:cs="David" w:hint="cs"/>
          <w:rtl/>
        </w:rPr>
        <w:t xml:space="preserve">לא נחזור פעם נוספת על התנצלותו של נציב התלונות על העיכוב במתן התשובה, שדומה כי היא ממצה את ההתנהלות בעניינו של המשיב: </w:t>
      </w:r>
      <w:r w:rsidR="00EC6557" w:rsidRPr="00412566">
        <w:rPr>
          <w:rFonts w:cs="David" w:hint="cs"/>
          <w:b/>
          <w:bCs/>
          <w:rtl/>
        </w:rPr>
        <w:t xml:space="preserve">עיכוב, השתהות וסחבת. </w:t>
      </w:r>
    </w:p>
    <w:p w:rsidR="00412566" w:rsidRPr="00412566" w:rsidRDefault="00412566" w:rsidP="00412566">
      <w:pPr>
        <w:numPr>
          <w:ilvl w:val="0"/>
          <w:numId w:val="1"/>
        </w:numPr>
        <w:tabs>
          <w:tab w:val="left" w:pos="566"/>
        </w:tabs>
        <w:spacing w:after="240" w:line="360" w:lineRule="auto"/>
        <w:ind w:left="566" w:hanging="540"/>
        <w:jc w:val="both"/>
        <w:rPr>
          <w:rFonts w:cs="David"/>
        </w:rPr>
      </w:pPr>
      <w:r w:rsidRPr="00412566">
        <w:rPr>
          <w:rFonts w:cs="David" w:hint="cs"/>
          <w:rtl/>
        </w:rPr>
        <w:t xml:space="preserve">על רקע זה, </w:t>
      </w:r>
      <w:r>
        <w:rPr>
          <w:rFonts w:cs="David" w:hint="cs"/>
          <w:rtl/>
        </w:rPr>
        <w:t>כאשר המדינה לא עמדה במועדים הקבועים</w:t>
      </w:r>
      <w:r w:rsidR="00B26FEE">
        <w:rPr>
          <w:rFonts w:cs="David" w:hint="cs"/>
          <w:rtl/>
        </w:rPr>
        <w:t xml:space="preserve"> בדין</w:t>
      </w:r>
      <w:r>
        <w:rPr>
          <w:rFonts w:cs="David" w:hint="cs"/>
          <w:rtl/>
        </w:rPr>
        <w:t xml:space="preserve">, לא פעם אחת ולא פעמיים, תוך שהיא גורמת למשיב נזקים ממשיים, ולאחר שהשתהתה בטיפול בפניותיו, ואף התנצלה על כך, </w:t>
      </w:r>
      <w:r>
        <w:rPr>
          <w:rFonts w:cs="David" w:hint="cs"/>
          <w:b/>
          <w:bCs/>
          <w:rtl/>
        </w:rPr>
        <w:t xml:space="preserve">אין זה ראוי כי אותה מדינה ממש, באמצעות המבקשות, תעלה טענות של שיהוי והתיישנות. </w:t>
      </w:r>
    </w:p>
    <w:p w:rsidR="00412566" w:rsidRDefault="00412566" w:rsidP="00412566">
      <w:pPr>
        <w:tabs>
          <w:tab w:val="left" w:pos="566"/>
        </w:tabs>
        <w:spacing w:after="240" w:line="360" w:lineRule="auto"/>
        <w:ind w:left="566"/>
        <w:jc w:val="both"/>
        <w:rPr>
          <w:rFonts w:cs="David"/>
          <w:b/>
          <w:bCs/>
          <w:rtl/>
        </w:rPr>
      </w:pPr>
      <w:r>
        <w:rPr>
          <w:rFonts w:cs="David" w:hint="cs"/>
          <w:b/>
          <w:bCs/>
          <w:rtl/>
        </w:rPr>
        <w:t xml:space="preserve">מדובר בחוסר תום לב קיצוני, ובוודאי שאין בהתנהלות זאת דבר וחצי דבר עם חובת ההגינות המנהלית החלה על המדינה. </w:t>
      </w:r>
    </w:p>
    <w:p w:rsidR="00412566" w:rsidRPr="00412566" w:rsidRDefault="00412566" w:rsidP="00412566">
      <w:pPr>
        <w:numPr>
          <w:ilvl w:val="0"/>
          <w:numId w:val="1"/>
        </w:numPr>
        <w:tabs>
          <w:tab w:val="left" w:pos="566"/>
        </w:tabs>
        <w:spacing w:after="240" w:line="360" w:lineRule="auto"/>
        <w:ind w:left="566" w:hanging="540"/>
        <w:jc w:val="both"/>
        <w:rPr>
          <w:rFonts w:cs="David"/>
        </w:rPr>
      </w:pPr>
      <w:r>
        <w:rPr>
          <w:rFonts w:cs="David" w:hint="cs"/>
          <w:rtl/>
        </w:rPr>
        <w:t>על כן, ולו מסיבות אלה בלבד, ראוי ונכון לדחות את הבקשה, ועל אחת כמה וכמה נוכח היותה נעדרת בסיס משפטי וחוקי.</w:t>
      </w:r>
    </w:p>
    <w:p w:rsidR="008F5336" w:rsidRDefault="008F5336" w:rsidP="00211F05">
      <w:pPr>
        <w:pStyle w:val="30"/>
        <w:spacing w:after="240"/>
        <w:rPr>
          <w:rtl/>
        </w:rPr>
      </w:pPr>
    </w:p>
    <w:p w:rsidR="009B48BB" w:rsidRPr="00815972" w:rsidRDefault="00FA365A" w:rsidP="00FA365A">
      <w:pPr>
        <w:pStyle w:val="30"/>
        <w:tabs>
          <w:tab w:val="clear" w:pos="566"/>
        </w:tabs>
        <w:spacing w:after="240"/>
        <w:ind w:left="80" w:firstLine="450"/>
        <w:rPr>
          <w:sz w:val="26"/>
          <w:szCs w:val="26"/>
        </w:rPr>
      </w:pPr>
      <w:r w:rsidRPr="00815972">
        <w:rPr>
          <w:rFonts w:hint="eastAsia"/>
          <w:sz w:val="26"/>
          <w:szCs w:val="26"/>
          <w:rtl/>
        </w:rPr>
        <w:t>אשר</w:t>
      </w:r>
      <w:r w:rsidRPr="00815972">
        <w:rPr>
          <w:sz w:val="26"/>
          <w:szCs w:val="26"/>
          <w:rtl/>
        </w:rPr>
        <w:t xml:space="preserve"> </w:t>
      </w:r>
      <w:r w:rsidRPr="00815972">
        <w:rPr>
          <w:rFonts w:hint="eastAsia"/>
          <w:sz w:val="26"/>
          <w:szCs w:val="26"/>
          <w:rtl/>
        </w:rPr>
        <w:t>על</w:t>
      </w:r>
      <w:r w:rsidRPr="00815972">
        <w:rPr>
          <w:sz w:val="26"/>
          <w:szCs w:val="26"/>
          <w:rtl/>
        </w:rPr>
        <w:t xml:space="preserve"> </w:t>
      </w:r>
      <w:r w:rsidRPr="00815972">
        <w:rPr>
          <w:rFonts w:hint="eastAsia"/>
          <w:sz w:val="26"/>
          <w:szCs w:val="26"/>
          <w:rtl/>
        </w:rPr>
        <w:t>כן</w:t>
      </w:r>
      <w:r w:rsidRPr="00815972">
        <w:rPr>
          <w:sz w:val="26"/>
          <w:szCs w:val="26"/>
          <w:rtl/>
        </w:rPr>
        <w:t xml:space="preserve">, </w:t>
      </w:r>
      <w:r w:rsidRPr="00815972">
        <w:rPr>
          <w:rFonts w:hint="eastAsia"/>
          <w:sz w:val="26"/>
          <w:szCs w:val="26"/>
          <w:rtl/>
        </w:rPr>
        <w:t>ולאור</w:t>
      </w:r>
      <w:r w:rsidRPr="00815972">
        <w:rPr>
          <w:sz w:val="26"/>
          <w:szCs w:val="26"/>
          <w:rtl/>
        </w:rPr>
        <w:t xml:space="preserve"> </w:t>
      </w:r>
      <w:r w:rsidRPr="00815972">
        <w:rPr>
          <w:rFonts w:hint="eastAsia"/>
          <w:sz w:val="26"/>
          <w:szCs w:val="26"/>
          <w:rtl/>
        </w:rPr>
        <w:t>האמור</w:t>
      </w:r>
      <w:r w:rsidRPr="00815972">
        <w:rPr>
          <w:sz w:val="26"/>
          <w:szCs w:val="26"/>
          <w:rtl/>
        </w:rPr>
        <w:t xml:space="preserve"> </w:t>
      </w:r>
      <w:r w:rsidRPr="00815972">
        <w:rPr>
          <w:rFonts w:hint="eastAsia"/>
          <w:sz w:val="26"/>
          <w:szCs w:val="26"/>
          <w:rtl/>
        </w:rPr>
        <w:t>לעיל</w:t>
      </w:r>
      <w:r w:rsidRPr="00815972">
        <w:rPr>
          <w:sz w:val="26"/>
          <w:szCs w:val="26"/>
          <w:rtl/>
        </w:rPr>
        <w:t>,</w:t>
      </w:r>
      <w:r w:rsidR="0092613E" w:rsidRPr="00815972">
        <w:rPr>
          <w:sz w:val="26"/>
          <w:szCs w:val="26"/>
          <w:rtl/>
        </w:rPr>
        <w:t xml:space="preserve"> יתבקש בית הדין הנכבד </w:t>
      </w:r>
      <w:r w:rsidRPr="00815972">
        <w:rPr>
          <w:rFonts w:hint="eastAsia"/>
          <w:sz w:val="26"/>
          <w:szCs w:val="26"/>
          <w:rtl/>
        </w:rPr>
        <w:t>לדחות</w:t>
      </w:r>
      <w:r w:rsidRPr="00815972">
        <w:rPr>
          <w:sz w:val="26"/>
          <w:szCs w:val="26"/>
          <w:rtl/>
        </w:rPr>
        <w:t xml:space="preserve"> </w:t>
      </w:r>
      <w:r w:rsidRPr="00815972">
        <w:rPr>
          <w:rFonts w:hint="eastAsia"/>
          <w:sz w:val="26"/>
          <w:szCs w:val="26"/>
          <w:rtl/>
        </w:rPr>
        <w:t>את</w:t>
      </w:r>
      <w:r w:rsidRPr="00815972">
        <w:rPr>
          <w:sz w:val="26"/>
          <w:szCs w:val="26"/>
          <w:rtl/>
        </w:rPr>
        <w:t xml:space="preserve"> </w:t>
      </w:r>
      <w:r w:rsidRPr="00815972">
        <w:rPr>
          <w:rFonts w:hint="eastAsia"/>
          <w:sz w:val="26"/>
          <w:szCs w:val="26"/>
          <w:rtl/>
        </w:rPr>
        <w:t>הבקשה</w:t>
      </w:r>
      <w:r w:rsidRPr="00815972">
        <w:rPr>
          <w:sz w:val="26"/>
          <w:szCs w:val="26"/>
          <w:rtl/>
        </w:rPr>
        <w:t xml:space="preserve"> </w:t>
      </w:r>
      <w:r w:rsidRPr="00815972">
        <w:rPr>
          <w:rFonts w:hint="eastAsia"/>
          <w:sz w:val="26"/>
          <w:szCs w:val="26"/>
          <w:rtl/>
        </w:rPr>
        <w:t>כולה</w:t>
      </w:r>
      <w:r w:rsidRPr="00815972">
        <w:rPr>
          <w:sz w:val="26"/>
          <w:szCs w:val="26"/>
          <w:rtl/>
        </w:rPr>
        <w:t xml:space="preserve">, </w:t>
      </w:r>
      <w:r w:rsidRPr="00815972">
        <w:rPr>
          <w:rFonts w:hint="eastAsia"/>
          <w:sz w:val="26"/>
          <w:szCs w:val="26"/>
          <w:rtl/>
        </w:rPr>
        <w:t>ולחייב</w:t>
      </w:r>
      <w:r w:rsidRPr="00815972">
        <w:rPr>
          <w:sz w:val="26"/>
          <w:szCs w:val="26"/>
          <w:rtl/>
        </w:rPr>
        <w:t xml:space="preserve"> </w:t>
      </w:r>
      <w:r w:rsidRPr="00815972">
        <w:rPr>
          <w:rFonts w:hint="eastAsia"/>
          <w:sz w:val="26"/>
          <w:szCs w:val="26"/>
          <w:rtl/>
        </w:rPr>
        <w:t>את</w:t>
      </w:r>
      <w:r w:rsidRPr="00815972">
        <w:rPr>
          <w:sz w:val="26"/>
          <w:szCs w:val="26"/>
          <w:rtl/>
        </w:rPr>
        <w:t xml:space="preserve"> </w:t>
      </w:r>
      <w:r w:rsidRPr="00815972">
        <w:rPr>
          <w:rFonts w:hint="eastAsia"/>
          <w:sz w:val="26"/>
          <w:szCs w:val="26"/>
          <w:rtl/>
        </w:rPr>
        <w:t>המבקשות</w:t>
      </w:r>
      <w:r w:rsidRPr="00815972">
        <w:rPr>
          <w:sz w:val="26"/>
          <w:szCs w:val="26"/>
          <w:rtl/>
        </w:rPr>
        <w:t xml:space="preserve"> </w:t>
      </w:r>
      <w:r w:rsidRPr="00815972">
        <w:rPr>
          <w:rFonts w:hint="eastAsia"/>
          <w:sz w:val="26"/>
          <w:szCs w:val="26"/>
          <w:rtl/>
        </w:rPr>
        <w:t>בהוצאות</w:t>
      </w:r>
      <w:r w:rsidRPr="00815972">
        <w:rPr>
          <w:sz w:val="26"/>
          <w:szCs w:val="26"/>
          <w:rtl/>
        </w:rPr>
        <w:t xml:space="preserve"> </w:t>
      </w:r>
      <w:r w:rsidRPr="00815972">
        <w:rPr>
          <w:rFonts w:hint="eastAsia"/>
          <w:sz w:val="26"/>
          <w:szCs w:val="26"/>
          <w:rtl/>
        </w:rPr>
        <w:t>המשיב</w:t>
      </w:r>
      <w:r w:rsidRPr="00815972">
        <w:rPr>
          <w:sz w:val="26"/>
          <w:szCs w:val="26"/>
          <w:rtl/>
        </w:rPr>
        <w:t xml:space="preserve"> </w:t>
      </w:r>
      <w:r w:rsidRPr="00815972">
        <w:rPr>
          <w:rFonts w:hint="eastAsia"/>
          <w:sz w:val="26"/>
          <w:szCs w:val="26"/>
          <w:rtl/>
        </w:rPr>
        <w:t>ובשכר</w:t>
      </w:r>
      <w:r w:rsidRPr="00815972">
        <w:rPr>
          <w:sz w:val="26"/>
          <w:szCs w:val="26"/>
          <w:rtl/>
        </w:rPr>
        <w:t xml:space="preserve"> </w:t>
      </w:r>
      <w:r w:rsidRPr="00815972">
        <w:rPr>
          <w:rFonts w:hint="eastAsia"/>
          <w:sz w:val="26"/>
          <w:szCs w:val="26"/>
          <w:rtl/>
        </w:rPr>
        <w:t>טרחת</w:t>
      </w:r>
      <w:r w:rsidRPr="00815972">
        <w:rPr>
          <w:sz w:val="26"/>
          <w:szCs w:val="26"/>
          <w:rtl/>
        </w:rPr>
        <w:t xml:space="preserve"> </w:t>
      </w:r>
      <w:r w:rsidRPr="00815972">
        <w:rPr>
          <w:rFonts w:hint="eastAsia"/>
          <w:sz w:val="26"/>
          <w:szCs w:val="26"/>
          <w:rtl/>
        </w:rPr>
        <w:t>עורכי</w:t>
      </w:r>
      <w:r w:rsidRPr="00815972">
        <w:rPr>
          <w:sz w:val="26"/>
          <w:szCs w:val="26"/>
          <w:rtl/>
        </w:rPr>
        <w:t xml:space="preserve"> </w:t>
      </w:r>
      <w:r w:rsidRPr="00815972">
        <w:rPr>
          <w:rFonts w:hint="eastAsia"/>
          <w:sz w:val="26"/>
          <w:szCs w:val="26"/>
          <w:rtl/>
        </w:rPr>
        <w:t>דינו</w:t>
      </w:r>
      <w:r w:rsidRPr="00815972">
        <w:rPr>
          <w:sz w:val="26"/>
          <w:szCs w:val="26"/>
          <w:rtl/>
        </w:rPr>
        <w:t>.</w:t>
      </w:r>
    </w:p>
    <w:p w:rsidR="00F01D59" w:rsidRDefault="00F01D59" w:rsidP="00211F05">
      <w:pPr>
        <w:pStyle w:val="22"/>
        <w:tabs>
          <w:tab w:val="center" w:pos="-2268"/>
          <w:tab w:val="left" w:pos="631"/>
        </w:tabs>
        <w:spacing w:before="120"/>
        <w:ind w:left="0" w:right="0" w:firstLine="0"/>
        <w:rPr>
          <w:b/>
          <w:bCs/>
          <w:noProof w:val="0"/>
          <w:rtl/>
        </w:rPr>
      </w:pPr>
    </w:p>
    <w:p w:rsidR="00F11C5A" w:rsidRDefault="00B42DBB" w:rsidP="008F5336">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8F5336">
        <w:rPr>
          <w:rFonts w:hint="cs"/>
          <w:b/>
          <w:bCs/>
          <w:noProof w:val="0"/>
          <w:rtl/>
        </w:rPr>
        <w:t>28 בינואר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rsidR="00B42DBB" w:rsidRPr="00901A33" w:rsidRDefault="00B42DBB" w:rsidP="00211F05">
      <w:pPr>
        <w:pStyle w:val="22"/>
        <w:tabs>
          <w:tab w:val="center" w:pos="-2268"/>
          <w:tab w:val="left" w:pos="631"/>
        </w:tabs>
        <w:spacing w:before="0"/>
        <w:ind w:left="509" w:right="0"/>
        <w:rPr>
          <w:b/>
          <w:bCs/>
          <w:noProof w:val="0"/>
          <w:rtl/>
        </w:rPr>
      </w:pPr>
    </w:p>
    <w:p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2D080E">
        <w:rPr>
          <w:rFonts w:hint="cs"/>
          <w:noProof w:val="0"/>
          <w:rtl/>
        </w:rPr>
        <w:t xml:space="preserve">  </w:t>
      </w:r>
      <w:r w:rsidR="008F5336">
        <w:rPr>
          <w:noProof w:val="0"/>
          <w:rtl/>
        </w:rPr>
        <w:t>ב"כ ה</w:t>
      </w:r>
      <w:r w:rsidR="008F5336">
        <w:rPr>
          <w:rFonts w:hint="cs"/>
          <w:noProof w:val="0"/>
          <w:rtl/>
        </w:rPr>
        <w:t xml:space="preserve">משיב </w:t>
      </w:r>
    </w:p>
    <w:sectPr w:rsidR="0092613E" w:rsidRPr="00D74F54" w:rsidSect="00577511">
      <w:headerReference w:type="even" r:id="rId19"/>
      <w:headerReference w:type="default" r:id="rId20"/>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E4D" w:rsidRDefault="004B5E4D">
      <w:r>
        <w:separator/>
      </w:r>
    </w:p>
  </w:endnote>
  <w:endnote w:type="continuationSeparator" w:id="0">
    <w:p w:rsidR="004B5E4D" w:rsidRDefault="004B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E4D" w:rsidRDefault="004B5E4D">
      <w:r>
        <w:separator/>
      </w:r>
    </w:p>
  </w:footnote>
  <w:footnote w:type="continuationSeparator" w:id="0">
    <w:p w:rsidR="004B5E4D" w:rsidRDefault="004B5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0CD" w:rsidRDefault="00CD10CD"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CD10CD" w:rsidRDefault="00CD10C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0CD" w:rsidRDefault="00CD10CD"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A8709C">
      <w:rPr>
        <w:rStyle w:val="ac"/>
        <w:noProof/>
        <w:rtl/>
      </w:rPr>
      <w:t>9</w:t>
    </w:r>
    <w:r>
      <w:rPr>
        <w:rStyle w:val="ac"/>
        <w:rtl/>
      </w:rPr>
      <w:fldChar w:fldCharType="end"/>
    </w:r>
  </w:p>
  <w:p w:rsidR="00CD10CD" w:rsidRDefault="00CD10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5433"/>
    <w:rsid w:val="00046B9D"/>
    <w:rsid w:val="000524FA"/>
    <w:rsid w:val="00053FA6"/>
    <w:rsid w:val="00056C02"/>
    <w:rsid w:val="00057EF8"/>
    <w:rsid w:val="0006117A"/>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3CDE"/>
    <w:rsid w:val="001B750D"/>
    <w:rsid w:val="001B77C6"/>
    <w:rsid w:val="001C4413"/>
    <w:rsid w:val="001C7046"/>
    <w:rsid w:val="001D0395"/>
    <w:rsid w:val="001D11F2"/>
    <w:rsid w:val="001D5FE3"/>
    <w:rsid w:val="001D7262"/>
    <w:rsid w:val="001E1E01"/>
    <w:rsid w:val="001E362D"/>
    <w:rsid w:val="001E4F99"/>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40167"/>
    <w:rsid w:val="0024236F"/>
    <w:rsid w:val="0024719A"/>
    <w:rsid w:val="00252246"/>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3211"/>
    <w:rsid w:val="00305613"/>
    <w:rsid w:val="0030799E"/>
    <w:rsid w:val="003172EF"/>
    <w:rsid w:val="0032017F"/>
    <w:rsid w:val="003216EE"/>
    <w:rsid w:val="00321D6F"/>
    <w:rsid w:val="0032328C"/>
    <w:rsid w:val="00324E00"/>
    <w:rsid w:val="00332BBE"/>
    <w:rsid w:val="00332FD9"/>
    <w:rsid w:val="00334F82"/>
    <w:rsid w:val="00337575"/>
    <w:rsid w:val="00337EAF"/>
    <w:rsid w:val="00337F2F"/>
    <w:rsid w:val="00341798"/>
    <w:rsid w:val="00345EE5"/>
    <w:rsid w:val="00353EF1"/>
    <w:rsid w:val="00356E31"/>
    <w:rsid w:val="00356E51"/>
    <w:rsid w:val="00362E59"/>
    <w:rsid w:val="0036443D"/>
    <w:rsid w:val="00365660"/>
    <w:rsid w:val="0036765B"/>
    <w:rsid w:val="00367D2B"/>
    <w:rsid w:val="00370613"/>
    <w:rsid w:val="003765AA"/>
    <w:rsid w:val="003766B4"/>
    <w:rsid w:val="00383382"/>
    <w:rsid w:val="003865E9"/>
    <w:rsid w:val="003905E5"/>
    <w:rsid w:val="0039100F"/>
    <w:rsid w:val="0039162B"/>
    <w:rsid w:val="00391F23"/>
    <w:rsid w:val="003961AE"/>
    <w:rsid w:val="003A24D7"/>
    <w:rsid w:val="003A2E11"/>
    <w:rsid w:val="003A5B5B"/>
    <w:rsid w:val="003A72DA"/>
    <w:rsid w:val="003A7345"/>
    <w:rsid w:val="003B1574"/>
    <w:rsid w:val="003B19BF"/>
    <w:rsid w:val="003B377B"/>
    <w:rsid w:val="003B3ED9"/>
    <w:rsid w:val="003B5FF5"/>
    <w:rsid w:val="003B6C0C"/>
    <w:rsid w:val="003C2148"/>
    <w:rsid w:val="003D096D"/>
    <w:rsid w:val="003D1997"/>
    <w:rsid w:val="003D24EB"/>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2BF6"/>
    <w:rsid w:val="0049482F"/>
    <w:rsid w:val="00497575"/>
    <w:rsid w:val="004A02BB"/>
    <w:rsid w:val="004A07A1"/>
    <w:rsid w:val="004A1D52"/>
    <w:rsid w:val="004A6302"/>
    <w:rsid w:val="004A74EA"/>
    <w:rsid w:val="004B0673"/>
    <w:rsid w:val="004B1925"/>
    <w:rsid w:val="004B20F2"/>
    <w:rsid w:val="004B5E4D"/>
    <w:rsid w:val="004B73B2"/>
    <w:rsid w:val="004D0B07"/>
    <w:rsid w:val="004D2426"/>
    <w:rsid w:val="004D7BCB"/>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40DE"/>
    <w:rsid w:val="005850C9"/>
    <w:rsid w:val="00592A2A"/>
    <w:rsid w:val="00594EB3"/>
    <w:rsid w:val="005A3166"/>
    <w:rsid w:val="005A35B3"/>
    <w:rsid w:val="005A44F1"/>
    <w:rsid w:val="005A4601"/>
    <w:rsid w:val="005A63FE"/>
    <w:rsid w:val="005B59AF"/>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42B10"/>
    <w:rsid w:val="00642F36"/>
    <w:rsid w:val="00643E6B"/>
    <w:rsid w:val="00644176"/>
    <w:rsid w:val="006455D3"/>
    <w:rsid w:val="00646E5E"/>
    <w:rsid w:val="00653911"/>
    <w:rsid w:val="0066168D"/>
    <w:rsid w:val="00663677"/>
    <w:rsid w:val="00663FC4"/>
    <w:rsid w:val="00664359"/>
    <w:rsid w:val="00664F8E"/>
    <w:rsid w:val="00665014"/>
    <w:rsid w:val="00666881"/>
    <w:rsid w:val="00666C0A"/>
    <w:rsid w:val="00672B49"/>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2ECA"/>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2BC"/>
    <w:rsid w:val="006D2867"/>
    <w:rsid w:val="006D2E74"/>
    <w:rsid w:val="006D31FC"/>
    <w:rsid w:val="006D49D9"/>
    <w:rsid w:val="006D4C56"/>
    <w:rsid w:val="006E5D4F"/>
    <w:rsid w:val="006E7D6C"/>
    <w:rsid w:val="006F0929"/>
    <w:rsid w:val="006F2B97"/>
    <w:rsid w:val="006F4E5C"/>
    <w:rsid w:val="007025C5"/>
    <w:rsid w:val="00703BDA"/>
    <w:rsid w:val="0070493C"/>
    <w:rsid w:val="0070635F"/>
    <w:rsid w:val="007119FB"/>
    <w:rsid w:val="00713F69"/>
    <w:rsid w:val="00716815"/>
    <w:rsid w:val="0071685F"/>
    <w:rsid w:val="007172BD"/>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0B3"/>
    <w:rsid w:val="007C0B1F"/>
    <w:rsid w:val="007C0EC8"/>
    <w:rsid w:val="007C2E4B"/>
    <w:rsid w:val="007C3C3F"/>
    <w:rsid w:val="007C4E65"/>
    <w:rsid w:val="007C5A79"/>
    <w:rsid w:val="007D01A0"/>
    <w:rsid w:val="007D3355"/>
    <w:rsid w:val="007D426E"/>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5325"/>
    <w:rsid w:val="008C587F"/>
    <w:rsid w:val="008D00E4"/>
    <w:rsid w:val="008D238B"/>
    <w:rsid w:val="008D3153"/>
    <w:rsid w:val="008D3640"/>
    <w:rsid w:val="008D5FDB"/>
    <w:rsid w:val="008D7743"/>
    <w:rsid w:val="008D785F"/>
    <w:rsid w:val="008E5BF9"/>
    <w:rsid w:val="008E6FA5"/>
    <w:rsid w:val="008F5336"/>
    <w:rsid w:val="008F56E4"/>
    <w:rsid w:val="008F6405"/>
    <w:rsid w:val="008F6EB9"/>
    <w:rsid w:val="009008EE"/>
    <w:rsid w:val="00901A33"/>
    <w:rsid w:val="00901E76"/>
    <w:rsid w:val="00903EDA"/>
    <w:rsid w:val="00904ECA"/>
    <w:rsid w:val="00907F97"/>
    <w:rsid w:val="00916238"/>
    <w:rsid w:val="009162EC"/>
    <w:rsid w:val="00917C45"/>
    <w:rsid w:val="00925FA2"/>
    <w:rsid w:val="0092613E"/>
    <w:rsid w:val="00926F04"/>
    <w:rsid w:val="00932D99"/>
    <w:rsid w:val="00934643"/>
    <w:rsid w:val="00946A22"/>
    <w:rsid w:val="00952B82"/>
    <w:rsid w:val="00956073"/>
    <w:rsid w:val="00960BEC"/>
    <w:rsid w:val="00961AD3"/>
    <w:rsid w:val="00964B62"/>
    <w:rsid w:val="009670CA"/>
    <w:rsid w:val="0097181E"/>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981"/>
    <w:rsid w:val="009D1873"/>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09C"/>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6963"/>
    <w:rsid w:val="00B875B3"/>
    <w:rsid w:val="00B913C5"/>
    <w:rsid w:val="00B926CB"/>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01B5"/>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10CD"/>
    <w:rsid w:val="00CD2094"/>
    <w:rsid w:val="00CD3445"/>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36A3"/>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56B5E"/>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820"/>
    <w:rsid w:val="00DF6DBB"/>
    <w:rsid w:val="00E02DB3"/>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19EC"/>
    <w:rsid w:val="00E51A43"/>
    <w:rsid w:val="00E555AB"/>
    <w:rsid w:val="00E644A2"/>
    <w:rsid w:val="00E64CCC"/>
    <w:rsid w:val="00E677EB"/>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132D"/>
    <w:rsid w:val="00EC4280"/>
    <w:rsid w:val="00EC5E31"/>
    <w:rsid w:val="00EC60D9"/>
    <w:rsid w:val="00EC64F3"/>
    <w:rsid w:val="00EC6557"/>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C96"/>
    <w:rsid w:val="00F4477B"/>
    <w:rsid w:val="00F47968"/>
    <w:rsid w:val="00F47CB5"/>
    <w:rsid w:val="00F47E91"/>
    <w:rsid w:val="00F51471"/>
    <w:rsid w:val="00F539C1"/>
    <w:rsid w:val="00F5604B"/>
    <w:rsid w:val="00F6064D"/>
    <w:rsid w:val="00F613A3"/>
    <w:rsid w:val="00F7184E"/>
    <w:rsid w:val="00F74B8A"/>
    <w:rsid w:val="00F76678"/>
    <w:rsid w:val="00F76B74"/>
    <w:rsid w:val="00F77E5E"/>
    <w:rsid w:val="00F83CF6"/>
    <w:rsid w:val="00F84329"/>
    <w:rsid w:val="00F85298"/>
    <w:rsid w:val="00F86C9F"/>
    <w:rsid w:val="00F87E8C"/>
    <w:rsid w:val="00F9574E"/>
    <w:rsid w:val="00F963A8"/>
    <w:rsid w:val="00F96E3D"/>
    <w:rsid w:val="00F96F36"/>
    <w:rsid w:val="00F972DB"/>
    <w:rsid w:val="00FA1CEA"/>
    <w:rsid w:val="00FA2BB7"/>
    <w:rsid w:val="00FA365A"/>
    <w:rsid w:val="00FA4BFD"/>
    <w:rsid w:val="00FB04F6"/>
    <w:rsid w:val="00FB09FD"/>
    <w:rsid w:val="00FB166B"/>
    <w:rsid w:val="00FB4D60"/>
    <w:rsid w:val="00FB7854"/>
    <w:rsid w:val="00FC24F2"/>
    <w:rsid w:val="00FC3EFA"/>
    <w:rsid w:val="00FC5238"/>
    <w:rsid w:val="00FC5B3C"/>
    <w:rsid w:val="00FD014E"/>
    <w:rsid w:val="00FD06A7"/>
    <w:rsid w:val="00FD2891"/>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Tik=2340&amp;Tik_Ref=02&amp;Tik_Type=132&amp;zad=&#1492;&#1493;&#1493;&#1506;&#1491;&#1492;%20&#1492;&#1502;&#1511;&#1493;&#1502;&#1497;&#1514;&amp;T=8&amp;FromWord=1" TargetMode="External"/><Relationship Id="rId13" Type="http://schemas.openxmlformats.org/officeDocument/2006/relationships/hyperlink" Target="http://www.lawdata.co.il/lawdata/OpenDocFromLink.asp?Tik=403&amp;Tik_Ref=63&amp;Tik_Type=6&amp;zad=&#1514;&#1502;&#1497;&#1512;%20&#1504;$$$&amp;T=8&amp;FromWord=1" TargetMode="External"/><Relationship Id="rId18" Type="http://schemas.openxmlformats.org/officeDocument/2006/relationships/hyperlink" Target="http://www.lawdata.co.il/lawdata/OpenDocFromLink.asp?Tik=5634&amp;Tik_Ref=90&amp;Tik_Type=6&amp;zad=&#1508;&#1497;&#1504;&#1496;&#1493;%20&#1504;$$$&amp;T=8&amp;FromWord=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awdata.co.il/lawdata/OpenDocFromLink.asp?Tik=1029&amp;Tik_Ref=04&amp;Tik_Type=8&amp;zad=&#1506;&#1502;&#1504;&#1493;&#1488;&#1500;%20&#1491;&#1493;&#1512;&#1504;&#1513;&#1496;&#1497;&#1497;&#1503;&amp;T=8&amp;FromWord=1" TargetMode="External"/><Relationship Id="rId17" Type="http://schemas.openxmlformats.org/officeDocument/2006/relationships/hyperlink" Target="http://www.lawdata.co.il/lawdata/OpenDocFromLink.asp?Tik=109&amp;Tik_Ref=87&amp;Tik_Type=6&amp;zad=&#1495;&#1493;&#1493;&#1514;%20&#1502;&#1511;&#1493;&#1512;&#1492;&amp;T=8&amp;FromWord=1" TargetMode="External"/><Relationship Id="rId2" Type="http://schemas.openxmlformats.org/officeDocument/2006/relationships/numbering" Target="numbering.xml"/><Relationship Id="rId16" Type="http://schemas.openxmlformats.org/officeDocument/2006/relationships/hyperlink" Target="http://www.lawdata.co.il/lawdata/OpenDocFromLink.asp?Tik=118&amp;Tik_Ref=75&amp;Tik_Type=6&amp;zad=&#1506;&#1494;&#1489;&#1493;&#1503;%20&#1513;&#1512;&#1497;&#1497;&#1491;&#1497;&amp;T=8&amp;FromWord=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data.co.il/lawdata/OpenDocFromLink.asp?hokNm=&#1495;&#1493;&#1511;%20&#1513;&#1497;&#1512;&#1493;&#1514;%20&#1492;&#1502;&#1491;&#1497;&#1504;&#1492;%20(&#1502;&#1497;&#1504;&#1493;&#1497;&#1497;&#1501;),%20&#1492;&#1514;&#1513;&#1497;|&#1496;-1959&amp;T=4&amp;FromWord=1&amp;Seif=" TargetMode="External"/><Relationship Id="rId5" Type="http://schemas.openxmlformats.org/officeDocument/2006/relationships/webSettings" Target="webSettings.xml"/><Relationship Id="rId15" Type="http://schemas.openxmlformats.org/officeDocument/2006/relationships/hyperlink" Target="http://www.lawdata.co.il/lawdata/OpenDocFromLink.asp?Tik=167&amp;Tik_Ref=01&amp;Tik_Type=6&amp;zad=&#1489;&#1512;&#1505;&#1511;&#1497;%20&#1504;$$$&amp;T=8&amp;FromWord=1" TargetMode="External"/><Relationship Id="rId10" Type="http://schemas.openxmlformats.org/officeDocument/2006/relationships/hyperlink" Target="http://www.lawdata.co.il/lawdata/OpenDocFromLink.asp?hokNm=&#1495;&#1493;&#1511;%20&#1513;&#1497;&#1512;&#1493;&#1514;%20&#1492;&#1502;&#1491;&#1497;&#1504;&#1492;%20(&#1490;&#1497;&#1502;&#1500;&#1488;&#1493;&#1514;)%20%5b&#1504;&#1493;&#1505;&#1495;%20&#1502;&#1513;&#1493;&#1500;&#1489;%5d,%20&#1492;&#1514;&#1513;|&#1500;-1970&amp;T=4&amp;FromWord=1&amp;Sei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lawdata.co.il/lawdata/OpenDocFromLink.asp?Tik=206&amp;Tik_Ref=75&amp;Tik_Type=6&amp;zad=&#1505;&#1500;&#1493;&#1503;%20100&amp;T=8&amp;FromWord=1"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8F55-9CF0-43A2-9D82-A630E8CD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4578</Words>
  <Characters>22891</Characters>
  <Application>Microsoft Office Word</Application>
  <DocSecurity>0</DocSecurity>
  <Lines>190</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27415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שמעון ה</cp:lastModifiedBy>
  <cp:revision>2</cp:revision>
  <cp:lastPrinted>2020-01-28T08:06:00Z</cp:lastPrinted>
  <dcterms:created xsi:type="dcterms:W3CDTF">2020-01-28T13:57:00Z</dcterms:created>
  <dcterms:modified xsi:type="dcterms:W3CDTF">2020-01-28T13:57:00Z</dcterms:modified>
</cp:coreProperties>
</file>