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55" w:rsidRPr="00216358" w:rsidRDefault="00BC54DA" w:rsidP="00216358">
      <w:pPr>
        <w:bidi/>
        <w:jc w:val="center"/>
        <w:rPr>
          <w:b/>
          <w:bCs/>
          <w:u w:val="single"/>
          <w:rtl/>
        </w:rPr>
      </w:pPr>
      <w:r w:rsidRPr="0021635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רשות </w:t>
      </w:r>
      <w:proofErr w:type="spellStart"/>
      <w:r w:rsidRPr="00216358">
        <w:rPr>
          <w:rFonts w:ascii="David" w:hAnsi="David" w:cs="David"/>
          <w:b/>
          <w:bCs/>
          <w:sz w:val="24"/>
          <w:szCs w:val="24"/>
          <w:u w:val="single"/>
          <w:rtl/>
        </w:rPr>
        <w:t>מינהלית</w:t>
      </w:r>
      <w:proofErr w:type="spellEnd"/>
      <w:r w:rsidRPr="0021635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216358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216358">
        <w:rPr>
          <w:rFonts w:ascii="David" w:hAnsi="David" w:cs="David" w:hint="cs"/>
          <w:b/>
          <w:bCs/>
          <w:sz w:val="24"/>
          <w:szCs w:val="24"/>
          <w:u w:val="single"/>
          <w:rtl/>
        </w:rPr>
        <w:t>חייבת לפעול בהגינות וע"פ מידת הצדק</w:t>
      </w:r>
    </w:p>
    <w:p w:rsidR="00463354" w:rsidRDefault="00463354" w:rsidP="00463354">
      <w:pPr>
        <w:tabs>
          <w:tab w:val="left" w:pos="5490"/>
        </w:tabs>
        <w:rPr>
          <w:rFonts w:hint="cs"/>
          <w:rtl/>
        </w:rPr>
      </w:pPr>
    </w:p>
    <w:p w:rsidR="00463354" w:rsidRDefault="00463354" w:rsidP="00BC54DA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20681F">
        <w:rPr>
          <w:rFonts w:ascii="David" w:hAnsi="David" w:cs="David"/>
          <w:sz w:val="24"/>
          <w:szCs w:val="24"/>
          <w:rtl/>
        </w:rPr>
        <w:t xml:space="preserve">רשות </w:t>
      </w:r>
      <w:proofErr w:type="spellStart"/>
      <w:r w:rsidRPr="0020681F">
        <w:rPr>
          <w:rFonts w:ascii="David" w:hAnsi="David" w:cs="David"/>
          <w:sz w:val="24"/>
          <w:szCs w:val="24"/>
          <w:rtl/>
        </w:rPr>
        <w:t>מינהלית</w:t>
      </w:r>
      <w:proofErr w:type="spellEnd"/>
      <w:r w:rsidRPr="0020681F">
        <w:rPr>
          <w:rFonts w:ascii="David" w:hAnsi="David" w:cs="David"/>
          <w:sz w:val="24"/>
          <w:szCs w:val="24"/>
          <w:rtl/>
        </w:rPr>
        <w:t xml:space="preserve"> היא, כידוע, נאמן של הציבור. הנאמנות הציבורית כמו הנאמנות</w:t>
      </w:r>
      <w:r w:rsidR="0020681F">
        <w:rPr>
          <w:rFonts w:ascii="David" w:hAnsi="David" w:cs="David" w:hint="cs"/>
          <w:sz w:val="24"/>
          <w:szCs w:val="24"/>
          <w:rtl/>
        </w:rPr>
        <w:t xml:space="preserve"> </w:t>
      </w:r>
      <w:r w:rsidRPr="0020681F">
        <w:rPr>
          <w:rFonts w:ascii="David" w:hAnsi="David" w:cs="David"/>
          <w:sz w:val="24"/>
          <w:szCs w:val="24"/>
          <w:rtl/>
        </w:rPr>
        <w:t xml:space="preserve">הפרטית, היא מקור הן לכוח והן לאחריות. </w:t>
      </w:r>
      <w:r w:rsidRPr="00BC54DA">
        <w:rPr>
          <w:rFonts w:ascii="David" w:hAnsi="David" w:cs="David"/>
          <w:sz w:val="24"/>
          <w:szCs w:val="24"/>
          <w:highlight w:val="yellow"/>
          <w:rtl/>
        </w:rPr>
        <w:t>האחריות מחייבת איפוק והגינות בהפעלת הכוח</w:t>
      </w:r>
      <w:r w:rsidRPr="0020681F">
        <w:rPr>
          <w:rFonts w:ascii="David" w:hAnsi="David" w:cs="David"/>
          <w:sz w:val="24"/>
          <w:szCs w:val="24"/>
          <w:rtl/>
        </w:rPr>
        <w:t xml:space="preserve">. בין היתר, יש נסיבות שבהן </w:t>
      </w:r>
      <w:r w:rsidRPr="0020681F">
        <w:rPr>
          <w:rFonts w:ascii="David" w:hAnsi="David" w:cs="David"/>
          <w:sz w:val="24"/>
          <w:szCs w:val="24"/>
          <w:highlight w:val="yellow"/>
          <w:rtl/>
        </w:rPr>
        <w:t xml:space="preserve">טוב תעשה הרשות </w:t>
      </w:r>
      <w:proofErr w:type="spellStart"/>
      <w:r w:rsidRPr="004D3F74">
        <w:rPr>
          <w:rFonts w:ascii="David" w:hAnsi="David" w:cs="David"/>
          <w:sz w:val="24"/>
          <w:szCs w:val="24"/>
          <w:rtl/>
        </w:rPr>
        <w:t>המינהלית</w:t>
      </w:r>
      <w:proofErr w:type="spellEnd"/>
      <w:r w:rsidRPr="004D3F74">
        <w:rPr>
          <w:rFonts w:ascii="David" w:hAnsi="David" w:cs="David"/>
          <w:sz w:val="24"/>
          <w:szCs w:val="24"/>
          <w:rtl/>
        </w:rPr>
        <w:t xml:space="preserve"> אם תימנע מלהעלות לפני בית המשפט טענות מסוימות, אפילו יש להן יסוד בדין, אם אין הן </w:t>
      </w:r>
      <w:r w:rsidR="00BC54DA" w:rsidRPr="004D3F74">
        <w:rPr>
          <w:rFonts w:ascii="David" w:hAnsi="David" w:cs="David" w:hint="cs"/>
          <w:sz w:val="24"/>
          <w:szCs w:val="24"/>
          <w:rtl/>
        </w:rPr>
        <w:t>מ</w:t>
      </w:r>
      <w:r w:rsidRPr="004D3F74">
        <w:rPr>
          <w:rFonts w:ascii="David" w:hAnsi="David" w:cs="David"/>
          <w:sz w:val="24"/>
          <w:szCs w:val="24"/>
          <w:rtl/>
        </w:rPr>
        <w:t xml:space="preserve">תיישבות עם עקרונות יסוד של </w:t>
      </w:r>
      <w:proofErr w:type="spellStart"/>
      <w:r w:rsidRPr="004D3F74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4D3F74">
        <w:rPr>
          <w:rFonts w:ascii="David" w:hAnsi="David" w:cs="David"/>
          <w:sz w:val="24"/>
          <w:szCs w:val="24"/>
          <w:rtl/>
        </w:rPr>
        <w:t xml:space="preserve"> תקין או סותרות באופן ברור את מידת הצדק...</w:t>
      </w:r>
    </w:p>
    <w:p w:rsidR="00BC54DA" w:rsidRPr="0020681F" w:rsidRDefault="00BC54DA" w:rsidP="0020681F">
      <w:pPr>
        <w:tabs>
          <w:tab w:val="left" w:pos="5490"/>
        </w:tabs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</w:p>
    <w:p w:rsidR="00216358" w:rsidRDefault="00463354" w:rsidP="00216358">
      <w:pPr>
        <w:tabs>
          <w:tab w:val="left" w:pos="5490"/>
        </w:tabs>
        <w:bidi/>
        <w:spacing w:line="360" w:lineRule="auto"/>
        <w:jc w:val="both"/>
        <w:rPr>
          <w:sz w:val="20"/>
          <w:szCs w:val="20"/>
          <w:rtl/>
        </w:rPr>
      </w:pPr>
      <w:r w:rsidRPr="0020681F">
        <w:rPr>
          <w:rFonts w:ascii="David" w:hAnsi="David" w:cs="David"/>
          <w:sz w:val="24"/>
          <w:szCs w:val="24"/>
          <w:rtl/>
        </w:rPr>
        <w:t xml:space="preserve">זאת ועוד. </w:t>
      </w:r>
      <w:proofErr w:type="spellStart"/>
      <w:r w:rsidRPr="0020681F">
        <w:rPr>
          <w:rFonts w:ascii="David" w:hAnsi="David" w:cs="David"/>
          <w:sz w:val="24"/>
          <w:szCs w:val="24"/>
          <w:rtl/>
        </w:rPr>
        <w:t>בית־משפט</w:t>
      </w:r>
      <w:proofErr w:type="spellEnd"/>
      <w:r w:rsidRPr="0020681F">
        <w:rPr>
          <w:rFonts w:ascii="David" w:hAnsi="David" w:cs="David"/>
          <w:sz w:val="24"/>
          <w:szCs w:val="24"/>
          <w:rtl/>
        </w:rPr>
        <w:t xml:space="preserve"> זה דן, בלשונו של סעיף 15(ג) </w:t>
      </w:r>
      <w:proofErr w:type="spellStart"/>
      <w:r w:rsidRPr="0020681F">
        <w:rPr>
          <w:rFonts w:ascii="David" w:hAnsi="David" w:cs="David"/>
          <w:sz w:val="24"/>
          <w:szCs w:val="24"/>
          <w:rtl/>
        </w:rPr>
        <w:t>לחוק־יסוד</w:t>
      </w:r>
      <w:proofErr w:type="spellEnd"/>
      <w:r w:rsidRPr="0020681F">
        <w:rPr>
          <w:rFonts w:ascii="David" w:hAnsi="David" w:cs="David"/>
          <w:sz w:val="24"/>
          <w:szCs w:val="24"/>
          <w:rtl/>
        </w:rPr>
        <w:t xml:space="preserve">׃ השפיטה, ׳בעניינים אשר הוא רואה צורך לתת בהם סעד למען </w:t>
      </w:r>
      <w:r w:rsidR="00BC54DA">
        <w:rPr>
          <w:rFonts w:ascii="David" w:hAnsi="David" w:cs="David"/>
          <w:sz w:val="24"/>
          <w:szCs w:val="24"/>
          <w:rtl/>
        </w:rPr>
        <w:t>הצדק</w:t>
      </w:r>
      <w:r w:rsidRPr="0020681F">
        <w:rPr>
          <w:rFonts w:ascii="David" w:hAnsi="David" w:cs="David"/>
          <w:sz w:val="24"/>
          <w:szCs w:val="24"/>
          <w:rtl/>
        </w:rPr>
        <w:t xml:space="preserve">...׳ כך כלפי האזרח בריבו עם הרשות </w:t>
      </w:r>
      <w:proofErr w:type="spellStart"/>
      <w:r w:rsidRPr="0020681F">
        <w:rPr>
          <w:rFonts w:ascii="David" w:hAnsi="David" w:cs="David"/>
          <w:sz w:val="24"/>
          <w:szCs w:val="24"/>
          <w:rtl/>
        </w:rPr>
        <w:t>המינהלית</w:t>
      </w:r>
      <w:proofErr w:type="spellEnd"/>
      <w:r w:rsidRPr="0020681F">
        <w:rPr>
          <w:rFonts w:ascii="David" w:hAnsi="David" w:cs="David"/>
          <w:sz w:val="24"/>
          <w:szCs w:val="24"/>
          <w:rtl/>
        </w:rPr>
        <w:t xml:space="preserve">׃ </w:t>
      </w:r>
      <w:r w:rsidRPr="00216358">
        <w:rPr>
          <w:rFonts w:ascii="David" w:hAnsi="David" w:cs="David"/>
          <w:sz w:val="24"/>
          <w:szCs w:val="24"/>
          <w:highlight w:val="yellow"/>
          <w:rtl/>
        </w:rPr>
        <w:t>מידת הצדק גוברת לעתים על מידת הדין,</w:t>
      </w:r>
      <w:r w:rsidRPr="0020681F">
        <w:rPr>
          <w:rFonts w:ascii="David" w:hAnsi="David" w:cs="David"/>
          <w:sz w:val="24"/>
          <w:szCs w:val="24"/>
          <w:rtl/>
        </w:rPr>
        <w:t xml:space="preserve"> כגון</w:t>
      </w:r>
      <w:bookmarkStart w:id="0" w:name="_GoBack"/>
      <w:r w:rsidRPr="0020681F">
        <w:rPr>
          <w:rFonts w:ascii="David" w:hAnsi="David" w:cs="David"/>
          <w:sz w:val="24"/>
          <w:szCs w:val="24"/>
          <w:rtl/>
        </w:rPr>
        <w:t xml:space="preserve">, כאשר עתירת האזרח לוקה בשיהוי או בחוסר </w:t>
      </w:r>
      <w:proofErr w:type="spellStart"/>
      <w:r w:rsidRPr="0020681F">
        <w:rPr>
          <w:rFonts w:ascii="David" w:hAnsi="David" w:cs="David"/>
          <w:sz w:val="24"/>
          <w:szCs w:val="24"/>
          <w:rtl/>
        </w:rPr>
        <w:t>נקיון</w:t>
      </w:r>
      <w:proofErr w:type="spellEnd"/>
      <w:r w:rsidR="00BC54DA">
        <w:rPr>
          <w:rFonts w:ascii="David" w:hAnsi="David" w:cs="David" w:hint="cs"/>
          <w:sz w:val="24"/>
          <w:szCs w:val="24"/>
          <w:rtl/>
        </w:rPr>
        <w:t xml:space="preserve"> </w:t>
      </w:r>
      <w:r w:rsidRPr="0020681F">
        <w:rPr>
          <w:rFonts w:ascii="David" w:hAnsi="David" w:cs="David"/>
          <w:sz w:val="24"/>
          <w:szCs w:val="24"/>
          <w:rtl/>
        </w:rPr>
        <w:t xml:space="preserve">כפיים. והאם לא כך גם כלפי הרשות </w:t>
      </w:r>
      <w:proofErr w:type="spellStart"/>
      <w:r w:rsidRPr="0020681F">
        <w:rPr>
          <w:rFonts w:ascii="David" w:hAnsi="David" w:cs="David"/>
          <w:sz w:val="24"/>
          <w:szCs w:val="24"/>
          <w:rtl/>
        </w:rPr>
        <w:t>המינהלית</w:t>
      </w:r>
      <w:proofErr w:type="spellEnd"/>
      <w:r w:rsidRPr="0020681F">
        <w:rPr>
          <w:rFonts w:ascii="David" w:hAnsi="David" w:cs="David"/>
          <w:sz w:val="24"/>
          <w:szCs w:val="24"/>
          <w:rtl/>
        </w:rPr>
        <w:t xml:space="preserve">? </w:t>
      </w:r>
      <w:bookmarkEnd w:id="0"/>
      <w:r w:rsidRPr="004D3F74">
        <w:rPr>
          <w:rFonts w:ascii="David" w:hAnsi="David" w:cs="David"/>
          <w:sz w:val="24"/>
          <w:szCs w:val="24"/>
          <w:highlight w:val="yellow"/>
          <w:rtl/>
        </w:rPr>
        <w:t xml:space="preserve">הצדק אינו </w:t>
      </w:r>
      <w:proofErr w:type="spellStart"/>
      <w:r w:rsidRPr="004D3F74">
        <w:rPr>
          <w:rFonts w:ascii="David" w:hAnsi="David" w:cs="David"/>
          <w:sz w:val="24"/>
          <w:szCs w:val="24"/>
          <w:highlight w:val="yellow"/>
          <w:rtl/>
        </w:rPr>
        <w:t>חד־סטרי</w:t>
      </w:r>
      <w:proofErr w:type="spellEnd"/>
      <w:r w:rsidRPr="004D3F74">
        <w:rPr>
          <w:rFonts w:ascii="David" w:hAnsi="David" w:cs="David"/>
          <w:sz w:val="24"/>
          <w:szCs w:val="24"/>
          <w:highlight w:val="yellow"/>
          <w:rtl/>
        </w:rPr>
        <w:t>. כשם שהוא עשוי לחסום טענה של אזרח, כך הוא עשוי לחסום גם טענה של הרשות.</w:t>
      </w:r>
      <w:r w:rsidR="0020681F" w:rsidRPr="0020681F">
        <w:rPr>
          <w:rFonts w:ascii="David" w:hAnsi="David" w:cs="David"/>
          <w:sz w:val="24"/>
          <w:szCs w:val="24"/>
          <w:rtl/>
        </w:rPr>
        <w:t xml:space="preserve"> </w:t>
      </w:r>
      <w:r w:rsidR="0020681F" w:rsidRPr="00216358">
        <w:rPr>
          <w:rFonts w:hint="cs"/>
          <w:sz w:val="20"/>
          <w:szCs w:val="20"/>
          <w:rtl/>
        </w:rPr>
        <w:t>(</w:t>
      </w:r>
      <w:r w:rsidR="0020681F" w:rsidRPr="00216358">
        <w:rPr>
          <w:sz w:val="20"/>
          <w:szCs w:val="20"/>
          <w:rtl/>
        </w:rPr>
        <w:t xml:space="preserve">ע״א </w:t>
      </w:r>
      <w:r w:rsidR="0020681F" w:rsidRPr="00216358">
        <w:rPr>
          <w:rFonts w:asciiTheme="majorBidi" w:hAnsiTheme="majorBidi" w:cstheme="majorBidi"/>
          <w:sz w:val="20"/>
          <w:szCs w:val="20"/>
          <w:rtl/>
        </w:rPr>
        <w:t>92/1188</w:t>
      </w:r>
      <w:r w:rsidR="0020681F" w:rsidRPr="00216358">
        <w:rPr>
          <w:sz w:val="20"/>
          <w:szCs w:val="20"/>
          <w:rtl/>
        </w:rPr>
        <w:t xml:space="preserve"> הוועדה המקומית לתכנון ולבנייה ירושלים נ' ברעלי, פ״ד מט(1</w:t>
      </w:r>
      <w:r w:rsidR="0020681F" w:rsidRPr="00216358">
        <w:rPr>
          <w:rFonts w:hint="cs"/>
          <w:sz w:val="20"/>
          <w:szCs w:val="20"/>
          <w:rtl/>
        </w:rPr>
        <w:t xml:space="preserve">) </w:t>
      </w:r>
      <w:r w:rsidR="0020681F" w:rsidRPr="00216358">
        <w:rPr>
          <w:sz w:val="20"/>
          <w:szCs w:val="20"/>
          <w:rtl/>
        </w:rPr>
        <w:t xml:space="preserve">463 </w:t>
      </w:r>
      <w:r w:rsidR="0020681F" w:rsidRPr="00216358">
        <w:rPr>
          <w:rFonts w:hint="cs"/>
          <w:sz w:val="20"/>
          <w:szCs w:val="20"/>
          <w:rtl/>
        </w:rPr>
        <w:t>(</w:t>
      </w:r>
      <w:r w:rsidR="0020681F" w:rsidRPr="00216358">
        <w:rPr>
          <w:sz w:val="20"/>
          <w:szCs w:val="20"/>
          <w:rtl/>
        </w:rPr>
        <w:t>להלן׃ ע״א ברעלי</w:t>
      </w:r>
      <w:r w:rsidR="0020681F" w:rsidRPr="00216358">
        <w:rPr>
          <w:rFonts w:hint="cs"/>
          <w:sz w:val="20"/>
          <w:szCs w:val="20"/>
          <w:rtl/>
        </w:rPr>
        <w:t>)</w:t>
      </w:r>
      <w:r w:rsidR="00216358" w:rsidRPr="00216358">
        <w:rPr>
          <w:rFonts w:hint="cs"/>
          <w:sz w:val="20"/>
          <w:szCs w:val="20"/>
          <w:rtl/>
        </w:rPr>
        <w:t xml:space="preserve"> </w:t>
      </w:r>
    </w:p>
    <w:p w:rsidR="00216358" w:rsidRDefault="00216358" w:rsidP="00216358">
      <w:pPr>
        <w:tabs>
          <w:tab w:val="left" w:pos="5490"/>
        </w:tabs>
        <w:bidi/>
        <w:rPr>
          <w:rFonts w:hint="cs"/>
          <w:b/>
          <w:bCs/>
          <w:i/>
          <w:iCs/>
          <w:sz w:val="20"/>
          <w:szCs w:val="20"/>
          <w:rtl/>
        </w:rPr>
      </w:pPr>
      <w:r w:rsidRPr="00216358">
        <w:rPr>
          <w:rFonts w:hint="cs"/>
          <w:b/>
          <w:bCs/>
          <w:i/>
          <w:iCs/>
          <w:sz w:val="20"/>
          <w:szCs w:val="20"/>
          <w:rtl/>
        </w:rPr>
        <w:t>מתוך:</w:t>
      </w:r>
      <w:r w:rsidRPr="00216358">
        <w:rPr>
          <w:b/>
          <w:bCs/>
          <w:i/>
          <w:iCs/>
          <w:sz w:val="20"/>
          <w:szCs w:val="20"/>
          <w:rtl/>
        </w:rPr>
        <w:t xml:space="preserve"> יצחק זמיר</w:t>
      </w:r>
      <w:r w:rsidRPr="00216358">
        <w:rPr>
          <w:rFonts w:hint="cs"/>
          <w:b/>
          <w:bCs/>
          <w:i/>
          <w:iCs/>
          <w:sz w:val="20"/>
          <w:szCs w:val="20"/>
          <w:rtl/>
        </w:rPr>
        <w:t>: "</w:t>
      </w:r>
      <w:r w:rsidRPr="00216358">
        <w:rPr>
          <w:b/>
          <w:bCs/>
          <w:i/>
          <w:iCs/>
          <w:sz w:val="20"/>
          <w:szCs w:val="20"/>
          <w:rtl/>
        </w:rPr>
        <w:t>שיקול הצדק בהחלטות מנהליות</w:t>
      </w:r>
      <w:r w:rsidRPr="00216358">
        <w:rPr>
          <w:rFonts w:hint="cs"/>
          <w:b/>
          <w:bCs/>
          <w:i/>
          <w:iCs/>
          <w:sz w:val="20"/>
          <w:szCs w:val="20"/>
          <w:rtl/>
        </w:rPr>
        <w:t>"</w:t>
      </w:r>
      <w:r w:rsidRPr="00216358">
        <w:rPr>
          <w:b/>
          <w:bCs/>
          <w:i/>
          <w:iCs/>
          <w:sz w:val="20"/>
          <w:szCs w:val="20"/>
          <w:rtl/>
        </w:rPr>
        <w:t xml:space="preserve"> הרצאה שניתנה בכנס על משפט, צדק, דת ומדינה שנערך במלאת שנה למותו של השופט חיים ה׳ כהן בימים 9-11 באפריל 2003</w:t>
      </w:r>
      <w:r w:rsidRPr="00216358">
        <w:rPr>
          <w:b/>
          <w:bCs/>
          <w:i/>
          <w:iCs/>
          <w:sz w:val="20"/>
          <w:szCs w:val="20"/>
        </w:rPr>
        <w:t>.</w:t>
      </w:r>
    </w:p>
    <w:sectPr w:rsidR="00216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54"/>
    <w:rsid w:val="00075180"/>
    <w:rsid w:val="00130C55"/>
    <w:rsid w:val="001D7CA5"/>
    <w:rsid w:val="0020681F"/>
    <w:rsid w:val="00216358"/>
    <w:rsid w:val="00463354"/>
    <w:rsid w:val="004D3F74"/>
    <w:rsid w:val="00BC54DA"/>
    <w:rsid w:val="00C233E7"/>
    <w:rsid w:val="00D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455E5-D1A8-42A3-B5E8-996325D8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8"/>
        <w:szCs w:val="28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gittel hochster</dc:creator>
  <cp:keywords/>
  <dc:description/>
  <cp:lastModifiedBy>שמעון ה</cp:lastModifiedBy>
  <cp:revision>3</cp:revision>
  <dcterms:created xsi:type="dcterms:W3CDTF">2020-01-26T11:28:00Z</dcterms:created>
  <dcterms:modified xsi:type="dcterms:W3CDTF">2020-01-29T10:56:00Z</dcterms:modified>
</cp:coreProperties>
</file>