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25" w:rsidRPr="00466B25" w:rsidRDefault="00466B25" w:rsidP="00466B25">
      <w:pPr>
        <w:rPr>
          <w:b/>
          <w:bCs/>
          <w:rtl/>
        </w:rPr>
      </w:pPr>
      <w:r w:rsidRPr="00466B25">
        <w:rPr>
          <w:rFonts w:hint="cs"/>
          <w:b/>
          <w:bCs/>
          <w:rtl/>
        </w:rPr>
        <w:t>השאלות הבאות עולות מאליהן:</w:t>
      </w:r>
    </w:p>
    <w:p w:rsidR="00466B25" w:rsidRPr="00466B25" w:rsidRDefault="00466B25" w:rsidP="00466B25">
      <w:pPr>
        <w:numPr>
          <w:ilvl w:val="0"/>
          <w:numId w:val="2"/>
        </w:numPr>
        <w:rPr>
          <w:b/>
          <w:bCs/>
          <w:rtl/>
        </w:rPr>
      </w:pPr>
      <w:r w:rsidRPr="00466B25">
        <w:rPr>
          <w:rFonts w:hint="cs"/>
          <w:b/>
          <w:bCs/>
          <w:rtl/>
        </w:rPr>
        <w:t xml:space="preserve">אם לדעת </w:t>
      </w:r>
      <w:proofErr w:type="spellStart"/>
      <w:r w:rsidRPr="00466B25">
        <w:rPr>
          <w:rFonts w:hint="cs"/>
          <w:b/>
          <w:bCs/>
          <w:rtl/>
        </w:rPr>
        <w:t>הנש"ם</w:t>
      </w:r>
      <w:proofErr w:type="spellEnd"/>
      <w:r w:rsidRPr="00466B25">
        <w:rPr>
          <w:rFonts w:hint="cs"/>
          <w:b/>
          <w:bCs/>
          <w:rtl/>
        </w:rPr>
        <w:t xml:space="preserve">, נוסחת אהרונוב תואמת לאמור בחוזה, מדוע חזרה בה הנציבות ובפועל אישרה </w:t>
      </w:r>
      <w:proofErr w:type="spellStart"/>
      <w:r w:rsidRPr="00466B25">
        <w:rPr>
          <w:rFonts w:hint="cs"/>
          <w:b/>
          <w:bCs/>
          <w:rtl/>
        </w:rPr>
        <w:t>לפרנקנבורג</w:t>
      </w:r>
      <w:proofErr w:type="spellEnd"/>
      <w:r w:rsidRPr="00466B25">
        <w:rPr>
          <w:rFonts w:hint="cs"/>
          <w:b/>
          <w:bCs/>
          <w:rtl/>
        </w:rPr>
        <w:t xml:space="preserve"> </w:t>
      </w:r>
      <w:proofErr w:type="spellStart"/>
      <w:r w:rsidRPr="00466B25">
        <w:rPr>
          <w:rFonts w:hint="cs"/>
          <w:b/>
          <w:bCs/>
          <w:rtl/>
        </w:rPr>
        <w:t>גימלה</w:t>
      </w:r>
      <w:proofErr w:type="spellEnd"/>
      <w:r w:rsidRPr="00466B25">
        <w:rPr>
          <w:rFonts w:hint="cs"/>
          <w:b/>
          <w:bCs/>
          <w:rtl/>
        </w:rPr>
        <w:t xml:space="preserve"> לתקופת החוזה לפי נוסחת החוזה, כפי שגם אני דורש? </w:t>
      </w:r>
    </w:p>
    <w:p w:rsidR="00466B25" w:rsidRPr="00466B25" w:rsidRDefault="00466B25" w:rsidP="00466B25">
      <w:pPr>
        <w:numPr>
          <w:ilvl w:val="0"/>
          <w:numId w:val="2"/>
        </w:numPr>
        <w:rPr>
          <w:b/>
          <w:bCs/>
          <w:rtl/>
        </w:rPr>
      </w:pPr>
      <w:r w:rsidRPr="00466B25">
        <w:rPr>
          <w:rFonts w:hint="cs"/>
          <w:b/>
          <w:bCs/>
          <w:rtl/>
        </w:rPr>
        <w:t xml:space="preserve">מה אילץ את </w:t>
      </w:r>
      <w:proofErr w:type="spellStart"/>
      <w:r w:rsidRPr="00466B25">
        <w:rPr>
          <w:rFonts w:hint="cs"/>
          <w:b/>
          <w:bCs/>
          <w:rtl/>
        </w:rPr>
        <w:t>הנש"מ</w:t>
      </w:r>
      <w:proofErr w:type="spellEnd"/>
      <w:r w:rsidRPr="00466B25">
        <w:rPr>
          <w:rFonts w:hint="cs"/>
          <w:b/>
          <w:bCs/>
          <w:rtl/>
        </w:rPr>
        <w:t xml:space="preserve"> להגיע לפשרה ולשנות למפרע את מועד תחולת ה"מדיניות החדשה", מה עוד שבסעיף 14 לסימוכין 1 טוענת הנציבות עצמה שע"פ פסיקת בג"ץ, אין לכאורה הצדקה להחיל "מדיניות חדשה" של חישוב </w:t>
      </w:r>
      <w:proofErr w:type="spellStart"/>
      <w:r w:rsidRPr="00466B25">
        <w:rPr>
          <w:rFonts w:hint="cs"/>
          <w:b/>
          <w:bCs/>
          <w:rtl/>
        </w:rPr>
        <w:t>גימלה</w:t>
      </w:r>
      <w:proofErr w:type="spellEnd"/>
      <w:r w:rsidRPr="00466B25">
        <w:rPr>
          <w:rFonts w:hint="cs"/>
          <w:b/>
          <w:bCs/>
          <w:rtl/>
        </w:rPr>
        <w:t xml:space="preserve"> על מי שפרש לפני תחולת המדיניות החדשה?</w:t>
      </w:r>
    </w:p>
    <w:p w:rsidR="00466B25" w:rsidRPr="00466B25" w:rsidRDefault="00466B25" w:rsidP="00466B25">
      <w:pPr>
        <w:rPr>
          <w:b/>
          <w:bCs/>
          <w:rtl/>
        </w:rPr>
      </w:pPr>
    </w:p>
    <w:p w:rsidR="00466B25" w:rsidRPr="00466B25" w:rsidRDefault="00466B25" w:rsidP="00466B25">
      <w:pPr>
        <w:rPr>
          <w:b/>
          <w:bCs/>
          <w:rtl/>
        </w:rPr>
      </w:pPr>
      <w:r w:rsidRPr="00466B25">
        <w:rPr>
          <w:rFonts w:hint="cs"/>
          <w:b/>
          <w:bCs/>
          <w:rtl/>
        </w:rPr>
        <w:t xml:space="preserve">: </w:t>
      </w:r>
      <w:proofErr w:type="spellStart"/>
      <w:r w:rsidRPr="00466B25">
        <w:rPr>
          <w:rFonts w:hint="cs"/>
          <w:b/>
          <w:bCs/>
          <w:rtl/>
        </w:rPr>
        <w:t>לנש"מ</w:t>
      </w:r>
      <w:proofErr w:type="spellEnd"/>
      <w:r w:rsidRPr="00466B25">
        <w:rPr>
          <w:rFonts w:hint="cs"/>
          <w:b/>
          <w:bCs/>
          <w:rtl/>
        </w:rPr>
        <w:t xml:space="preserve"> (ולפרקליטות) היה ברור שביה"ד לא יקבל את הטיעון המופרך שנוסחת אהרונוב תואמת לחוזה. כדי </w:t>
      </w:r>
      <w:proofErr w:type="spellStart"/>
      <w:r w:rsidRPr="00466B25">
        <w:rPr>
          <w:rFonts w:hint="cs"/>
          <w:b/>
          <w:bCs/>
          <w:rtl/>
        </w:rPr>
        <w:t>להמנע</w:t>
      </w:r>
      <w:proofErr w:type="spellEnd"/>
      <w:r w:rsidRPr="00466B25">
        <w:rPr>
          <w:rFonts w:hint="cs"/>
          <w:b/>
          <w:bCs/>
          <w:rtl/>
        </w:rPr>
        <w:t xml:space="preserve"> מלהודות שנוסחת אהרונוב שגויה יצרה הנציבות קשר, שאינו קיים באמת, בין ההחלטה על ה"מדיניות החדשה" לבין החוזה של </w:t>
      </w:r>
      <w:proofErr w:type="spellStart"/>
      <w:r w:rsidRPr="00466B25">
        <w:rPr>
          <w:rFonts w:hint="cs"/>
          <w:b/>
          <w:bCs/>
          <w:rtl/>
        </w:rPr>
        <w:t>פרנקנבורג</w:t>
      </w:r>
      <w:proofErr w:type="spellEnd"/>
      <w:r w:rsidRPr="00466B25">
        <w:rPr>
          <w:rFonts w:hint="cs"/>
          <w:b/>
          <w:bCs/>
          <w:rtl/>
        </w:rPr>
        <w:t xml:space="preserve"> המבוסס כולו על שקר גס לפיו </w:t>
      </w:r>
      <w:proofErr w:type="spellStart"/>
      <w:r w:rsidRPr="00466B25">
        <w:rPr>
          <w:rFonts w:hint="cs"/>
          <w:b/>
          <w:bCs/>
          <w:rtl/>
        </w:rPr>
        <w:t>פרנקנבורג</w:t>
      </w:r>
      <w:proofErr w:type="spellEnd"/>
      <w:r w:rsidRPr="00466B25">
        <w:rPr>
          <w:rFonts w:hint="cs"/>
          <w:b/>
          <w:bCs/>
          <w:rtl/>
        </w:rPr>
        <w:t xml:space="preserve"> תבע "להחיל עליו את המדיניות החדשה" כאמור בסעיף 9 בסימוכין 1.</w:t>
      </w:r>
    </w:p>
    <w:p w:rsidR="00466B25" w:rsidRPr="00466B25" w:rsidRDefault="00466B25" w:rsidP="00466B25">
      <w:pPr>
        <w:rPr>
          <w:b/>
          <w:bCs/>
          <w:rtl/>
        </w:rPr>
      </w:pPr>
    </w:p>
    <w:p w:rsidR="00466B25" w:rsidRPr="00466B25" w:rsidRDefault="00466B25" w:rsidP="00466B25">
      <w:pPr>
        <w:rPr>
          <w:b/>
          <w:bCs/>
          <w:rtl/>
        </w:rPr>
      </w:pPr>
      <w:r w:rsidRPr="00466B25">
        <w:rPr>
          <w:rFonts w:hint="cs"/>
          <w:b/>
          <w:bCs/>
          <w:rtl/>
        </w:rPr>
        <w:t xml:space="preserve">יודגש: אין שמץ של אמת בהצגה זו. התביעה בפשטות </w:t>
      </w:r>
      <w:proofErr w:type="spellStart"/>
      <w:r w:rsidRPr="00466B25">
        <w:rPr>
          <w:rFonts w:hint="cs"/>
          <w:b/>
          <w:bCs/>
          <w:rtl/>
        </w:rPr>
        <w:t>היתה</w:t>
      </w:r>
      <w:proofErr w:type="spellEnd"/>
      <w:r w:rsidRPr="00466B25">
        <w:rPr>
          <w:rFonts w:hint="cs"/>
          <w:b/>
          <w:bCs/>
          <w:rtl/>
        </w:rPr>
        <w:t xml:space="preserve"> שע"פ סעיף 12 לחוזה מגיעה לו </w:t>
      </w:r>
      <w:proofErr w:type="spellStart"/>
      <w:r w:rsidRPr="00466B25">
        <w:rPr>
          <w:rFonts w:hint="cs"/>
          <w:b/>
          <w:bCs/>
          <w:rtl/>
        </w:rPr>
        <w:t>קיצבה</w:t>
      </w:r>
      <w:proofErr w:type="spellEnd"/>
      <w:r w:rsidRPr="00466B25">
        <w:rPr>
          <w:rFonts w:hint="cs"/>
          <w:b/>
          <w:bCs/>
          <w:rtl/>
        </w:rPr>
        <w:t xml:space="preserve"> מליאה (2%לשנה) לפי משכורת החוזה, על כל תקופת החוזה ללא כל שקלול. אין בתביעתו של מר </w:t>
      </w:r>
      <w:proofErr w:type="spellStart"/>
      <w:r w:rsidRPr="00466B25">
        <w:rPr>
          <w:rFonts w:hint="cs"/>
          <w:b/>
          <w:bCs/>
          <w:rtl/>
        </w:rPr>
        <w:t>פרנקנבורג</w:t>
      </w:r>
      <w:proofErr w:type="spellEnd"/>
      <w:r w:rsidRPr="00466B25">
        <w:rPr>
          <w:rFonts w:hint="cs"/>
          <w:b/>
          <w:bCs/>
          <w:rtl/>
        </w:rPr>
        <w:t xml:space="preserve"> ולו מילה אחת על המדיניות החדשה או תביעה לקבל </w:t>
      </w:r>
      <w:proofErr w:type="spellStart"/>
      <w:r w:rsidRPr="00466B25">
        <w:rPr>
          <w:rFonts w:hint="cs"/>
          <w:b/>
          <w:bCs/>
          <w:rtl/>
        </w:rPr>
        <w:t>גימלה</w:t>
      </w:r>
      <w:proofErr w:type="spellEnd"/>
      <w:r w:rsidRPr="00466B25">
        <w:rPr>
          <w:rFonts w:hint="cs"/>
          <w:b/>
          <w:bCs/>
          <w:rtl/>
        </w:rPr>
        <w:t xml:space="preserve"> לפי "ממוצע חשבוני משוקלל משופר".</w:t>
      </w:r>
    </w:p>
    <w:p w:rsidR="00466B25" w:rsidRPr="00466B25" w:rsidRDefault="00466B25" w:rsidP="00466B25">
      <w:pPr>
        <w:rPr>
          <w:b/>
          <w:bCs/>
          <w:rtl/>
        </w:rPr>
      </w:pPr>
    </w:p>
    <w:p w:rsidR="00466B25" w:rsidRPr="00466B25" w:rsidRDefault="00466B25" w:rsidP="00466B25">
      <w:pPr>
        <w:rPr>
          <w:rFonts w:hint="cs"/>
          <w:b/>
          <w:bCs/>
          <w:rtl/>
        </w:rPr>
      </w:pPr>
      <w:r w:rsidRPr="00466B25">
        <w:rPr>
          <w:rFonts w:hint="cs"/>
          <w:b/>
          <w:bCs/>
          <w:rtl/>
        </w:rPr>
        <w:t xml:space="preserve">האמת היא </w:t>
      </w:r>
      <w:proofErr w:type="spellStart"/>
      <w:r w:rsidRPr="00466B25">
        <w:rPr>
          <w:rFonts w:hint="cs"/>
          <w:b/>
          <w:bCs/>
          <w:rtl/>
        </w:rPr>
        <w:t>פשוטה:למדינה</w:t>
      </w:r>
      <w:proofErr w:type="spellEnd"/>
      <w:r w:rsidRPr="00466B25">
        <w:rPr>
          <w:rFonts w:hint="cs"/>
          <w:b/>
          <w:bCs/>
          <w:rtl/>
        </w:rPr>
        <w:t xml:space="preserve"> כנתבעת לא היה מענה לטענה הבסיסית של </w:t>
      </w:r>
      <w:proofErr w:type="spellStart"/>
      <w:r w:rsidRPr="00466B25">
        <w:rPr>
          <w:rFonts w:hint="cs"/>
          <w:b/>
          <w:bCs/>
          <w:rtl/>
        </w:rPr>
        <w:t>פרנקנבורג</w:t>
      </w:r>
      <w:proofErr w:type="spellEnd"/>
      <w:r w:rsidRPr="00466B25">
        <w:rPr>
          <w:rFonts w:hint="cs"/>
          <w:b/>
          <w:bCs/>
          <w:rtl/>
        </w:rPr>
        <w:t xml:space="preserve"> לפיה נוסחת אהרונוב אינה תואמת לחוזה, אינה חוקית ואינה מוסרית והיה ברור שביה"ד לא יקבל את הטיעון המופרך שנוסחת אהרונוב תואמת לחוזה. כדי </w:t>
      </w:r>
      <w:proofErr w:type="spellStart"/>
      <w:r w:rsidRPr="00466B25">
        <w:rPr>
          <w:rFonts w:hint="cs"/>
          <w:b/>
          <w:bCs/>
          <w:rtl/>
        </w:rPr>
        <w:t>להמנע</w:t>
      </w:r>
      <w:proofErr w:type="spellEnd"/>
      <w:r w:rsidRPr="00466B25">
        <w:rPr>
          <w:rFonts w:hint="cs"/>
          <w:b/>
          <w:bCs/>
          <w:rtl/>
        </w:rPr>
        <w:t xml:space="preserve"> מהצורך להודות בכך הוצגה תביעת </w:t>
      </w:r>
      <w:proofErr w:type="spellStart"/>
      <w:r w:rsidRPr="00466B25">
        <w:rPr>
          <w:rFonts w:hint="cs"/>
          <w:b/>
          <w:bCs/>
          <w:rtl/>
        </w:rPr>
        <w:t>פרנקנבורג</w:t>
      </w:r>
      <w:proofErr w:type="spellEnd"/>
      <w:r w:rsidRPr="00466B25">
        <w:rPr>
          <w:rFonts w:hint="cs"/>
          <w:b/>
          <w:bCs/>
          <w:rtl/>
        </w:rPr>
        <w:t xml:space="preserve"> בפני הממונים –באופן שקרי, כפי שגם מוצג בפניך- כתביעה להחיל למפרע את המדיניות החדשה, שבפועל תואמת בעיקרה ל"נוסחת החוזה". בעזרת הפלפול המתואר בסעיף 11 לסימוכין 1 ועל אף שאין באמת קשר בין המדיניות החדשה והחוזה, נתקבל האישור להחיל את המדיניות החדשה רטרואקטיבית למועד הסמוך לפני פרישת </w:t>
      </w:r>
      <w:proofErr w:type="spellStart"/>
      <w:r w:rsidRPr="00466B25">
        <w:rPr>
          <w:rFonts w:hint="cs"/>
          <w:b/>
          <w:bCs/>
          <w:rtl/>
        </w:rPr>
        <w:t>פרנקנבורג</w:t>
      </w:r>
      <w:proofErr w:type="spellEnd"/>
      <w:r w:rsidRPr="00466B25">
        <w:rPr>
          <w:rFonts w:hint="cs"/>
          <w:b/>
          <w:bCs/>
          <w:rtl/>
        </w:rPr>
        <w:t xml:space="preserve"> (1.1.14), ועל בסיסה הושגה "הפשרה": </w:t>
      </w:r>
      <w:proofErr w:type="spellStart"/>
      <w:r w:rsidRPr="00466B25">
        <w:rPr>
          <w:rFonts w:hint="cs"/>
          <w:b/>
          <w:bCs/>
          <w:rtl/>
        </w:rPr>
        <w:t>גימלת</w:t>
      </w:r>
      <w:proofErr w:type="spellEnd"/>
      <w:r w:rsidRPr="00466B25">
        <w:rPr>
          <w:rFonts w:hint="cs"/>
          <w:b/>
          <w:bCs/>
          <w:rtl/>
        </w:rPr>
        <w:t xml:space="preserve"> </w:t>
      </w:r>
      <w:proofErr w:type="spellStart"/>
      <w:r w:rsidRPr="00466B25">
        <w:rPr>
          <w:rFonts w:hint="cs"/>
          <w:b/>
          <w:bCs/>
          <w:rtl/>
        </w:rPr>
        <w:t>פרנקנבורג</w:t>
      </w:r>
      <w:proofErr w:type="spellEnd"/>
      <w:r w:rsidRPr="00466B25">
        <w:rPr>
          <w:rFonts w:hint="cs"/>
          <w:b/>
          <w:bCs/>
          <w:rtl/>
        </w:rPr>
        <w:t xml:space="preserve"> מחושבת לפי נוסחת החוזה, כפי שהוא תבע, כביכול במסגרת המדיניות החדשה, בלי </w:t>
      </w:r>
      <w:proofErr w:type="spellStart"/>
      <w:r w:rsidRPr="00466B25">
        <w:rPr>
          <w:rFonts w:hint="cs"/>
          <w:b/>
          <w:bCs/>
          <w:rtl/>
        </w:rPr>
        <w:t>שהנש"מ</w:t>
      </w:r>
      <w:proofErr w:type="spellEnd"/>
      <w:r w:rsidRPr="00466B25">
        <w:rPr>
          <w:rFonts w:hint="cs"/>
          <w:b/>
          <w:bCs/>
          <w:rtl/>
        </w:rPr>
        <w:t xml:space="preserve"> הודתה שנוסחת אהרונוב אינה תואמת לחוזה. </w:t>
      </w:r>
    </w:p>
    <w:p w:rsidR="00466B25" w:rsidRPr="00466B25" w:rsidRDefault="00466B25" w:rsidP="00466B25">
      <w:pPr>
        <w:rPr>
          <w:b/>
          <w:bCs/>
          <w:rtl/>
        </w:rPr>
      </w:pPr>
    </w:p>
    <w:p w:rsidR="00466B25" w:rsidRPr="00466B25" w:rsidRDefault="00466B25" w:rsidP="00466B25">
      <w:pPr>
        <w:rPr>
          <w:b/>
          <w:bCs/>
          <w:rtl/>
        </w:rPr>
      </w:pPr>
      <w:r w:rsidRPr="00466B25">
        <w:rPr>
          <w:rFonts w:hint="cs"/>
          <w:b/>
          <w:bCs/>
          <w:rtl/>
        </w:rPr>
        <w:t xml:space="preserve">לאחר יותר מ-4 עשורים של שרות בתפקידים בכירים מאד בשרות המדינה אני נדהם מכך שרשות שלטונית מרכזית כל כך כמו נציבות שרות המדינה, מרשה לעצמו לשקר במצח נחושה גם למבקר המדינה (בסעיף 9 הנ"ל) והם פועלים כאילו אין דין ואין דיין. </w:t>
      </w:r>
    </w:p>
    <w:p w:rsidR="00466B25" w:rsidRPr="00466B25" w:rsidRDefault="00466B25" w:rsidP="00466B25">
      <w:pPr>
        <w:rPr>
          <w:b/>
          <w:bCs/>
          <w:rtl/>
        </w:rPr>
      </w:pPr>
      <w:r w:rsidRPr="00466B25">
        <w:rPr>
          <w:rFonts w:hint="cs"/>
          <w:b/>
          <w:bCs/>
          <w:rtl/>
        </w:rPr>
        <w:t xml:space="preserve">המדהים –והחמור- הוא שכל הקישור ל"מדיניות החדשה" המוצג בפניך להצדקת האפליה ביני לבין </w:t>
      </w:r>
      <w:proofErr w:type="spellStart"/>
      <w:r w:rsidRPr="00466B25">
        <w:rPr>
          <w:rFonts w:hint="cs"/>
          <w:b/>
          <w:bCs/>
          <w:rtl/>
        </w:rPr>
        <w:t>פרנקנבורג</w:t>
      </w:r>
      <w:proofErr w:type="spellEnd"/>
      <w:r w:rsidRPr="00466B25">
        <w:rPr>
          <w:rFonts w:hint="cs"/>
          <w:b/>
          <w:bCs/>
          <w:rtl/>
        </w:rPr>
        <w:t>, שהוא עיקרו של סימוכין</w:t>
      </w:r>
    </w:p>
    <w:p w:rsidR="00466B25" w:rsidRPr="00466B25" w:rsidRDefault="00466B25" w:rsidP="00466B25">
      <w:pPr>
        <w:rPr>
          <w:b/>
          <w:bCs/>
        </w:rPr>
      </w:pPr>
      <w:r w:rsidRPr="00466B25">
        <w:rPr>
          <w:rFonts w:hint="cs"/>
          <w:b/>
          <w:bCs/>
          <w:rtl/>
        </w:rPr>
        <w:t>כמפורט ומוסבר בסעיף 4.2 למכתבי הנ"ל אל עו"ד ע. אבן מ-15.2.17.</w:t>
      </w:r>
    </w:p>
    <w:p w:rsidR="00466B25" w:rsidRPr="00466B25" w:rsidRDefault="00466B25" w:rsidP="00466B25">
      <w:pPr>
        <w:numPr>
          <w:ilvl w:val="0"/>
          <w:numId w:val="1"/>
        </w:numPr>
        <w:rPr>
          <w:b/>
          <w:bCs/>
        </w:rPr>
      </w:pPr>
      <w:r w:rsidRPr="00466B25">
        <w:rPr>
          <w:rFonts w:hint="cs"/>
          <w:b/>
          <w:bCs/>
          <w:rtl/>
        </w:rPr>
        <w:t xml:space="preserve">לסיכום: לאחר חמש שנים של "בדיקות" נציבות שרות המדינה כלל לא </w:t>
      </w:r>
      <w:proofErr w:type="spellStart"/>
      <w:r w:rsidRPr="00466B25">
        <w:rPr>
          <w:rFonts w:hint="cs"/>
          <w:b/>
          <w:bCs/>
          <w:rtl/>
        </w:rPr>
        <w:t>מתיחסת</w:t>
      </w:r>
      <w:proofErr w:type="spellEnd"/>
      <w:r w:rsidRPr="00466B25">
        <w:rPr>
          <w:rFonts w:hint="cs"/>
          <w:b/>
          <w:bCs/>
          <w:rtl/>
        </w:rPr>
        <w:t xml:space="preserve"> לרוב הטיעונים שהעליתי ואינה נותנת הסברים ממשיים מדוע הם שללו ממני, אחרי שפרשתי, זכויות </w:t>
      </w:r>
      <w:proofErr w:type="spellStart"/>
      <w:r w:rsidRPr="00466B25">
        <w:rPr>
          <w:rFonts w:hint="cs"/>
          <w:b/>
          <w:bCs/>
          <w:rtl/>
        </w:rPr>
        <w:t>גימלה</w:t>
      </w:r>
      <w:proofErr w:type="spellEnd"/>
      <w:r w:rsidRPr="00466B25">
        <w:rPr>
          <w:rFonts w:hint="cs"/>
          <w:b/>
          <w:bCs/>
          <w:rtl/>
        </w:rPr>
        <w:t xml:space="preserve"> המגיעות לי לפי האמור בחוזה שלי וההבנות </w:t>
      </w:r>
      <w:proofErr w:type="spellStart"/>
      <w:r w:rsidRPr="00466B25">
        <w:rPr>
          <w:rFonts w:hint="cs"/>
          <w:b/>
          <w:bCs/>
          <w:rtl/>
        </w:rPr>
        <w:t>הנילוות</w:t>
      </w:r>
      <w:proofErr w:type="spellEnd"/>
      <w:r w:rsidRPr="00466B25">
        <w:rPr>
          <w:rFonts w:hint="cs"/>
          <w:b/>
          <w:bCs/>
          <w:rtl/>
        </w:rPr>
        <w:t xml:space="preserve">, כפי שהובנו על ידי וע"י כל המערכת ושבעבורן ניכו ממני שנים ארוכות את חלקי במימונם, </w:t>
      </w:r>
      <w:proofErr w:type="spellStart"/>
      <w:r w:rsidRPr="00466B25">
        <w:rPr>
          <w:rFonts w:hint="cs"/>
          <w:b/>
          <w:bCs/>
          <w:rtl/>
        </w:rPr>
        <w:t>הכל</w:t>
      </w:r>
      <w:proofErr w:type="spellEnd"/>
      <w:r w:rsidRPr="00466B25">
        <w:rPr>
          <w:rFonts w:hint="cs"/>
          <w:b/>
          <w:bCs/>
          <w:rtl/>
        </w:rPr>
        <w:t xml:space="preserve"> כמפורט במכתביי הקודמים. </w:t>
      </w:r>
    </w:p>
    <w:p w:rsidR="00466B25" w:rsidRPr="00466B25" w:rsidRDefault="00466B25" w:rsidP="00466B25">
      <w:pPr>
        <w:rPr>
          <w:b/>
          <w:bCs/>
          <w:rtl/>
        </w:rPr>
      </w:pPr>
    </w:p>
    <w:p w:rsidR="00466B25" w:rsidRPr="00466B25" w:rsidRDefault="00466B25" w:rsidP="00466B25">
      <w:pPr>
        <w:rPr>
          <w:b/>
          <w:bCs/>
          <w:rtl/>
        </w:rPr>
      </w:pPr>
      <w:r w:rsidRPr="00466B25">
        <w:rPr>
          <w:rFonts w:hint="cs"/>
          <w:b/>
          <w:bCs/>
          <w:rtl/>
        </w:rPr>
        <w:t xml:space="preserve">אני מאד </w:t>
      </w:r>
      <w:proofErr w:type="spellStart"/>
      <w:r w:rsidRPr="00466B25">
        <w:rPr>
          <w:rFonts w:hint="cs"/>
          <w:b/>
          <w:bCs/>
          <w:rtl/>
        </w:rPr>
        <w:t>מקוה</w:t>
      </w:r>
      <w:proofErr w:type="spellEnd"/>
      <w:r w:rsidRPr="00466B25">
        <w:rPr>
          <w:rFonts w:hint="cs"/>
          <w:b/>
          <w:bCs/>
          <w:rtl/>
        </w:rPr>
        <w:t xml:space="preserve"> שהתערבותכם תתקן את העוול המתמשך הנגרם לי.   </w:t>
      </w:r>
    </w:p>
    <w:p w:rsidR="00466B25" w:rsidRPr="00466B25" w:rsidRDefault="00466B25" w:rsidP="00466B25">
      <w:pPr>
        <w:rPr>
          <w:b/>
          <w:bCs/>
          <w:rtl/>
        </w:rPr>
      </w:pPr>
      <w:r w:rsidRPr="00466B25"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         בברכה</w:t>
      </w:r>
    </w:p>
    <w:p w:rsidR="00466B25" w:rsidRPr="00466B25" w:rsidRDefault="00466B25" w:rsidP="00466B25">
      <w:pPr>
        <w:rPr>
          <w:b/>
          <w:bCs/>
          <w:rtl/>
        </w:rPr>
      </w:pPr>
      <w:r w:rsidRPr="00466B25">
        <w:rPr>
          <w:rFonts w:hint="cs"/>
          <w:b/>
          <w:bCs/>
          <w:rtl/>
        </w:rPr>
        <w:t xml:space="preserve">                                                                                                           </w:t>
      </w:r>
    </w:p>
    <w:p w:rsidR="00466B25" w:rsidRPr="00466B25" w:rsidRDefault="00466B25" w:rsidP="00466B25">
      <w:r w:rsidRPr="00466B25">
        <w:rPr>
          <w:rFonts w:hint="cs"/>
          <w:b/>
          <w:bCs/>
          <w:rtl/>
        </w:rPr>
        <w:t xml:space="preserve">                                                                      </w:t>
      </w:r>
      <w:r w:rsidRPr="00466B25">
        <w:rPr>
          <w:rFonts w:hint="cs"/>
          <w:rtl/>
        </w:rPr>
        <w:t xml:space="preserve"> </w:t>
      </w:r>
    </w:p>
    <w:p w:rsidR="00D951D6" w:rsidRDefault="00466B25">
      <w:bookmarkStart w:id="0" w:name="_GoBack"/>
      <w:bookmarkEnd w:id="0"/>
    </w:p>
    <w:sectPr w:rsidR="00D951D6" w:rsidSect="00B068AF">
      <w:footerReference w:type="default" r:id="rId5"/>
      <w:pgSz w:w="11906" w:h="16838"/>
      <w:pgMar w:top="1440" w:right="1841" w:bottom="1440" w:left="1800" w:header="708" w:footer="708" w:gutter="0"/>
      <w:pgNumType w:start="1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81818864"/>
      <w:docPartObj>
        <w:docPartGallery w:val="Page Numbers (Bottom of Page)"/>
        <w:docPartUnique/>
      </w:docPartObj>
    </w:sdtPr>
    <w:sdtEndPr/>
    <w:sdtContent>
      <w:p w:rsidR="00AB1636" w:rsidRDefault="00466B25">
        <w:pPr>
          <w:pStyle w:val="a3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466B25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AB1636" w:rsidRDefault="00466B25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45BD4"/>
    <w:multiLevelType w:val="hybridMultilevel"/>
    <w:tmpl w:val="1E62066A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904318"/>
    <w:multiLevelType w:val="hybridMultilevel"/>
    <w:tmpl w:val="747AEB68"/>
    <w:lvl w:ilvl="0" w:tplc="31420D12">
      <w:start w:val="53"/>
      <w:numFmt w:val="bullet"/>
      <w:lvlText w:val=""/>
      <w:lvlJc w:val="left"/>
      <w:pPr>
        <w:ind w:left="403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25"/>
    <w:rsid w:val="003460F1"/>
    <w:rsid w:val="00466B25"/>
    <w:rsid w:val="00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17E6B-75CB-40C7-B011-3EA0C1F2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6B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uiPriority w:val="99"/>
    <w:rsid w:val="0046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1</cp:revision>
  <dcterms:created xsi:type="dcterms:W3CDTF">2017-10-16T14:53:00Z</dcterms:created>
  <dcterms:modified xsi:type="dcterms:W3CDTF">2017-10-16T14:55:00Z</dcterms:modified>
</cp:coreProperties>
</file>