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C3DB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3A21573D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2C1C9F38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114FBF0" w14:textId="77777777" w:rsidR="00BF4516" w:rsidRDefault="00BF4516" w:rsidP="00BF4516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7D1202CC" w14:textId="77777777" w:rsidR="00BF4516" w:rsidRDefault="00BF4516" w:rsidP="00BF4516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3702396E" w14:textId="77777777" w:rsidR="00BF4516" w:rsidRDefault="00BF4516" w:rsidP="00BF4516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5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6B620B66" w14:textId="77777777" w:rsidR="00BF4516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B5C2B1D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09EEB01C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4E6DAF8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476B29CB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752F3872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2F95563D" w14:textId="77777777" w:rsidR="00BF4516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F1A4080" w14:textId="13B77ADD" w:rsidR="00BF4516" w:rsidRDefault="00BF4516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F59AE40" w14:textId="77777777" w:rsidR="003F0EF0" w:rsidRDefault="003F0EF0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</w:p>
    <w:p w14:paraId="5611B1C2" w14:textId="77777777" w:rsidR="003F0EF0" w:rsidRDefault="003F0EF0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</w:p>
    <w:p w14:paraId="7D2915E9" w14:textId="77777777" w:rsidR="00BF4516" w:rsidRDefault="00BF4516" w:rsidP="00BF4516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A7333D7" w14:textId="49248CD5" w:rsidR="00BF4516" w:rsidRDefault="00BF4516" w:rsidP="00BF4516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ודעת התובע </w:t>
      </w: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בענין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המשך הליכים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098A4B6" w14:textId="77777777" w:rsidR="00BF4516" w:rsidRDefault="00BF4516" w:rsidP="00BF4516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73977E" w14:textId="77777777" w:rsidR="00BF4516" w:rsidRPr="0035345E" w:rsidRDefault="00BF4516" w:rsidP="00BF4516">
      <w:pPr>
        <w:tabs>
          <w:tab w:val="left" w:pos="5471"/>
        </w:tabs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14:paraId="35BFC598" w14:textId="4B0BA560" w:rsidR="001E120F" w:rsidRPr="006D5144" w:rsidRDefault="00BF4516" w:rsidP="00BF451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8E0E60">
        <w:rPr>
          <w:rFonts w:ascii="David" w:hAnsi="David" w:cs="David" w:hint="cs"/>
          <w:sz w:val="24"/>
          <w:szCs w:val="24"/>
          <w:rtl/>
        </w:rPr>
        <w:t xml:space="preserve">החלטת השופט מיום 10.12.2023 </w:t>
      </w:r>
      <w:proofErr w:type="spellStart"/>
      <w:r w:rsidRPr="008E0E60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8E0E60">
        <w:rPr>
          <w:rFonts w:ascii="David" w:hAnsi="David" w:cs="David" w:hint="cs"/>
          <w:sz w:val="24"/>
          <w:szCs w:val="24"/>
          <w:rtl/>
        </w:rPr>
        <w:t xml:space="preserve"> שעל התובע להודיע </w:t>
      </w:r>
      <w:r w:rsidR="00E94FC9" w:rsidRPr="008E0E60">
        <w:rPr>
          <w:rFonts w:ascii="David" w:hAnsi="David" w:cs="David" w:hint="cs"/>
          <w:sz w:val="24"/>
          <w:szCs w:val="24"/>
          <w:rtl/>
        </w:rPr>
        <w:t>את עמדתו בנדון</w:t>
      </w:r>
      <w:r w:rsidR="00017778">
        <w:rPr>
          <w:rFonts w:ascii="David" w:hAnsi="David" w:cs="David" w:hint="cs"/>
          <w:sz w:val="24"/>
          <w:szCs w:val="24"/>
          <w:rtl/>
        </w:rPr>
        <w:t xml:space="preserve"> עד 25.12.23</w:t>
      </w:r>
      <w:r w:rsidR="00E94FC9" w:rsidRPr="008E0E60">
        <w:rPr>
          <w:rFonts w:ascii="David" w:hAnsi="David" w:cs="David" w:hint="cs"/>
          <w:sz w:val="24"/>
          <w:szCs w:val="24"/>
          <w:rtl/>
        </w:rPr>
        <w:t xml:space="preserve"> "לאור עמדת המדינה", </w:t>
      </w:r>
      <w:r w:rsidR="008E0E60" w:rsidRPr="008E0E60">
        <w:rPr>
          <w:rFonts w:ascii="David" w:hAnsi="David" w:cs="David" w:hint="cs"/>
          <w:sz w:val="24"/>
          <w:szCs w:val="24"/>
          <w:rtl/>
        </w:rPr>
        <w:t>המסתיימת במילים:</w:t>
      </w:r>
      <w:r w:rsidR="00E94FC9" w:rsidRPr="008E0E60">
        <w:rPr>
          <w:rFonts w:ascii="David" w:hAnsi="David" w:cs="David" w:hint="cs"/>
          <w:sz w:val="24"/>
          <w:szCs w:val="24"/>
          <w:rtl/>
        </w:rPr>
        <w:t xml:space="preserve"> </w:t>
      </w:r>
      <w:r w:rsidR="00E94FC9" w:rsidRPr="006D5144">
        <w:rPr>
          <w:rFonts w:ascii="David" w:hAnsi="David" w:cs="David" w:hint="cs"/>
          <w:b/>
          <w:bCs/>
          <w:sz w:val="24"/>
          <w:szCs w:val="24"/>
          <w:rtl/>
        </w:rPr>
        <w:t xml:space="preserve">"המדינה פתוחה כמובן לשקול </w:t>
      </w:r>
      <w:r w:rsidR="001E120F" w:rsidRPr="006D5144">
        <w:rPr>
          <w:rFonts w:ascii="David" w:hAnsi="David" w:cs="David" w:hint="cs"/>
          <w:b/>
          <w:bCs/>
          <w:sz w:val="24"/>
          <w:szCs w:val="24"/>
          <w:rtl/>
        </w:rPr>
        <w:t>כ</w:t>
      </w:r>
      <w:r w:rsidR="00E94FC9" w:rsidRPr="006D5144">
        <w:rPr>
          <w:rFonts w:ascii="David" w:hAnsi="David" w:cs="David" w:hint="cs"/>
          <w:b/>
          <w:bCs/>
          <w:sz w:val="24"/>
          <w:szCs w:val="24"/>
          <w:rtl/>
        </w:rPr>
        <w:t>ל הצעת פשרה שתובא בפניה בדרכים המקובלות"</w:t>
      </w:r>
    </w:p>
    <w:p w14:paraId="60051FD3" w14:textId="77777777" w:rsidR="008E0E60" w:rsidRPr="008E0E60" w:rsidRDefault="008E0E60" w:rsidP="008E0E60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16"/>
          <w:szCs w:val="16"/>
        </w:rPr>
      </w:pPr>
    </w:p>
    <w:p w14:paraId="5A9CA49F" w14:textId="02A503E9" w:rsidR="008E0E60" w:rsidRDefault="008E0E60" w:rsidP="00BF451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כפי שהבהרתי פעמים רבות, אני בהחלט מעונין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מהליך משפטי ארוך ויקר, שלטעמי מהוה גם בזבוז משווע של משאבים וכספי ציבור</w:t>
      </w:r>
      <w:r w:rsidR="002579E4">
        <w:rPr>
          <w:rFonts w:ascii="David" w:hAnsi="David" w:cs="David" w:hint="cs"/>
          <w:sz w:val="24"/>
          <w:szCs w:val="24"/>
          <w:rtl/>
        </w:rPr>
        <w:t>,</w:t>
      </w:r>
      <w:r w:rsidR="00017778">
        <w:rPr>
          <w:rFonts w:ascii="David" w:hAnsi="David" w:cs="David" w:hint="cs"/>
          <w:sz w:val="24"/>
          <w:szCs w:val="24"/>
          <w:rtl/>
        </w:rPr>
        <w:t xml:space="preserve"> ו</w:t>
      </w:r>
      <w:r w:rsidR="002579E4">
        <w:rPr>
          <w:rFonts w:ascii="David" w:hAnsi="David" w:cs="David" w:hint="cs"/>
          <w:sz w:val="24"/>
          <w:szCs w:val="24"/>
          <w:rtl/>
        </w:rPr>
        <w:t>לשם כך הבעתי נכונותי</w:t>
      </w:r>
      <w:r w:rsidR="00017778">
        <w:rPr>
          <w:rFonts w:ascii="David" w:hAnsi="David" w:cs="David" w:hint="cs"/>
          <w:sz w:val="24"/>
          <w:szCs w:val="24"/>
          <w:rtl/>
        </w:rPr>
        <w:t xml:space="preserve"> </w:t>
      </w:r>
      <w:r w:rsidR="002579E4">
        <w:rPr>
          <w:rFonts w:ascii="David" w:hAnsi="David" w:cs="David" w:hint="cs"/>
          <w:sz w:val="24"/>
          <w:szCs w:val="24"/>
          <w:rtl/>
        </w:rPr>
        <w:t xml:space="preserve">אף </w:t>
      </w:r>
      <w:r w:rsidR="00017778">
        <w:rPr>
          <w:rFonts w:ascii="David" w:hAnsi="David" w:cs="David" w:hint="cs"/>
          <w:sz w:val="24"/>
          <w:szCs w:val="24"/>
          <w:rtl/>
        </w:rPr>
        <w:t>להתפשר על בסיס עובדות מוסכמות</w:t>
      </w:r>
      <w:r>
        <w:rPr>
          <w:rFonts w:ascii="David" w:hAnsi="David" w:cs="David" w:hint="cs"/>
          <w:sz w:val="24"/>
          <w:szCs w:val="24"/>
          <w:rtl/>
        </w:rPr>
        <w:t>. שמחתי ל</w:t>
      </w:r>
      <w:r>
        <w:rPr>
          <w:rFonts w:ascii="David" w:hAnsi="David" w:cs="David" w:hint="cs"/>
          <w:sz w:val="24"/>
          <w:szCs w:val="24"/>
          <w:rtl/>
        </w:rPr>
        <w:t xml:space="preserve">כן </w:t>
      </w:r>
      <w:r>
        <w:rPr>
          <w:rFonts w:ascii="David" w:hAnsi="David" w:cs="David" w:hint="cs"/>
          <w:sz w:val="24"/>
          <w:szCs w:val="24"/>
          <w:rtl/>
        </w:rPr>
        <w:t>שהמדינה</w:t>
      </w:r>
      <w:r w:rsidR="00490B5F">
        <w:rPr>
          <w:rFonts w:ascii="David" w:hAnsi="David" w:cs="David" w:hint="cs"/>
          <w:sz w:val="24"/>
          <w:szCs w:val="24"/>
          <w:rtl/>
        </w:rPr>
        <w:t>,</w:t>
      </w:r>
      <w:r w:rsidR="00D842F8">
        <w:rPr>
          <w:rFonts w:ascii="David" w:hAnsi="David" w:cs="David" w:hint="cs"/>
          <w:sz w:val="24"/>
          <w:szCs w:val="24"/>
          <w:rtl/>
        </w:rPr>
        <w:t xml:space="preserve"> לראשונה, </w:t>
      </w:r>
      <w:r>
        <w:rPr>
          <w:rFonts w:ascii="David" w:hAnsi="David" w:cs="David" w:hint="cs"/>
          <w:sz w:val="24"/>
          <w:szCs w:val="24"/>
          <w:rtl/>
        </w:rPr>
        <w:t>מביעה</w:t>
      </w:r>
      <w:r w:rsidR="002579E4">
        <w:rPr>
          <w:rFonts w:ascii="David" w:hAnsi="David" w:cs="David" w:hint="cs"/>
          <w:sz w:val="24"/>
          <w:szCs w:val="24"/>
          <w:rtl/>
        </w:rPr>
        <w:t xml:space="preserve"> </w:t>
      </w:r>
      <w:r w:rsidR="00D842F8">
        <w:rPr>
          <w:rFonts w:ascii="David" w:hAnsi="David" w:cs="David" w:hint="cs"/>
          <w:sz w:val="24"/>
          <w:szCs w:val="24"/>
          <w:rtl/>
        </w:rPr>
        <w:t xml:space="preserve">גם היא </w:t>
      </w:r>
      <w:r w:rsidR="006D5144">
        <w:rPr>
          <w:rFonts w:ascii="David" w:hAnsi="David" w:cs="David" w:hint="cs"/>
          <w:sz w:val="24"/>
          <w:szCs w:val="24"/>
          <w:rtl/>
        </w:rPr>
        <w:t xml:space="preserve">נכונות </w:t>
      </w:r>
      <w:r>
        <w:rPr>
          <w:rFonts w:ascii="David" w:hAnsi="David" w:cs="David" w:hint="cs"/>
          <w:sz w:val="24"/>
          <w:szCs w:val="24"/>
          <w:rtl/>
        </w:rPr>
        <w:t>לשקול הצעת פשרה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905F2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08D52DA" w14:textId="77777777" w:rsidR="00FA57F4" w:rsidRPr="00FA57F4" w:rsidRDefault="00FA57F4" w:rsidP="00FA57F4">
      <w:pPr>
        <w:pStyle w:val="a3"/>
        <w:rPr>
          <w:rFonts w:ascii="David" w:hAnsi="David" w:cs="David" w:hint="cs"/>
          <w:b/>
          <w:bCs/>
          <w:sz w:val="16"/>
          <w:szCs w:val="16"/>
          <w:rtl/>
        </w:rPr>
      </w:pPr>
    </w:p>
    <w:p w14:paraId="4478E692" w14:textId="4CD7E1CF" w:rsidR="00F16301" w:rsidRDefault="003F0EF0" w:rsidP="00FA57F4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מובן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 </w:t>
      </w:r>
      <w:r w:rsidR="00F16301">
        <w:rPr>
          <w:rFonts w:ascii="David" w:hAnsi="David" w:cs="David" w:hint="cs"/>
          <w:sz w:val="24"/>
          <w:szCs w:val="24"/>
          <w:rtl/>
        </w:rPr>
        <w:t xml:space="preserve">לכן </w:t>
      </w:r>
      <w:r w:rsidR="002579E4" w:rsidRPr="00FA57F4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 xml:space="preserve">מתן הודעה </w:t>
      </w:r>
      <w:r w:rsidR="00F25576">
        <w:rPr>
          <w:rFonts w:ascii="David" w:hAnsi="David" w:cs="David" w:hint="cs"/>
          <w:sz w:val="24"/>
          <w:szCs w:val="24"/>
          <w:rtl/>
        </w:rPr>
        <w:t xml:space="preserve">לבית הדין </w:t>
      </w:r>
      <w:r>
        <w:rPr>
          <w:rFonts w:ascii="David" w:hAnsi="David" w:cs="David" w:hint="cs"/>
          <w:sz w:val="24"/>
          <w:szCs w:val="24"/>
          <w:rtl/>
        </w:rPr>
        <w:t>ב</w:t>
      </w:r>
      <w:r w:rsidR="00D842F8" w:rsidRPr="00FA57F4">
        <w:rPr>
          <w:rFonts w:ascii="David" w:hAnsi="David" w:cs="David" w:hint="cs"/>
          <w:sz w:val="24"/>
          <w:szCs w:val="24"/>
          <w:rtl/>
        </w:rPr>
        <w:t xml:space="preserve">נושא שבנדון, כמתבקש מהחלטת השופט לעיל, 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D842F8" w:rsidRPr="00FA57F4">
        <w:rPr>
          <w:rFonts w:ascii="David" w:hAnsi="David" w:cs="David" w:hint="cs"/>
          <w:sz w:val="24"/>
          <w:szCs w:val="24"/>
          <w:rtl/>
        </w:rPr>
        <w:t xml:space="preserve">שאלת 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הצורך במינוי עו"ד להמשך המשפט, </w:t>
      </w:r>
      <w:r w:rsidR="00905F29">
        <w:rPr>
          <w:rFonts w:ascii="David" w:hAnsi="David" w:cs="David" w:hint="cs"/>
          <w:sz w:val="24"/>
          <w:szCs w:val="24"/>
          <w:rtl/>
        </w:rPr>
        <w:t xml:space="preserve">תושפע </w:t>
      </w:r>
      <w:r w:rsidR="00F16301">
        <w:rPr>
          <w:rFonts w:ascii="David" w:hAnsi="David" w:cs="David" w:hint="cs"/>
          <w:sz w:val="24"/>
          <w:szCs w:val="24"/>
          <w:rtl/>
        </w:rPr>
        <w:t xml:space="preserve">מתגובת המדינה להצעת פשרה שהגשתה תתאפשר רק לכשיתברר מהי הדרך המקובלת. </w:t>
      </w:r>
    </w:p>
    <w:p w14:paraId="6D32455B" w14:textId="77777777" w:rsidR="00F16301" w:rsidRPr="00F25576" w:rsidRDefault="00F16301" w:rsidP="00F16301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674723E4" w14:textId="5F94BE6F" w:rsidR="00490B5F" w:rsidRPr="00FA57F4" w:rsidRDefault="00D842F8" w:rsidP="00FA57F4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 w:rsidRPr="00FA57F4">
        <w:rPr>
          <w:rFonts w:ascii="David" w:hAnsi="David" w:cs="David" w:hint="cs"/>
          <w:sz w:val="24"/>
          <w:szCs w:val="24"/>
          <w:rtl/>
        </w:rPr>
        <w:t xml:space="preserve">לשם כך ניסיתי מספר פעמים </w:t>
      </w:r>
      <w:r w:rsidRPr="00FA57F4">
        <w:rPr>
          <w:rFonts w:ascii="David" w:hAnsi="David" w:cs="David" w:hint="cs"/>
          <w:sz w:val="24"/>
          <w:szCs w:val="24"/>
          <w:rtl/>
        </w:rPr>
        <w:t xml:space="preserve">ליצור קשר טלפוני עם ב"כ הפרקליטות עו"ד מינו </w:t>
      </w:r>
      <w:proofErr w:type="spellStart"/>
      <w:r w:rsidRPr="00FA57F4">
        <w:rPr>
          <w:rFonts w:ascii="David" w:hAnsi="David" w:cs="David" w:hint="cs"/>
          <w:sz w:val="24"/>
          <w:szCs w:val="24"/>
          <w:rtl/>
        </w:rPr>
        <w:t>אליאסיאן</w:t>
      </w:r>
      <w:proofErr w:type="spellEnd"/>
      <w:r w:rsidR="00490B5F" w:rsidRPr="00FA57F4">
        <w:rPr>
          <w:rFonts w:ascii="David" w:hAnsi="David" w:cs="David" w:hint="cs"/>
          <w:sz w:val="24"/>
          <w:szCs w:val="24"/>
          <w:rtl/>
        </w:rPr>
        <w:t xml:space="preserve">, </w:t>
      </w:r>
      <w:r w:rsidR="00F25576">
        <w:rPr>
          <w:rFonts w:ascii="David" w:hAnsi="David" w:cs="David" w:hint="cs"/>
          <w:sz w:val="24"/>
          <w:szCs w:val="24"/>
          <w:rtl/>
        </w:rPr>
        <w:t>כדי</w:t>
      </w:r>
      <w:r w:rsidR="00490B5F" w:rsidRPr="00FA57F4">
        <w:rPr>
          <w:rFonts w:ascii="David" w:hAnsi="David" w:cs="David" w:hint="cs"/>
          <w:sz w:val="24"/>
          <w:szCs w:val="24"/>
          <w:rtl/>
        </w:rPr>
        <w:t xml:space="preserve"> לברר מה הן "הדרכים המקובלות" להציע הצעת פשרה</w:t>
      </w:r>
      <w:r w:rsidR="00490B5F" w:rsidRPr="00FA57F4">
        <w:rPr>
          <w:rFonts w:ascii="David" w:hAnsi="David" w:cs="David" w:hint="cs"/>
          <w:sz w:val="24"/>
          <w:szCs w:val="24"/>
          <w:rtl/>
        </w:rPr>
        <w:t>, אך לצערי בינתיים ללא הצלחה.</w:t>
      </w:r>
      <w:r w:rsidRPr="00FA57F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F38E0D5" w14:textId="77777777" w:rsidR="00490B5F" w:rsidRPr="00FA57F4" w:rsidRDefault="00490B5F" w:rsidP="00490B5F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0F6E221A" w14:textId="19662801" w:rsidR="006D5144" w:rsidRPr="00537376" w:rsidRDefault="00537376" w:rsidP="00BF451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 w:rsidRPr="00537376">
        <w:rPr>
          <w:rFonts w:ascii="David" w:hAnsi="David" w:cs="David" w:hint="cs"/>
          <w:sz w:val="24"/>
          <w:szCs w:val="24"/>
          <w:rtl/>
        </w:rPr>
        <w:t xml:space="preserve">אני מבקש לכן שהפרקליטות תבהיר מהי הדרך המקובלת להגשת הצעה לפשרה ושבית הדין יאפשר למצות לאחר מכן את האפשרות להגיע לעמק השווה בין הצדדים. </w:t>
      </w:r>
      <w:r w:rsidR="00DA2207">
        <w:rPr>
          <w:rFonts w:ascii="David" w:hAnsi="David" w:cs="David" w:hint="cs"/>
          <w:sz w:val="24"/>
          <w:szCs w:val="24"/>
          <w:rtl/>
        </w:rPr>
        <w:t xml:space="preserve"> </w:t>
      </w:r>
      <w:r w:rsidRPr="00537376">
        <w:rPr>
          <w:rFonts w:ascii="David" w:hAnsi="David" w:cs="David" w:hint="cs"/>
          <w:sz w:val="24"/>
          <w:szCs w:val="24"/>
          <w:rtl/>
        </w:rPr>
        <w:t xml:space="preserve">כדי </w:t>
      </w:r>
      <w:proofErr w:type="spellStart"/>
      <w:r w:rsidRPr="00537376"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 w:rsidRPr="00537376">
        <w:rPr>
          <w:rFonts w:ascii="David" w:hAnsi="David" w:cs="David" w:hint="cs"/>
          <w:sz w:val="24"/>
          <w:szCs w:val="24"/>
          <w:rtl/>
        </w:rPr>
        <w:t xml:space="preserve"> מאי הבנות ו/או </w:t>
      </w:r>
      <w:proofErr w:type="spellStart"/>
      <w:r w:rsidRPr="00537376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Pr="00537376">
        <w:rPr>
          <w:rFonts w:ascii="David" w:hAnsi="David" w:cs="David" w:hint="cs"/>
          <w:sz w:val="24"/>
          <w:szCs w:val="24"/>
          <w:rtl/>
        </w:rPr>
        <w:t xml:space="preserve"> לא עניינית לתוכן ההצעה שתוגש, כפי שקרה בעבר, (כמתואר למשל במסמך "הבהרת התובע" מיום 28.11.2023</w:t>
      </w:r>
      <w:r w:rsidR="00DA2207">
        <w:rPr>
          <w:rFonts w:ascii="David" w:hAnsi="David" w:cs="David" w:hint="cs"/>
          <w:sz w:val="24"/>
          <w:szCs w:val="24"/>
          <w:rtl/>
        </w:rPr>
        <w:t xml:space="preserve"> שהוגש לביה"ד</w:t>
      </w:r>
      <w:r w:rsidRPr="00537376">
        <w:rPr>
          <w:rFonts w:ascii="David" w:hAnsi="David" w:cs="David" w:hint="cs"/>
          <w:sz w:val="24"/>
          <w:szCs w:val="24"/>
          <w:rtl/>
        </w:rPr>
        <w:t>) יהיה על הצדדים לקיים דיון משותף, שבו ילובנו מרכיבי הצעת הפשרה, באופן הוגן ובנפש חפצה</w:t>
      </w:r>
      <w:r w:rsidRPr="00537376">
        <w:rPr>
          <w:rFonts w:ascii="David" w:hAnsi="David" w:cs="David" w:hint="cs"/>
          <w:sz w:val="24"/>
          <w:szCs w:val="24"/>
          <w:rtl/>
        </w:rPr>
        <w:t>.</w:t>
      </w:r>
    </w:p>
    <w:p w14:paraId="2DDCCA7F" w14:textId="77777777" w:rsidR="00183436" w:rsidRPr="00F25576" w:rsidRDefault="00183436" w:rsidP="00183436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6FAA3459" w14:textId="098717FB" w:rsidR="00BF4516" w:rsidRPr="003F0EF0" w:rsidRDefault="00183436" w:rsidP="00F2557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 w:right="142"/>
        <w:jc w:val="both"/>
        <w:rPr>
          <w:rFonts w:ascii="David" w:hAnsi="David" w:cs="David"/>
          <w:sz w:val="24"/>
          <w:szCs w:val="24"/>
        </w:rPr>
      </w:pPr>
      <w:r w:rsidRPr="003F0EF0">
        <w:rPr>
          <w:rFonts w:ascii="David" w:hAnsi="David" w:cs="David" w:hint="cs"/>
          <w:sz w:val="24"/>
          <w:szCs w:val="24"/>
          <w:rtl/>
        </w:rPr>
        <w:t xml:space="preserve">ככל שהמהלך יצלח, </w:t>
      </w:r>
      <w:r w:rsidR="00F25576">
        <w:rPr>
          <w:rFonts w:ascii="David" w:hAnsi="David" w:cs="David" w:hint="cs"/>
          <w:sz w:val="24"/>
          <w:szCs w:val="24"/>
          <w:rtl/>
        </w:rPr>
        <w:t xml:space="preserve">ויגובשו הסכמות, </w:t>
      </w:r>
      <w:r w:rsidRPr="003F0EF0">
        <w:rPr>
          <w:rFonts w:ascii="David" w:hAnsi="David" w:cs="David" w:hint="cs"/>
          <w:sz w:val="24"/>
          <w:szCs w:val="24"/>
          <w:rtl/>
        </w:rPr>
        <w:t xml:space="preserve">יתייתר ממילא הצורך בהודעה המבוקשת </w:t>
      </w:r>
      <w:r w:rsidR="00F25576">
        <w:rPr>
          <w:rFonts w:ascii="David" w:hAnsi="David" w:cs="David" w:hint="cs"/>
          <w:sz w:val="24"/>
          <w:szCs w:val="24"/>
          <w:rtl/>
        </w:rPr>
        <w:t>מה</w:t>
      </w:r>
      <w:r w:rsidRPr="003F0EF0">
        <w:rPr>
          <w:rFonts w:ascii="David" w:hAnsi="David" w:cs="David" w:hint="cs"/>
          <w:sz w:val="24"/>
          <w:szCs w:val="24"/>
          <w:rtl/>
        </w:rPr>
        <w:t>תובע.</w:t>
      </w:r>
      <w:r w:rsidR="00BF4516" w:rsidRPr="003F0EF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FA7227B" w14:textId="77777777" w:rsidR="00BF4516" w:rsidRDefault="00BF4516" w:rsidP="00BF4516">
      <w:pPr>
        <w:autoSpaceDE w:val="0"/>
        <w:autoSpaceDN w:val="0"/>
        <w:adjustRightInd w:val="0"/>
        <w:spacing w:after="0" w:line="360" w:lineRule="auto"/>
        <w:ind w:right="368"/>
        <w:jc w:val="both"/>
        <w:rPr>
          <w:rFonts w:ascii="David" w:hAnsi="David" w:cs="David"/>
          <w:sz w:val="24"/>
          <w:szCs w:val="24"/>
          <w:rtl/>
        </w:rPr>
      </w:pPr>
    </w:p>
    <w:p w14:paraId="5D9D6D0C" w14:textId="77777777" w:rsidR="00F16301" w:rsidRDefault="00BF4516" w:rsidP="00F16301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</w:p>
    <w:p w14:paraId="55E8D885" w14:textId="77777777" w:rsidR="00F25576" w:rsidRDefault="00F16301" w:rsidP="00F25576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="00BF4516">
        <w:rPr>
          <w:rFonts w:ascii="David" w:hAnsi="David" w:cs="David" w:hint="cs"/>
          <w:sz w:val="24"/>
          <w:szCs w:val="24"/>
          <w:rtl/>
        </w:rPr>
        <w:t>שמעון הכסטר</w:t>
      </w:r>
      <w:r w:rsidR="00BF4516">
        <w:rPr>
          <w:rFonts w:ascii="David" w:hAnsi="David" w:cs="David"/>
          <w:sz w:val="24"/>
          <w:szCs w:val="24"/>
        </w:rPr>
        <w:t xml:space="preserve"> </w:t>
      </w:r>
    </w:p>
    <w:p w14:paraId="70606430" w14:textId="77777777" w:rsidR="00F25576" w:rsidRDefault="00F25576" w:rsidP="00F25576">
      <w:pPr>
        <w:autoSpaceDE w:val="0"/>
        <w:autoSpaceDN w:val="0"/>
        <w:adjustRightInd w:val="0"/>
        <w:spacing w:after="0" w:line="360" w:lineRule="auto"/>
        <w:ind w:right="368"/>
        <w:rPr>
          <w:rFonts w:ascii="David" w:hAnsi="David" w:cs="David"/>
          <w:sz w:val="24"/>
          <w:szCs w:val="24"/>
        </w:rPr>
      </w:pPr>
    </w:p>
    <w:p w14:paraId="1059E42A" w14:textId="11C250B7" w:rsidR="003967FD" w:rsidRPr="00BF4516" w:rsidRDefault="00BF4516" w:rsidP="00537376">
      <w:pPr>
        <w:autoSpaceDE w:val="0"/>
        <w:autoSpaceDN w:val="0"/>
        <w:adjustRightInd w:val="0"/>
        <w:spacing w:after="0" w:line="360" w:lineRule="auto"/>
        <w:ind w:right="368"/>
      </w:pPr>
      <w:r>
        <w:rPr>
          <w:rFonts w:ascii="David" w:hAnsi="David" w:cs="David"/>
          <w:sz w:val="24"/>
          <w:szCs w:val="24"/>
        </w:rPr>
        <w:t xml:space="preserve">   </w:t>
      </w:r>
      <w:r>
        <w:rPr>
          <w:rFonts w:hint="cs"/>
          <w:rtl/>
        </w:rPr>
        <w:t>ירושלים, 2</w:t>
      </w:r>
      <w:r w:rsidR="003F0EF0">
        <w:rPr>
          <w:rFonts w:hint="cs"/>
          <w:rtl/>
        </w:rPr>
        <w:t>5</w:t>
      </w:r>
      <w:r>
        <w:rPr>
          <w:rFonts w:hint="cs"/>
          <w:rtl/>
        </w:rPr>
        <w:t xml:space="preserve"> ל</w:t>
      </w:r>
      <w:r w:rsidR="003F0EF0">
        <w:rPr>
          <w:rFonts w:hint="cs"/>
          <w:rtl/>
        </w:rPr>
        <w:t>דצמ</w:t>
      </w:r>
      <w:r>
        <w:rPr>
          <w:rFonts w:hint="cs"/>
          <w:rtl/>
        </w:rPr>
        <w:t>בר 2023</w:t>
      </w:r>
      <w:r w:rsidR="00537376">
        <w:rPr>
          <w:rFonts w:hint="cs"/>
          <w:rtl/>
        </w:rPr>
        <w:t>.</w:t>
      </w:r>
    </w:p>
    <w:sectPr w:rsidR="003967FD" w:rsidRPr="00BF4516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6B54"/>
    <w:multiLevelType w:val="hybridMultilevel"/>
    <w:tmpl w:val="04B045E8"/>
    <w:lvl w:ilvl="0" w:tplc="682604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677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6"/>
    <w:rsid w:val="00012116"/>
    <w:rsid w:val="00017778"/>
    <w:rsid w:val="00030E7B"/>
    <w:rsid w:val="000A2712"/>
    <w:rsid w:val="00183436"/>
    <w:rsid w:val="001E120F"/>
    <w:rsid w:val="002579E4"/>
    <w:rsid w:val="003967FD"/>
    <w:rsid w:val="003F0EF0"/>
    <w:rsid w:val="00413702"/>
    <w:rsid w:val="00490B5F"/>
    <w:rsid w:val="00537376"/>
    <w:rsid w:val="006D5144"/>
    <w:rsid w:val="007F40BB"/>
    <w:rsid w:val="008E0E60"/>
    <w:rsid w:val="00905F29"/>
    <w:rsid w:val="00BF4516"/>
    <w:rsid w:val="00D842F8"/>
    <w:rsid w:val="00DA2207"/>
    <w:rsid w:val="00E94FC9"/>
    <w:rsid w:val="00F16301"/>
    <w:rsid w:val="00F25576"/>
    <w:rsid w:val="00F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A361"/>
  <w15:chartTrackingRefBased/>
  <w15:docId w15:val="{E86CC4D5-EB37-4252-81C0-3E63A7EC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F451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F451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A22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220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DA22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2207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DA2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sd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2023-12-25T10:13:00Z</dcterms:created>
  <dcterms:modified xsi:type="dcterms:W3CDTF">2023-12-25T14:15:00Z</dcterms:modified>
</cp:coreProperties>
</file>