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5BB5" w14:textId="77777777" w:rsidR="006645EF" w:rsidRPr="00EA1828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bookmarkStart w:id="0" w:name="_Hlk160449457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1BAE2CF0" w14:textId="77777777" w:rsidR="006645EF" w:rsidRPr="00EA1828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03FEA22C" w14:textId="77777777" w:rsidR="006645EF" w:rsidRPr="00EA1828" w:rsidRDefault="006645EF" w:rsidP="006645EF">
      <w:pPr>
        <w:spacing w:after="0" w:line="240" w:lineRule="auto"/>
        <w:rPr>
          <w:rFonts w:ascii="David" w:hAnsi="David" w:cs="David" w:hint="cs"/>
          <w:sz w:val="24"/>
          <w:szCs w:val="24"/>
          <w:rtl/>
        </w:rPr>
      </w:pPr>
    </w:p>
    <w:p w14:paraId="5AA02130" w14:textId="77777777" w:rsidR="006645EF" w:rsidRDefault="006645EF" w:rsidP="006645EF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4C2618E9" w14:textId="77777777" w:rsidR="006645EF" w:rsidRDefault="006645EF" w:rsidP="006645EF">
      <w:pPr>
        <w:spacing w:after="0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6C9680C1" w14:textId="77777777" w:rsidR="006645EF" w:rsidRDefault="006645EF" w:rsidP="006645EF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r w:rsidRPr="009F12D2">
        <w:rPr>
          <w:rFonts w:ascii="David" w:hAnsi="David" w:cs="David"/>
          <w:sz w:val="24"/>
          <w:szCs w:val="24"/>
        </w:rPr>
        <w:t>hochsters@gmail.com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64D64B58" w14:textId="77777777" w:rsidR="006645EF" w:rsidRDefault="006645EF" w:rsidP="006645EF">
      <w:pPr>
        <w:spacing w:after="0" w:line="240" w:lineRule="auto"/>
        <w:rPr>
          <w:rFonts w:ascii="David" w:hAnsi="David" w:cs="David" w:hint="cs"/>
          <w:sz w:val="24"/>
          <w:szCs w:val="24"/>
          <w:rtl/>
        </w:rPr>
      </w:pPr>
    </w:p>
    <w:p w14:paraId="0C156A14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C934574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8DC31DB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227179AC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76559086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4B966B1A" w14:textId="77777777" w:rsidR="006645EF" w:rsidRDefault="006645EF" w:rsidP="006645EF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64979930" w14:textId="77777777" w:rsidR="006645EF" w:rsidRDefault="006645EF" w:rsidP="006645EF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26DCB0FD" w14:textId="77777777" w:rsidR="006645EF" w:rsidRPr="00D319A0" w:rsidRDefault="006645EF" w:rsidP="006645EF">
      <w:pPr>
        <w:rPr>
          <w:rFonts w:cs="Arial"/>
          <w:sz w:val="12"/>
          <w:szCs w:val="12"/>
          <w:rtl/>
        </w:rPr>
      </w:pPr>
    </w:p>
    <w:bookmarkEnd w:id="0"/>
    <w:p w14:paraId="7B7E989F" w14:textId="77777777" w:rsidR="006645EF" w:rsidRDefault="006645EF" w:rsidP="006645E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2B20D3D" w14:textId="43914D75" w:rsidR="006645EF" w:rsidRDefault="006645EF" w:rsidP="006645E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בקשת התובע </w:t>
      </w:r>
      <w:proofErr w:type="spellStart"/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בענין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החלטת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כב'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השופט מהיום, 10.3.2024</w:t>
      </w:r>
    </w:p>
    <w:p w14:paraId="43B2B234" w14:textId="77777777" w:rsidR="006645EF" w:rsidRPr="000A436F" w:rsidRDefault="006645EF" w:rsidP="006645EF">
      <w:pPr>
        <w:spacing w:after="0" w:line="312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0A436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396B54F3" w14:textId="77777777" w:rsidR="006645EF" w:rsidRDefault="006645EF" w:rsidP="006645EF">
      <w:pPr>
        <w:pStyle w:val="a3"/>
        <w:numPr>
          <w:ilvl w:val="0"/>
          <w:numId w:val="1"/>
        </w:numPr>
        <w:spacing w:after="0" w:line="312" w:lineRule="auto"/>
        <w:ind w:left="221" w:hanging="357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החלטת כב' השופט מהיום משקפת כוונה לסייע לצדדים להגיע להסכמות ו/או לצמצם את המחלוקות ואני מודה על מגמה חיובית ומעודדת זו. עם זאת, ואם יורשה לי, אבקש מבית הדין הנכבד כי בהמשך להחלטתו מהיום, יורה לב"כ הנתבעת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להתיחס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במפורש גם לשאלותיי החוזרות אליה, עליהן חזרתי גם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בפיסקא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1 שבנספח ג' למסמך "בקשת התובע  </w:t>
      </w:r>
      <w:r w:rsidRPr="00082BAE">
        <w:rPr>
          <w:rFonts w:ascii="David" w:hAnsi="David" w:cs="David"/>
          <w:sz w:val="24"/>
          <w:szCs w:val="24"/>
          <w:rtl/>
        </w:rPr>
        <w:t>לאור ה</w:t>
      </w:r>
      <w:r w:rsidRPr="00082BAE">
        <w:rPr>
          <w:rFonts w:ascii="David" w:hAnsi="David" w:cs="David" w:hint="cs"/>
          <w:sz w:val="24"/>
          <w:szCs w:val="24"/>
          <w:rtl/>
        </w:rPr>
        <w:t>ו</w:t>
      </w:r>
      <w:r w:rsidRPr="00082BAE">
        <w:rPr>
          <w:rFonts w:ascii="David" w:hAnsi="David" w:cs="David"/>
          <w:sz w:val="24"/>
          <w:szCs w:val="24"/>
          <w:rtl/>
        </w:rPr>
        <w:t xml:space="preserve">דעות המדינה </w:t>
      </w:r>
      <w:proofErr w:type="spellStart"/>
      <w:r w:rsidRPr="00082BAE">
        <w:rPr>
          <w:rFonts w:ascii="David" w:hAnsi="David" w:cs="David"/>
          <w:sz w:val="24"/>
          <w:szCs w:val="24"/>
          <w:rtl/>
        </w:rPr>
        <w:t>בענין</w:t>
      </w:r>
      <w:proofErr w:type="spellEnd"/>
      <w:r w:rsidRPr="00082BAE">
        <w:rPr>
          <w:rFonts w:ascii="David" w:hAnsi="David" w:cs="David"/>
          <w:sz w:val="24"/>
          <w:szCs w:val="24"/>
          <w:rtl/>
        </w:rPr>
        <w:t xml:space="preserve"> הסכמות הצדדים</w:t>
      </w:r>
      <w:r>
        <w:rPr>
          <w:rFonts w:ascii="David" w:hAnsi="David" w:cs="David" w:hint="cs"/>
          <w:sz w:val="24"/>
          <w:szCs w:val="24"/>
          <w:rtl/>
        </w:rPr>
        <w:t xml:space="preserve">" מיום 6.3.2024.    עד היום לא קבלתי כל תשובה. </w:t>
      </w:r>
    </w:p>
    <w:p w14:paraId="65A6C2DF" w14:textId="77777777" w:rsidR="006645EF" w:rsidRPr="00F62201" w:rsidRDefault="006645EF" w:rsidP="006645EF">
      <w:pPr>
        <w:pStyle w:val="a3"/>
        <w:spacing w:after="0" w:line="312" w:lineRule="auto"/>
        <w:ind w:left="221"/>
        <w:jc w:val="both"/>
        <w:rPr>
          <w:rFonts w:ascii="David" w:hAnsi="David" w:cs="David"/>
          <w:b/>
          <w:bCs/>
          <w:sz w:val="8"/>
          <w:szCs w:val="8"/>
        </w:rPr>
      </w:pPr>
    </w:p>
    <w:p w14:paraId="498EC19F" w14:textId="5318E102" w:rsidR="006645EF" w:rsidRDefault="006645EF" w:rsidP="006645EF">
      <w:pPr>
        <w:pStyle w:val="a3"/>
        <w:spacing w:after="0" w:line="312" w:lineRule="auto"/>
        <w:ind w:left="221"/>
        <w:jc w:val="both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הענין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חשוב ומהותי משום שאם הכוונה היא להגיע להסכמות, לא ייתכן ולא סביר שאדם המשקר ומטעה את המערכת כדי להצדיק את עמדת המדינה,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יקח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חלק או יהיה מעורב בדרך כלשהי ולו בעקיפין, בנושא, בין אם פגישה פרונטלית תתקיים ובין אם לא</w:t>
      </w:r>
      <w:r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. (ר'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בענין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זה</w:t>
      </w:r>
      <w:r>
        <w:rPr>
          <w:rFonts w:ascii="David" w:hAnsi="David" w:cs="David" w:hint="cs"/>
          <w:sz w:val="24"/>
          <w:szCs w:val="24"/>
          <w:rtl/>
        </w:rPr>
        <w:t xml:space="preserve"> גם את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11 מההצעה לפשרה</w:t>
      </w:r>
      <w:r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שצורפה להודעת התובע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בענין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הסכמות הצדדים שהוגשה לבית הדין הנכבד ביום 4.2.2014).</w:t>
      </w:r>
    </w:p>
    <w:p w14:paraId="25530737" w14:textId="77777777" w:rsidR="006543BD" w:rsidRDefault="006543BD">
      <w:pPr>
        <w:rPr>
          <w:rtl/>
        </w:rPr>
      </w:pPr>
    </w:p>
    <w:p w14:paraId="3ED7628B" w14:textId="77777777" w:rsidR="006645EF" w:rsidRDefault="006645EF">
      <w:pPr>
        <w:rPr>
          <w:rtl/>
        </w:rPr>
      </w:pPr>
    </w:p>
    <w:p w14:paraId="703AEA6B" w14:textId="77777777" w:rsidR="006645EF" w:rsidRDefault="006645EF">
      <w:pPr>
        <w:rPr>
          <w:rtl/>
        </w:rPr>
      </w:pPr>
    </w:p>
    <w:p w14:paraId="74D0A246" w14:textId="7B599007" w:rsidR="006645EF" w:rsidRDefault="006645EF">
      <w:pPr>
        <w:rPr>
          <w:rFonts w:ascii="David" w:hAnsi="David" w:cs="David"/>
          <w:sz w:val="24"/>
          <w:szCs w:val="24"/>
          <w:rtl/>
        </w:rPr>
      </w:pPr>
      <w:r w:rsidRPr="006645EF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שמעון </w:t>
      </w:r>
      <w:proofErr w:type="spellStart"/>
      <w:r w:rsidRPr="006645EF">
        <w:rPr>
          <w:rFonts w:ascii="David" w:hAnsi="David" w:cs="David"/>
          <w:sz w:val="24"/>
          <w:szCs w:val="24"/>
          <w:rtl/>
        </w:rPr>
        <w:t>הכסטר</w:t>
      </w:r>
      <w:proofErr w:type="spellEnd"/>
    </w:p>
    <w:p w14:paraId="664415E6" w14:textId="77777777" w:rsidR="006645EF" w:rsidRDefault="006645EF">
      <w:pPr>
        <w:rPr>
          <w:rFonts w:ascii="David" w:hAnsi="David" w:cs="David"/>
          <w:sz w:val="24"/>
          <w:szCs w:val="24"/>
          <w:rtl/>
        </w:rPr>
      </w:pPr>
    </w:p>
    <w:p w14:paraId="35B30E62" w14:textId="77777777" w:rsidR="006645EF" w:rsidRDefault="006645EF" w:rsidP="006645E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ירושלים, ל' אדר א' תשפ"ד</w:t>
      </w:r>
    </w:p>
    <w:p w14:paraId="3E80D93F" w14:textId="61F939A2" w:rsidR="006645EF" w:rsidRPr="006645EF" w:rsidRDefault="006645EF" w:rsidP="006645EF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10.במרץ 2024.</w:t>
      </w:r>
    </w:p>
    <w:sectPr w:rsidR="006645EF" w:rsidRPr="006645EF" w:rsidSect="009413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898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 w16cid:durableId="201557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EF"/>
    <w:rsid w:val="00012116"/>
    <w:rsid w:val="006543BD"/>
    <w:rsid w:val="006645EF"/>
    <w:rsid w:val="0094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5577"/>
  <w15:chartTrackingRefBased/>
  <w15:docId w15:val="{20862BF6-F922-4410-A28B-0B25428D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2024-03-10T13:31:00Z</dcterms:created>
  <dcterms:modified xsi:type="dcterms:W3CDTF">2024-03-10T13:43:00Z</dcterms:modified>
</cp:coreProperties>
</file>