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2260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bookmarkStart w:id="0" w:name="_Hlk189700672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14:paraId="72CE9BA8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14:paraId="7B36739D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72FE4A5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076D2A2" w14:textId="77777777" w:rsidR="00D24D01" w:rsidRPr="00D24D01" w:rsidRDefault="00D24D01" w:rsidP="00D24D01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14:paraId="097B6167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מרח' צבי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7</w:t>
      </w:r>
    </w:p>
    <w:p w14:paraId="5D546A02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ירושלים 93111</w:t>
      </w:r>
    </w:p>
    <w:p w14:paraId="0A73B468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טל': 053-5318186 </w:t>
      </w:r>
    </w:p>
    <w:p w14:paraId="13DCBFEB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r w:rsidRPr="00D24D01">
        <w:rPr>
          <w:rFonts w:ascii="David" w:eastAsia="Calibri" w:hAnsi="David" w:cs="David"/>
          <w:sz w:val="24"/>
          <w:szCs w:val="24"/>
        </w:rPr>
        <w:t>hochsters@gmail.com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16BB4E73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ABD4E79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</w:p>
    <w:p w14:paraId="3B783061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0"/>
          <w:szCs w:val="20"/>
          <w:rtl/>
        </w:rPr>
      </w:pPr>
    </w:p>
    <w:p w14:paraId="0CE4CA7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14:paraId="4037E6CF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3B9E7A2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49C0F3AC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14:paraId="0A50EE98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D24D0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14:paraId="5DDE0047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118E1F2E" w14:textId="77777777" w:rsidR="00DE567B" w:rsidRDefault="00DE567B" w:rsidP="00D24D01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bookmarkStart w:id="1" w:name="_Hlk173233742"/>
    </w:p>
    <w:p w14:paraId="3158254F" w14:textId="77777777" w:rsidR="00DE567B" w:rsidRDefault="00DE567B" w:rsidP="00D24D01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0608079E" w14:textId="77777777" w:rsidR="00DE567B" w:rsidRDefault="00DE567B" w:rsidP="00D24D01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0BCDFBE5" w14:textId="1D9C08BD" w:rsidR="00D24D01" w:rsidRPr="0094249E" w:rsidRDefault="00D24D01" w:rsidP="00D24D01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בקשה מטעם התובע</w:t>
      </w:r>
      <w:r w:rsidR="00360890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להבהרת ההחלטה מיום 4.12.2025</w:t>
      </w:r>
      <w:r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661C0D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04C6AC6" w14:textId="0AFC5CCF" w:rsidR="00D24D01" w:rsidRPr="00D24D01" w:rsidRDefault="0094249E" w:rsidP="00D24D01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6F93D432" w14:textId="3D80002E" w:rsidR="00360890" w:rsidRDefault="00D92838" w:rsidP="003068FC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226" w:right="426" w:hanging="283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3068FC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60890" w:rsidRPr="003068FC">
        <w:rPr>
          <w:rFonts w:ascii="David" w:eastAsia="Calibri" w:hAnsi="David" w:cs="David" w:hint="cs"/>
          <w:sz w:val="24"/>
          <w:szCs w:val="24"/>
          <w:rtl/>
        </w:rPr>
        <w:t>החלטת ביה</w:t>
      </w:r>
      <w:r w:rsidR="00DE567B">
        <w:rPr>
          <w:rFonts w:ascii="David" w:eastAsia="Calibri" w:hAnsi="David" w:cs="David" w:hint="cs"/>
          <w:sz w:val="24"/>
          <w:szCs w:val="24"/>
          <w:rtl/>
        </w:rPr>
        <w:t>"</w:t>
      </w:r>
      <w:r w:rsidR="00360890" w:rsidRPr="003068FC">
        <w:rPr>
          <w:rFonts w:ascii="David" w:eastAsia="Calibri" w:hAnsi="David" w:cs="David" w:hint="cs"/>
          <w:sz w:val="24"/>
          <w:szCs w:val="24"/>
          <w:rtl/>
        </w:rPr>
        <w:t xml:space="preserve">ד שבנדון מבהירה </w:t>
      </w:r>
      <w:r w:rsidR="003068FC" w:rsidRPr="003068FC">
        <w:rPr>
          <w:rFonts w:ascii="David" w:eastAsia="Calibri" w:hAnsi="David" w:cs="David" w:hint="cs"/>
          <w:sz w:val="24"/>
          <w:szCs w:val="24"/>
          <w:rtl/>
        </w:rPr>
        <w:t>"</w:t>
      </w:r>
      <w:r w:rsidR="00360890" w:rsidRPr="003068FC">
        <w:rPr>
          <w:rFonts w:ascii="David" w:eastAsia="Calibri" w:hAnsi="David" w:cs="David" w:hint="cs"/>
          <w:sz w:val="24"/>
          <w:szCs w:val="24"/>
          <w:rtl/>
        </w:rPr>
        <w:t>כי</w:t>
      </w:r>
      <w:r w:rsidR="003068FC" w:rsidRPr="003068FC">
        <w:rPr>
          <w:rFonts w:ascii="David" w:eastAsia="Calibri" w:hAnsi="David" w:cs="David" w:hint="cs"/>
          <w:sz w:val="24"/>
          <w:szCs w:val="24"/>
          <w:rtl/>
        </w:rPr>
        <w:t xml:space="preserve"> ככל </w:t>
      </w:r>
      <w:r w:rsidR="003068FC">
        <w:rPr>
          <w:rFonts w:ascii="David" w:eastAsia="Calibri" w:hAnsi="David" w:cs="David" w:hint="cs"/>
          <w:sz w:val="24"/>
          <w:szCs w:val="24"/>
          <w:rtl/>
        </w:rPr>
        <w:t>שהמדינה אינה מסכימה לאחד או יותר מתתי הסעיפים המנויים בסעיף 2 ... (לבקשת התובע מ-1.</w:t>
      </w:r>
      <w:r w:rsidR="001D70C3">
        <w:rPr>
          <w:rFonts w:ascii="David" w:eastAsia="Calibri" w:hAnsi="David" w:cs="David" w:hint="cs"/>
          <w:sz w:val="24"/>
          <w:szCs w:val="24"/>
          <w:rtl/>
        </w:rPr>
        <w:t>1</w:t>
      </w:r>
      <w:r w:rsidR="003068FC">
        <w:rPr>
          <w:rFonts w:ascii="David" w:eastAsia="Calibri" w:hAnsi="David" w:cs="David" w:hint="cs"/>
          <w:sz w:val="24"/>
          <w:szCs w:val="24"/>
          <w:rtl/>
        </w:rPr>
        <w:t>2.2025</w:t>
      </w:r>
      <w:r w:rsidR="00D7598C">
        <w:rPr>
          <w:rFonts w:ascii="David" w:eastAsia="Calibri" w:hAnsi="David" w:cs="David" w:hint="cs"/>
          <w:sz w:val="24"/>
          <w:szCs w:val="24"/>
          <w:rtl/>
        </w:rPr>
        <w:t xml:space="preserve"> -להלן: הבקשה</w:t>
      </w:r>
      <w:r w:rsidR="003068FC">
        <w:rPr>
          <w:rFonts w:ascii="David" w:eastAsia="Calibri" w:hAnsi="David" w:cs="David" w:hint="cs"/>
          <w:sz w:val="24"/>
          <w:szCs w:val="24"/>
          <w:rtl/>
        </w:rPr>
        <w:t xml:space="preserve">), היא אינה </w:t>
      </w:r>
      <w:r w:rsidR="009669B4">
        <w:rPr>
          <w:rFonts w:ascii="David" w:eastAsia="Calibri" w:hAnsi="David" w:cs="David" w:hint="cs"/>
          <w:sz w:val="24"/>
          <w:szCs w:val="24"/>
          <w:rtl/>
        </w:rPr>
        <w:t>נ</w:t>
      </w:r>
      <w:r w:rsidR="003068FC">
        <w:rPr>
          <w:rFonts w:ascii="David" w:eastAsia="Calibri" w:hAnsi="David" w:cs="David" w:hint="cs"/>
          <w:sz w:val="24"/>
          <w:szCs w:val="24"/>
          <w:rtl/>
        </w:rPr>
        <w:t>דרשת לשוב על טענות שהעלתה בעבר"</w:t>
      </w:r>
      <w:r w:rsidR="009669B4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454B8E58" w14:textId="77777777" w:rsidR="00D7598C" w:rsidRDefault="00D7598C" w:rsidP="00D7598C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sz w:val="24"/>
          <w:szCs w:val="24"/>
        </w:rPr>
      </w:pPr>
    </w:p>
    <w:p w14:paraId="7F9A5CA1" w14:textId="77777777" w:rsidR="00D7598C" w:rsidRPr="00D7598C" w:rsidRDefault="009669B4" w:rsidP="00D7598C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226" w:right="1418" w:hanging="284"/>
        <w:contextualSpacing/>
        <w:jc w:val="both"/>
        <w:rPr>
          <w:rFonts w:ascii="David" w:eastAsia="Calibri" w:hAnsi="David" w:cs="David"/>
          <w:b/>
          <w:bCs/>
          <w:sz w:val="24"/>
          <w:szCs w:val="24"/>
          <w:u w:val="single"/>
        </w:rPr>
      </w:pPr>
      <w:r w:rsidRPr="00D7598C">
        <w:rPr>
          <w:rFonts w:ascii="David" w:eastAsia="Calibri" w:hAnsi="David" w:cs="David" w:hint="cs"/>
          <w:sz w:val="24"/>
          <w:szCs w:val="24"/>
          <w:rtl/>
        </w:rPr>
        <w:t xml:space="preserve">כפי שכבר כתבתי בפתיח לסעיף 2 לבקשה, כל תתי הסעיפים </w:t>
      </w:r>
      <w:r w:rsidR="009A2699" w:rsidRPr="00D7598C">
        <w:rPr>
          <w:rFonts w:ascii="David" w:eastAsia="Calibri" w:hAnsi="David" w:cs="David" w:hint="cs"/>
          <w:sz w:val="24"/>
          <w:szCs w:val="24"/>
          <w:rtl/>
        </w:rPr>
        <w:t>האמורים</w:t>
      </w:r>
      <w:r w:rsidRPr="00D7598C">
        <w:rPr>
          <w:rFonts w:ascii="David" w:eastAsia="Calibri" w:hAnsi="David" w:cs="David" w:hint="cs"/>
          <w:sz w:val="24"/>
          <w:szCs w:val="24"/>
          <w:rtl/>
        </w:rPr>
        <w:t xml:space="preserve"> הינן </w:t>
      </w:r>
      <w:r w:rsidR="00D7598C" w:rsidRPr="00D7598C">
        <w:rPr>
          <w:rFonts w:ascii="David" w:eastAsia="Calibri" w:hAnsi="David" w:cs="David" w:hint="cs"/>
          <w:sz w:val="24"/>
          <w:szCs w:val="24"/>
          <w:rtl/>
        </w:rPr>
        <w:t xml:space="preserve">    </w:t>
      </w:r>
      <w:r w:rsidR="00D7598C">
        <w:rPr>
          <w:rFonts w:ascii="David" w:eastAsia="Calibri" w:hAnsi="David" w:cs="David" w:hint="cs"/>
          <w:sz w:val="24"/>
          <w:szCs w:val="24"/>
          <w:rtl/>
        </w:rPr>
        <w:t xml:space="preserve">    </w:t>
      </w:r>
    </w:p>
    <w:p w14:paraId="359991D8" w14:textId="77777777" w:rsidR="00D7598C" w:rsidRDefault="00D7598C" w:rsidP="00D7598C">
      <w:pPr>
        <w:tabs>
          <w:tab w:val="left" w:pos="5471"/>
        </w:tabs>
        <w:spacing w:after="0" w:line="240" w:lineRule="auto"/>
        <w:ind w:left="509" w:right="567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7598C">
        <w:rPr>
          <w:rFonts w:ascii="David" w:eastAsia="Calibri" w:hAnsi="David" w:cs="David" w:hint="cs"/>
          <w:sz w:val="24"/>
          <w:szCs w:val="24"/>
          <w:rtl/>
        </w:rPr>
        <w:t xml:space="preserve">"נקודות ועובדות שכבר בשלב זה ברור שלגביהם </w:t>
      </w:r>
      <w:r w:rsidRPr="00D7598C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המדינה אישרה</w:t>
      </w:r>
      <w:r w:rsidRPr="00D7598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שאין מחלוקת</w:t>
      </w:r>
    </w:p>
    <w:p w14:paraId="3E24ACBC" w14:textId="6E0AF658" w:rsidR="00D7598C" w:rsidRPr="00D7598C" w:rsidRDefault="00D7598C" w:rsidP="00D7598C">
      <w:pPr>
        <w:tabs>
          <w:tab w:val="left" w:pos="5471"/>
        </w:tabs>
        <w:spacing w:after="0" w:line="240" w:lineRule="auto"/>
        <w:ind w:left="509" w:right="567"/>
        <w:contextualSpacing/>
        <w:jc w:val="both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D7598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בין הצדדים, ו/או</w:t>
      </w:r>
      <w:r w:rsidRPr="00D7598C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 שהמדינה מעולם לא התכחשה להן</w:t>
      </w:r>
      <w:r w:rsidRPr="00D7598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</w:t>
      </w:r>
      <w:r w:rsidRPr="00D7598C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כולל בכתב ההגנה</w:t>
      </w:r>
      <w:r w:rsidRPr="00DE567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". </w:t>
      </w:r>
    </w:p>
    <w:p w14:paraId="49A9EF63" w14:textId="77777777" w:rsidR="00D7598C" w:rsidRDefault="00D7598C" w:rsidP="00D7598C">
      <w:pPr>
        <w:spacing w:after="0" w:line="240" w:lineRule="auto"/>
        <w:ind w:right="426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4F4E488C" w14:textId="7F250125" w:rsidR="00D7598C" w:rsidRPr="00D7598C" w:rsidRDefault="00D7598C" w:rsidP="00D7598C">
      <w:pPr>
        <w:spacing w:after="0" w:line="240" w:lineRule="auto"/>
        <w:ind w:right="426"/>
        <w:jc w:val="both"/>
        <w:rPr>
          <w:rFonts w:ascii="David" w:eastAsia="Calibri" w:hAnsi="David" w:cs="David"/>
          <w:sz w:val="24"/>
          <w:szCs w:val="24"/>
          <w:rtl/>
        </w:rPr>
      </w:pPr>
      <w:r w:rsidRPr="00D7598C">
        <w:rPr>
          <w:rFonts w:ascii="David" w:eastAsia="Calibri" w:hAnsi="David" w:cs="David" w:hint="cs"/>
          <w:sz w:val="24"/>
          <w:szCs w:val="24"/>
          <w:rtl/>
        </w:rPr>
        <w:t xml:space="preserve">כל העובדות והנקודות המוסכמות, מבוססות על אסמכתאות ומסמכים שפרטתי בבקשה.  </w:t>
      </w:r>
    </w:p>
    <w:p w14:paraId="0941FF53" w14:textId="041CF46D" w:rsidR="00D7598C" w:rsidRPr="00693C7C" w:rsidRDefault="00693C7C" w:rsidP="00693C7C">
      <w:pPr>
        <w:tabs>
          <w:tab w:val="left" w:pos="5471"/>
        </w:tabs>
        <w:spacing w:after="0" w:line="240" w:lineRule="auto"/>
        <w:ind w:left="1985" w:right="1418"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5D5015BA" w14:textId="33876A2E" w:rsidR="00ED5CD6" w:rsidRPr="00693C7C" w:rsidRDefault="009669B4" w:rsidP="00ED5CD6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693C7C">
        <w:rPr>
          <w:rFonts w:ascii="David" w:eastAsia="Calibri" w:hAnsi="David" w:cs="David" w:hint="cs"/>
          <w:sz w:val="24"/>
          <w:szCs w:val="24"/>
          <w:rtl/>
        </w:rPr>
        <w:t>אשר על כן אני מבקש שבית הדין הנכבד יוסיף ויבהיר, בהמשך להחל</w:t>
      </w:r>
      <w:r w:rsidR="009A2699" w:rsidRPr="00693C7C">
        <w:rPr>
          <w:rFonts w:ascii="David" w:eastAsia="Calibri" w:hAnsi="David" w:cs="David" w:hint="cs"/>
          <w:sz w:val="24"/>
          <w:szCs w:val="24"/>
          <w:rtl/>
        </w:rPr>
        <w:t>ט</w:t>
      </w:r>
      <w:r w:rsidRPr="00693C7C">
        <w:rPr>
          <w:rFonts w:ascii="David" w:eastAsia="Calibri" w:hAnsi="David" w:cs="David" w:hint="cs"/>
          <w:sz w:val="24"/>
          <w:szCs w:val="24"/>
          <w:rtl/>
        </w:rPr>
        <w:t>ה שבנד</w:t>
      </w:r>
      <w:r w:rsidR="00693C7C">
        <w:rPr>
          <w:rFonts w:ascii="David" w:eastAsia="Calibri" w:hAnsi="David" w:cs="David" w:hint="cs"/>
          <w:sz w:val="24"/>
          <w:szCs w:val="24"/>
          <w:rtl/>
        </w:rPr>
        <w:t xml:space="preserve">ון </w:t>
      </w:r>
      <w:r w:rsidR="00356A5E" w:rsidRPr="00693C7C">
        <w:rPr>
          <w:rFonts w:ascii="David" w:eastAsia="Calibri" w:hAnsi="David" w:cs="David" w:hint="cs"/>
          <w:sz w:val="24"/>
          <w:szCs w:val="24"/>
          <w:rtl/>
        </w:rPr>
        <w:t>לפיה</w:t>
      </w:r>
      <w:r w:rsidRPr="00693C7C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56A5E" w:rsidRPr="00693C7C">
        <w:rPr>
          <w:rFonts w:ascii="David" w:eastAsia="Calibri" w:hAnsi="David" w:cs="David" w:hint="cs"/>
          <w:sz w:val="24"/>
          <w:szCs w:val="24"/>
          <w:rtl/>
        </w:rPr>
        <w:t>המדינה אינה נדרשת לשוב על טענות שהעלתה בעבר שבעטיין המדינה אינה מסכימה לאחד או יותר מתתי סעיף 2</w:t>
      </w:r>
      <w:r w:rsidR="00D7598C" w:rsidRPr="00693C7C">
        <w:rPr>
          <w:rFonts w:ascii="David" w:eastAsia="Calibri" w:hAnsi="David" w:cs="David" w:hint="cs"/>
          <w:sz w:val="24"/>
          <w:szCs w:val="24"/>
          <w:rtl/>
        </w:rPr>
        <w:t xml:space="preserve"> לבקשה</w:t>
      </w:r>
      <w:r w:rsidR="001D70C3" w:rsidRPr="00693C7C">
        <w:rPr>
          <w:rFonts w:ascii="David" w:eastAsia="Calibri" w:hAnsi="David" w:cs="David" w:hint="cs"/>
          <w:sz w:val="24"/>
          <w:szCs w:val="24"/>
          <w:rtl/>
        </w:rPr>
        <w:t>,</w:t>
      </w:r>
      <w:r w:rsidR="00356A5E" w:rsidRPr="00693C7C">
        <w:rPr>
          <w:rFonts w:ascii="David" w:eastAsia="Calibri" w:hAnsi="David" w:cs="David" w:hint="cs"/>
          <w:sz w:val="24"/>
          <w:szCs w:val="24"/>
          <w:rtl/>
        </w:rPr>
        <w:t xml:space="preserve"> אך </w:t>
      </w:r>
      <w:r w:rsidR="00ED5CD6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במקרה כזה המדינה </w:t>
      </w:r>
      <w:r w:rsidR="00356A5E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>תהיה חייבת</w:t>
      </w:r>
      <w:r w:rsidR="00356A5E" w:rsidRPr="00693C7C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56A5E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להפנות לאסמכתא </w:t>
      </w:r>
      <w:r w:rsidR="001D70C3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ו/או </w:t>
      </w:r>
      <w:r w:rsidR="00356A5E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מסמך שבו מופיעות </w:t>
      </w:r>
      <w:r w:rsidR="00ED5CD6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אותן </w:t>
      </w:r>
      <w:r w:rsidR="00356A5E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>טענ</w:t>
      </w:r>
      <w:r w:rsidR="001D70C3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>ות</w:t>
      </w:r>
      <w:r w:rsidR="00356A5E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ED5CD6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שהמדינה </w:t>
      </w:r>
      <w:r w:rsidR="00693C7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טוענת שהיא </w:t>
      </w:r>
      <w:r w:rsidR="00ED5CD6" w:rsidRPr="00693C7C">
        <w:rPr>
          <w:rFonts w:ascii="David" w:eastAsia="Calibri" w:hAnsi="David" w:cs="David" w:hint="cs"/>
          <w:b/>
          <w:bCs/>
          <w:sz w:val="24"/>
          <w:szCs w:val="24"/>
          <w:rtl/>
        </w:rPr>
        <w:t>העלתה כבר בעבר.</w:t>
      </w:r>
    </w:p>
    <w:p w14:paraId="491E9ACD" w14:textId="77777777" w:rsidR="00D7598C" w:rsidRDefault="00D7598C" w:rsidP="00ED5CD6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120BB6D" w14:textId="77777777" w:rsidR="00DE567B" w:rsidRDefault="00552EEB" w:rsidP="00476B71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rtl/>
        </w:rPr>
      </w:pPr>
      <w:r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                </w:t>
      </w:r>
    </w:p>
    <w:p w14:paraId="3C64F57F" w14:textId="77777777" w:rsidR="00DE567B" w:rsidRDefault="00DE567B" w:rsidP="00476B71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rtl/>
        </w:rPr>
      </w:pPr>
    </w:p>
    <w:p w14:paraId="4D3B631D" w14:textId="66211CBC" w:rsidR="00476B71" w:rsidRDefault="00DE567B" w:rsidP="00476B71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rtl/>
        </w:rPr>
      </w:pPr>
      <w:r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                 </w:t>
      </w:r>
      <w:r w:rsidR="00552EEB">
        <w:rPr>
          <w:rFonts w:ascii="David" w:eastAsia="Calibri" w:hAnsi="David" w:cs="David" w:hint="cs"/>
          <w:b/>
          <w:bCs/>
          <w:rtl/>
        </w:rPr>
        <w:t xml:space="preserve">    </w:t>
      </w:r>
      <w:r w:rsidR="00D24D01" w:rsidRPr="00D24D01">
        <w:rPr>
          <w:rFonts w:ascii="David" w:eastAsia="Calibri" w:hAnsi="David" w:cs="David" w:hint="cs"/>
          <w:b/>
          <w:bCs/>
          <w:rtl/>
        </w:rPr>
        <w:t xml:space="preserve"> </w:t>
      </w:r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הכסטר</w:t>
      </w:r>
      <w:proofErr w:type="spellEnd"/>
      <w:r w:rsidR="00D24D01" w:rsidRPr="00D24D01">
        <w:rPr>
          <w:rFonts w:ascii="David" w:eastAsia="Calibri" w:hAnsi="David" w:cs="David" w:hint="cs"/>
          <w:b/>
          <w:bCs/>
          <w:rtl/>
        </w:rPr>
        <w:t xml:space="preserve"> </w:t>
      </w:r>
    </w:p>
    <w:p w14:paraId="1EB49FE2" w14:textId="77777777" w:rsidR="00DE567B" w:rsidRDefault="00D24D01" w:rsidP="00476B71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rtl/>
        </w:rPr>
      </w:pPr>
      <w:r w:rsidRPr="00D24D01">
        <w:rPr>
          <w:rFonts w:ascii="David" w:eastAsia="Calibri" w:hAnsi="David" w:cs="David" w:hint="cs"/>
          <w:b/>
          <w:bCs/>
          <w:rtl/>
        </w:rPr>
        <w:t xml:space="preserve"> </w:t>
      </w:r>
      <w:bookmarkEnd w:id="0"/>
      <w:bookmarkEnd w:id="1"/>
    </w:p>
    <w:p w14:paraId="7ED534BF" w14:textId="77777777" w:rsidR="00DE567B" w:rsidRDefault="00DE567B" w:rsidP="00476B71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rtl/>
        </w:rPr>
      </w:pPr>
    </w:p>
    <w:p w14:paraId="70D99BD6" w14:textId="77777777" w:rsidR="00DE567B" w:rsidRDefault="00DE567B" w:rsidP="00476B71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rtl/>
        </w:rPr>
      </w:pPr>
    </w:p>
    <w:p w14:paraId="4A9C5252" w14:textId="291EB79A" w:rsidR="00810EEC" w:rsidRDefault="0094249E" w:rsidP="00476B71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tl/>
        </w:rPr>
      </w:pPr>
      <w:r>
        <w:rPr>
          <w:rFonts w:ascii="David" w:eastAsia="Calibri" w:hAnsi="David" w:cs="David" w:hint="cs"/>
          <w:rtl/>
        </w:rPr>
        <w:t>יר</w:t>
      </w:r>
      <w:r w:rsidRPr="00D24D01">
        <w:rPr>
          <w:rFonts w:ascii="David" w:eastAsia="Calibri" w:hAnsi="David" w:cs="David" w:hint="cs"/>
          <w:rtl/>
        </w:rPr>
        <w:t>ושלים,</w:t>
      </w:r>
      <w:r>
        <w:rPr>
          <w:rFonts w:ascii="David" w:eastAsia="Calibri" w:hAnsi="David" w:cs="David" w:hint="cs"/>
          <w:rtl/>
        </w:rPr>
        <w:t xml:space="preserve"> </w:t>
      </w:r>
      <w:r w:rsidR="00DE567B">
        <w:rPr>
          <w:rFonts w:ascii="David" w:eastAsia="Calibri" w:hAnsi="David" w:cs="David" w:hint="cs"/>
          <w:rtl/>
        </w:rPr>
        <w:t>4</w:t>
      </w:r>
      <w:r w:rsidR="00D23ADA">
        <w:rPr>
          <w:rFonts w:ascii="David" w:eastAsia="Calibri" w:hAnsi="David" w:cs="David" w:hint="cs"/>
          <w:rtl/>
        </w:rPr>
        <w:t>.</w:t>
      </w:r>
      <w:r w:rsidR="00D67C8A">
        <w:rPr>
          <w:rFonts w:ascii="David" w:eastAsia="Calibri" w:hAnsi="David" w:cs="David" w:hint="cs"/>
          <w:rtl/>
        </w:rPr>
        <w:t>12</w:t>
      </w:r>
      <w:r>
        <w:rPr>
          <w:rFonts w:ascii="David" w:eastAsia="Calibri" w:hAnsi="David" w:cs="David" w:hint="cs"/>
          <w:rtl/>
        </w:rPr>
        <w:t>.2025</w:t>
      </w:r>
    </w:p>
    <w:p w14:paraId="7486CB62" w14:textId="4B203E62" w:rsidR="00D67C8A" w:rsidRDefault="00D67C8A" w:rsidP="0094249E">
      <w:pPr>
        <w:spacing w:after="0" w:line="312" w:lineRule="auto"/>
        <w:ind w:right="1418"/>
        <w:jc w:val="both"/>
      </w:pPr>
      <w:r>
        <w:rPr>
          <w:rFonts w:hint="cs"/>
          <w:rtl/>
        </w:rPr>
        <w:t xml:space="preserve">            י"</w:t>
      </w:r>
      <w:r w:rsidR="00DE567B">
        <w:rPr>
          <w:rFonts w:hint="cs"/>
          <w:rtl/>
        </w:rPr>
        <w:t>ג</w:t>
      </w:r>
      <w:r>
        <w:rPr>
          <w:rFonts w:hint="cs"/>
          <w:rtl/>
        </w:rPr>
        <w:t xml:space="preserve"> כסלו תשפ"ו</w:t>
      </w:r>
    </w:p>
    <w:sectPr w:rsidR="00D67C8A" w:rsidSect="00012116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E68A" w14:textId="77777777" w:rsidR="00C80D4E" w:rsidRDefault="00C80D4E" w:rsidP="00661C0D">
      <w:pPr>
        <w:spacing w:after="0" w:line="240" w:lineRule="auto"/>
      </w:pPr>
      <w:r>
        <w:separator/>
      </w:r>
    </w:p>
  </w:endnote>
  <w:endnote w:type="continuationSeparator" w:id="0">
    <w:p w14:paraId="304BF3DF" w14:textId="77777777" w:rsidR="00C80D4E" w:rsidRDefault="00C80D4E" w:rsidP="0066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21864485"/>
      <w:docPartObj>
        <w:docPartGallery w:val="Page Numbers (Bottom of Page)"/>
        <w:docPartUnique/>
      </w:docPartObj>
    </w:sdtPr>
    <w:sdtContent>
      <w:p w14:paraId="087EA3B2" w14:textId="0C0E23E1" w:rsidR="00661C0D" w:rsidRDefault="00661C0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84B58F6" w14:textId="77777777" w:rsidR="00661C0D" w:rsidRDefault="00661C0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0C0B" w14:textId="77777777" w:rsidR="00C80D4E" w:rsidRDefault="00C80D4E" w:rsidP="00661C0D">
      <w:pPr>
        <w:spacing w:after="0" w:line="240" w:lineRule="auto"/>
      </w:pPr>
      <w:r>
        <w:separator/>
      </w:r>
    </w:p>
  </w:footnote>
  <w:footnote w:type="continuationSeparator" w:id="0">
    <w:p w14:paraId="24F566FB" w14:textId="77777777" w:rsidR="00C80D4E" w:rsidRDefault="00C80D4E" w:rsidP="00661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437"/>
    <w:multiLevelType w:val="hybridMultilevel"/>
    <w:tmpl w:val="6ED2CB0C"/>
    <w:lvl w:ilvl="0" w:tplc="CDB2C65C">
      <w:start w:val="1"/>
      <w:numFmt w:val="decimal"/>
      <w:lvlText w:val="%1."/>
      <w:lvlJc w:val="left"/>
      <w:pPr>
        <w:ind w:left="2345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2D71"/>
    <w:multiLevelType w:val="hybridMultilevel"/>
    <w:tmpl w:val="BA028EB2"/>
    <w:lvl w:ilvl="0" w:tplc="E0C8E9A4">
      <w:start w:val="1"/>
      <w:numFmt w:val="hebrew1"/>
      <w:lvlText w:val="(%1)"/>
      <w:lvlJc w:val="left"/>
      <w:pPr>
        <w:ind w:left="813" w:hanging="360"/>
      </w:pPr>
      <w:rPr>
        <w:rFonts w:hint="default"/>
        <w:b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 w15:restartNumberingAfterBreak="0">
    <w:nsid w:val="438638BA"/>
    <w:multiLevelType w:val="hybridMultilevel"/>
    <w:tmpl w:val="F0C2F378"/>
    <w:lvl w:ilvl="0" w:tplc="EA848500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43CF2004"/>
    <w:multiLevelType w:val="hybridMultilevel"/>
    <w:tmpl w:val="F0C2F378"/>
    <w:lvl w:ilvl="0" w:tplc="FFFFFFFF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4" w:hanging="360"/>
      </w:pPr>
    </w:lvl>
    <w:lvl w:ilvl="2" w:tplc="FFFFFFFF" w:tentative="1">
      <w:start w:val="1"/>
      <w:numFmt w:val="lowerRoman"/>
      <w:lvlText w:val="%3."/>
      <w:lvlJc w:val="right"/>
      <w:pPr>
        <w:ind w:left="1884" w:hanging="180"/>
      </w:pPr>
    </w:lvl>
    <w:lvl w:ilvl="3" w:tplc="FFFFFFFF" w:tentative="1">
      <w:start w:val="1"/>
      <w:numFmt w:val="decimal"/>
      <w:lvlText w:val="%4."/>
      <w:lvlJc w:val="left"/>
      <w:pPr>
        <w:ind w:left="2604" w:hanging="360"/>
      </w:pPr>
    </w:lvl>
    <w:lvl w:ilvl="4" w:tplc="FFFFFFFF" w:tentative="1">
      <w:start w:val="1"/>
      <w:numFmt w:val="lowerLetter"/>
      <w:lvlText w:val="%5."/>
      <w:lvlJc w:val="left"/>
      <w:pPr>
        <w:ind w:left="3324" w:hanging="360"/>
      </w:pPr>
    </w:lvl>
    <w:lvl w:ilvl="5" w:tplc="FFFFFFFF" w:tentative="1">
      <w:start w:val="1"/>
      <w:numFmt w:val="lowerRoman"/>
      <w:lvlText w:val="%6."/>
      <w:lvlJc w:val="right"/>
      <w:pPr>
        <w:ind w:left="4044" w:hanging="180"/>
      </w:pPr>
    </w:lvl>
    <w:lvl w:ilvl="6" w:tplc="FFFFFFFF" w:tentative="1">
      <w:start w:val="1"/>
      <w:numFmt w:val="decimal"/>
      <w:lvlText w:val="%7."/>
      <w:lvlJc w:val="left"/>
      <w:pPr>
        <w:ind w:left="4764" w:hanging="360"/>
      </w:pPr>
    </w:lvl>
    <w:lvl w:ilvl="7" w:tplc="FFFFFFFF" w:tentative="1">
      <w:start w:val="1"/>
      <w:numFmt w:val="lowerLetter"/>
      <w:lvlText w:val="%8."/>
      <w:lvlJc w:val="left"/>
      <w:pPr>
        <w:ind w:left="5484" w:hanging="360"/>
      </w:pPr>
    </w:lvl>
    <w:lvl w:ilvl="8" w:tplc="FFFFFFFF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1385446031">
    <w:abstractNumId w:val="0"/>
  </w:num>
  <w:num w:numId="2" w16cid:durableId="1819572736">
    <w:abstractNumId w:val="1"/>
  </w:num>
  <w:num w:numId="3" w16cid:durableId="506332909">
    <w:abstractNumId w:val="2"/>
  </w:num>
  <w:num w:numId="4" w16cid:durableId="1718236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01"/>
    <w:rsid w:val="00012116"/>
    <w:rsid w:val="00015B78"/>
    <w:rsid w:val="00052BEA"/>
    <w:rsid w:val="000740FA"/>
    <w:rsid w:val="00086E05"/>
    <w:rsid w:val="000A73F2"/>
    <w:rsid w:val="000B7ED2"/>
    <w:rsid w:val="000D77E1"/>
    <w:rsid w:val="00144DB0"/>
    <w:rsid w:val="00171865"/>
    <w:rsid w:val="00182C7B"/>
    <w:rsid w:val="001A0B6C"/>
    <w:rsid w:val="001A24CE"/>
    <w:rsid w:val="001A3E86"/>
    <w:rsid w:val="001A4D78"/>
    <w:rsid w:val="001D69F9"/>
    <w:rsid w:val="001D70C3"/>
    <w:rsid w:val="001D7F34"/>
    <w:rsid w:val="001E57F9"/>
    <w:rsid w:val="00215422"/>
    <w:rsid w:val="002229A3"/>
    <w:rsid w:val="00224308"/>
    <w:rsid w:val="00230CDF"/>
    <w:rsid w:val="002864A9"/>
    <w:rsid w:val="00287186"/>
    <w:rsid w:val="002A1950"/>
    <w:rsid w:val="002D3314"/>
    <w:rsid w:val="002F2915"/>
    <w:rsid w:val="002F5689"/>
    <w:rsid w:val="003068FC"/>
    <w:rsid w:val="003461F8"/>
    <w:rsid w:val="00356A5E"/>
    <w:rsid w:val="00360890"/>
    <w:rsid w:val="003A731D"/>
    <w:rsid w:val="003D5C21"/>
    <w:rsid w:val="003E3DE4"/>
    <w:rsid w:val="00426FE1"/>
    <w:rsid w:val="004402A9"/>
    <w:rsid w:val="004616A3"/>
    <w:rsid w:val="0047446C"/>
    <w:rsid w:val="00476B71"/>
    <w:rsid w:val="004901AB"/>
    <w:rsid w:val="004A4008"/>
    <w:rsid w:val="004A4D65"/>
    <w:rsid w:val="004F7D17"/>
    <w:rsid w:val="005008E5"/>
    <w:rsid w:val="005162EC"/>
    <w:rsid w:val="0053637E"/>
    <w:rsid w:val="00552EEB"/>
    <w:rsid w:val="005658CB"/>
    <w:rsid w:val="00580A69"/>
    <w:rsid w:val="005A0100"/>
    <w:rsid w:val="005B536B"/>
    <w:rsid w:val="005C3842"/>
    <w:rsid w:val="00616918"/>
    <w:rsid w:val="00626A5B"/>
    <w:rsid w:val="00626E62"/>
    <w:rsid w:val="006445A2"/>
    <w:rsid w:val="00661C0D"/>
    <w:rsid w:val="00663E62"/>
    <w:rsid w:val="00681BD0"/>
    <w:rsid w:val="00693C7C"/>
    <w:rsid w:val="006B7C2C"/>
    <w:rsid w:val="006D5E42"/>
    <w:rsid w:val="006E10F5"/>
    <w:rsid w:val="00710E94"/>
    <w:rsid w:val="00714FFF"/>
    <w:rsid w:val="0072192B"/>
    <w:rsid w:val="00724327"/>
    <w:rsid w:val="00724901"/>
    <w:rsid w:val="0074749B"/>
    <w:rsid w:val="007A1FC7"/>
    <w:rsid w:val="007B4C20"/>
    <w:rsid w:val="00810EEC"/>
    <w:rsid w:val="00820C1E"/>
    <w:rsid w:val="00854AD5"/>
    <w:rsid w:val="00854F3E"/>
    <w:rsid w:val="00857B1E"/>
    <w:rsid w:val="0086707A"/>
    <w:rsid w:val="0088310E"/>
    <w:rsid w:val="008A3F79"/>
    <w:rsid w:val="008B48A4"/>
    <w:rsid w:val="008E1090"/>
    <w:rsid w:val="00901D04"/>
    <w:rsid w:val="00920668"/>
    <w:rsid w:val="00924C2F"/>
    <w:rsid w:val="009274B0"/>
    <w:rsid w:val="009371BB"/>
    <w:rsid w:val="00937C2C"/>
    <w:rsid w:val="0094249E"/>
    <w:rsid w:val="00955695"/>
    <w:rsid w:val="009669B4"/>
    <w:rsid w:val="00971655"/>
    <w:rsid w:val="00977D01"/>
    <w:rsid w:val="009A0DB7"/>
    <w:rsid w:val="009A2699"/>
    <w:rsid w:val="009B5773"/>
    <w:rsid w:val="009F3226"/>
    <w:rsid w:val="00A0377E"/>
    <w:rsid w:val="00A24771"/>
    <w:rsid w:val="00A30B96"/>
    <w:rsid w:val="00A4170B"/>
    <w:rsid w:val="00A95083"/>
    <w:rsid w:val="00A95234"/>
    <w:rsid w:val="00B05C3D"/>
    <w:rsid w:val="00B34155"/>
    <w:rsid w:val="00B40DA6"/>
    <w:rsid w:val="00B47DA5"/>
    <w:rsid w:val="00B65FD7"/>
    <w:rsid w:val="00B9733C"/>
    <w:rsid w:val="00BA3E09"/>
    <w:rsid w:val="00BE0528"/>
    <w:rsid w:val="00BE16DF"/>
    <w:rsid w:val="00BE580D"/>
    <w:rsid w:val="00C17764"/>
    <w:rsid w:val="00C313DF"/>
    <w:rsid w:val="00C716C8"/>
    <w:rsid w:val="00C76E81"/>
    <w:rsid w:val="00C80D4E"/>
    <w:rsid w:val="00CE1EFB"/>
    <w:rsid w:val="00CF50AE"/>
    <w:rsid w:val="00D23ADA"/>
    <w:rsid w:val="00D24D01"/>
    <w:rsid w:val="00D27976"/>
    <w:rsid w:val="00D32189"/>
    <w:rsid w:val="00D36C1E"/>
    <w:rsid w:val="00D67C8A"/>
    <w:rsid w:val="00D7598C"/>
    <w:rsid w:val="00D92838"/>
    <w:rsid w:val="00DC3A3F"/>
    <w:rsid w:val="00DC400B"/>
    <w:rsid w:val="00DE567B"/>
    <w:rsid w:val="00DE57C7"/>
    <w:rsid w:val="00DE7C11"/>
    <w:rsid w:val="00E035D4"/>
    <w:rsid w:val="00E1100C"/>
    <w:rsid w:val="00E40C04"/>
    <w:rsid w:val="00E53799"/>
    <w:rsid w:val="00E65F6B"/>
    <w:rsid w:val="00EA5B66"/>
    <w:rsid w:val="00EB6196"/>
    <w:rsid w:val="00EB6992"/>
    <w:rsid w:val="00ED5CD6"/>
    <w:rsid w:val="00EE2095"/>
    <w:rsid w:val="00F04FE2"/>
    <w:rsid w:val="00F0580D"/>
    <w:rsid w:val="00F3623E"/>
    <w:rsid w:val="00F55450"/>
    <w:rsid w:val="00F663B6"/>
    <w:rsid w:val="00F71517"/>
    <w:rsid w:val="00F86602"/>
    <w:rsid w:val="00F92246"/>
    <w:rsid w:val="00FB1CAD"/>
    <w:rsid w:val="00FC670A"/>
    <w:rsid w:val="00FC6DC1"/>
    <w:rsid w:val="00FE47C6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0434"/>
  <w15:chartTrackingRefBased/>
  <w15:docId w15:val="{D2D0AD85-69FA-468C-89FC-1E0DA2EC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2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24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2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24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24D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24D0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24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24D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24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24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2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2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24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24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D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1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661C0D"/>
  </w:style>
  <w:style w:type="paragraph" w:styleId="af0">
    <w:name w:val="footer"/>
    <w:basedOn w:val="a"/>
    <w:link w:val="af1"/>
    <w:uiPriority w:val="99"/>
    <w:unhideWhenUsed/>
    <w:rsid w:val="00661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66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8709-F125-48CC-9044-ADAA1FE3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dcterms:created xsi:type="dcterms:W3CDTF">2025-12-04T17:40:00Z</dcterms:created>
  <dcterms:modified xsi:type="dcterms:W3CDTF">2025-12-04T17:40:00Z</dcterms:modified>
</cp:coreProperties>
</file>