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0BCDFBE5" w14:textId="77777777" w:rsidR="00D24D01" w:rsidRPr="00D24D01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bookmarkStart w:id="1" w:name="_Hlk173233742"/>
      <w:r w:rsidRPr="00D24D01">
        <w:rPr>
          <w:rFonts w:ascii="David" w:eastAsia="Calibri" w:hAnsi="David" w:cs="David" w:hint="cs"/>
          <w:b/>
          <w:bCs/>
          <w:sz w:val="28"/>
          <w:szCs w:val="28"/>
          <w:rtl/>
        </w:rPr>
        <w:t>בקשה מטעם התובע לדחיית מועד</w:t>
      </w:r>
    </w:p>
    <w:p w14:paraId="78452940" w14:textId="77777777" w:rsidR="00D24D01" w:rsidRPr="00D24D01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D24D01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וליישום החלטה מ-25.3.2024</w:t>
      </w:r>
    </w:p>
    <w:p w14:paraId="104C6AC6" w14:textId="77777777" w:rsidR="00D24D01" w:rsidRPr="00D24D01" w:rsidRDefault="00D24D01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</w:t>
      </w:r>
    </w:p>
    <w:p w14:paraId="5EA8DE68" w14:textId="3738459C" w:rsidR="00D24D01" w:rsidRPr="00D24D01" w:rsidRDefault="00D24D01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בחודשיים האחרונים רעייתי ואנוכי מתמודדים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לצערינו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עם בעיות בריאות </w:t>
      </w:r>
      <w:r w:rsidR="00552EEB">
        <w:rPr>
          <w:rFonts w:ascii="David" w:eastAsia="Calibri" w:hAnsi="David" w:cs="David" w:hint="cs"/>
          <w:sz w:val="24"/>
          <w:szCs w:val="24"/>
          <w:rtl/>
        </w:rPr>
        <w:t xml:space="preserve">מורכבות </w:t>
      </w:r>
      <w:r w:rsidRPr="00D24D01">
        <w:rPr>
          <w:rFonts w:ascii="David" w:eastAsia="Calibri" w:hAnsi="David" w:cs="David" w:hint="cs"/>
          <w:sz w:val="24"/>
          <w:szCs w:val="24"/>
          <w:rtl/>
        </w:rPr>
        <w:t>(הגיל המתקדם עושה את שלו). על הפרק עומדת גם אפשרות שאצטרך לעבור ניתוח ב</w:t>
      </w:r>
      <w:r w:rsidR="00F663B6">
        <w:rPr>
          <w:rFonts w:ascii="David" w:eastAsia="Calibri" w:hAnsi="David" w:cs="David" w:hint="cs"/>
          <w:sz w:val="24"/>
          <w:szCs w:val="24"/>
          <w:rtl/>
        </w:rPr>
        <w:t>עתיד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הקרוב. בנסיבות אלה, נפגעה יכולתי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להער</w:t>
      </w:r>
      <w:r w:rsidRPr="00D24D01">
        <w:rPr>
          <w:rFonts w:ascii="David" w:eastAsia="Calibri" w:hAnsi="David" w:cs="David" w:hint="eastAsia"/>
          <w:sz w:val="24"/>
          <w:szCs w:val="24"/>
          <w:rtl/>
        </w:rPr>
        <w:t>ך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וליישם בתקופה זו את המשימה של הכנת תצהירים בהתאם להחלטת בית הדין מיום 21.12.2024 ואין לי ברירה אלא לבקש דחיה של 60 יום לפחות.</w:t>
      </w:r>
    </w:p>
    <w:p w14:paraId="0F6929A1" w14:textId="77777777" w:rsidR="00D24D01" w:rsidRPr="00D24D01" w:rsidRDefault="00D24D01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16"/>
          <w:szCs w:val="16"/>
        </w:rPr>
      </w:pPr>
    </w:p>
    <w:p w14:paraId="506EC3E7" w14:textId="77777777" w:rsidR="00D24D01" w:rsidRPr="00D24D01" w:rsidRDefault="00D24D01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בהזדמנות זו אני מבקש להזכיר כי בהחלטת בית הדין הנכבד מיום 25.3.2024 נקבע כי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"ככל ולא יעלה בידי הצדדים להגיע להסכמות לסיום ההליך", יהיה על המדינה להגיש את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התיחסותה</w:t>
      </w:r>
      <w:proofErr w:type="spellEnd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לאמור בבקשת התובע מיום 10.3.2024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בהתאם להחלטה מיום 12.3.2024. </w:t>
      </w:r>
    </w:p>
    <w:p w14:paraId="445E5A85" w14:textId="77777777" w:rsidR="00D24D01" w:rsidRPr="00D24D01" w:rsidRDefault="00D24D01" w:rsidP="00D24D01">
      <w:pPr>
        <w:ind w:left="720"/>
        <w:contextualSpacing/>
        <w:rPr>
          <w:rFonts w:ascii="David" w:eastAsia="Calibri" w:hAnsi="David" w:cs="David" w:hint="cs"/>
          <w:sz w:val="24"/>
          <w:szCs w:val="24"/>
          <w:rtl/>
        </w:rPr>
      </w:pPr>
    </w:p>
    <w:p w14:paraId="51FCCD65" w14:textId="154E4306" w:rsidR="00552EEB" w:rsidRDefault="00552EEB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ההודעה </w:t>
      </w:r>
      <w:r w:rsidR="00D24D01" w:rsidRPr="00D24D01">
        <w:rPr>
          <w:rFonts w:ascii="David" w:eastAsia="Calibri" w:hAnsi="David" w:cs="David" w:hint="cs"/>
          <w:sz w:val="24"/>
          <w:szCs w:val="24"/>
          <w:rtl/>
        </w:rPr>
        <w:t>לבית הדין מיום 17.11.2024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בשם המדינה</w:t>
      </w:r>
      <w:r w:rsidR="00D24D01" w:rsidRPr="00D24D01">
        <w:rPr>
          <w:rFonts w:ascii="David" w:eastAsia="Calibri" w:hAnsi="David" w:cs="David" w:hint="cs"/>
          <w:sz w:val="24"/>
          <w:szCs w:val="24"/>
          <w:rtl/>
        </w:rPr>
        <w:t xml:space="preserve"> לפיה "אין אפשרות לקדם את ההליך" כביכול,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נובעת אך ורק כתוצאה </w:t>
      </w:r>
      <w:proofErr w:type="spellStart"/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מסרוב</w:t>
      </w:r>
      <w:proofErr w:type="spellEnd"/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המדינה </w:t>
      </w: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לאפשר לי </w:t>
      </w:r>
      <w:proofErr w:type="spellStart"/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להפגש</w:t>
      </w:r>
      <w:proofErr w:type="spellEnd"/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עם הגורמים הרלוונטיים</w:t>
      </w:r>
      <w:r>
        <w:rPr>
          <w:rFonts w:ascii="David" w:eastAsia="Calibri" w:hAnsi="David" w:cs="David" w:hint="cs"/>
          <w:sz w:val="24"/>
          <w:szCs w:val="24"/>
          <w:rtl/>
        </w:rPr>
        <w:t>, כפי שגם בית הדין הנכבד המליץ</w:t>
      </w:r>
      <w:r>
        <w:rPr>
          <w:rFonts w:ascii="David" w:eastAsia="Calibri" w:hAnsi="David" w:cs="David" w:hint="cs"/>
          <w:sz w:val="24"/>
          <w:szCs w:val="24"/>
          <w:rtl/>
        </w:rPr>
        <w:t>. כך נוצר בהכרח מצב שלא ניתן להגיע להסכמות לסיום ההליך ו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לפיכך,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אני חוזר ומבקש שבית הדין הנכבד יורה למדינה למלא ללא דיחוי אחר ההוראה שבהחלטתו מיום 12.3.2024</w:t>
      </w:r>
    </w:p>
    <w:p w14:paraId="7E5B00FB" w14:textId="77777777" w:rsidR="00552EEB" w:rsidRPr="00552EEB" w:rsidRDefault="00552EEB" w:rsidP="00552EEB">
      <w:pPr>
        <w:pStyle w:val="a9"/>
        <w:rPr>
          <w:rFonts w:ascii="David" w:eastAsia="Calibri" w:hAnsi="David" w:cs="David" w:hint="cs"/>
          <w:sz w:val="8"/>
          <w:szCs w:val="8"/>
          <w:rtl/>
        </w:rPr>
      </w:pPr>
    </w:p>
    <w:p w14:paraId="613F855F" w14:textId="6DDF185B" w:rsidR="00D24D01" w:rsidRDefault="00D24D01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אי עמידה על חובת המדינה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להתיחס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לטיעונים על הטעיית ביה"ד, בניגוד לחוק ולאתיקה, </w:t>
      </w:r>
      <w:r w:rsidR="00552EEB">
        <w:rPr>
          <w:rFonts w:ascii="David" w:eastAsia="Calibri" w:hAnsi="David" w:cs="David" w:hint="cs"/>
          <w:sz w:val="24"/>
          <w:szCs w:val="24"/>
          <w:rtl/>
        </w:rPr>
        <w:t>בהתאם להחלטת ביה"ד האמורה</w:t>
      </w:r>
      <w:r w:rsidR="003461F8">
        <w:rPr>
          <w:rFonts w:ascii="David" w:eastAsia="Calibri" w:hAnsi="David" w:cs="David" w:hint="cs"/>
          <w:sz w:val="24"/>
          <w:szCs w:val="24"/>
          <w:rtl/>
        </w:rPr>
        <w:t xml:space="preserve"> לעיל</w:t>
      </w:r>
      <w:r w:rsidR="00552EE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יוצרת את הרושם שלב"כ המדינה יש חסינות והם רשאים לעוות עובדות, להטעות את בית הדין ואף לשקר ללא מורא</w:t>
      </w:r>
      <w:r w:rsidR="00552EEB">
        <w:rPr>
          <w:rFonts w:ascii="David" w:eastAsia="Calibri" w:hAnsi="David" w:cs="David" w:hint="cs"/>
          <w:sz w:val="24"/>
          <w:szCs w:val="24"/>
          <w:rtl/>
        </w:rPr>
        <w:t>,</w:t>
      </w:r>
      <w:r w:rsidR="00552EEB" w:rsidRPr="00552EE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552EEB" w:rsidRPr="00D24D01">
        <w:rPr>
          <w:rFonts w:ascii="David" w:eastAsia="Calibri" w:hAnsi="David" w:cs="David" w:hint="cs"/>
          <w:sz w:val="24"/>
          <w:szCs w:val="24"/>
          <w:rtl/>
        </w:rPr>
        <w:t xml:space="preserve">כמתואר למשל במסמך "בקשת התובע לאור הודעות המדינה </w:t>
      </w:r>
      <w:proofErr w:type="spellStart"/>
      <w:r w:rsidR="00552EEB" w:rsidRPr="00D24D01">
        <w:rPr>
          <w:rFonts w:ascii="David" w:eastAsia="Calibri" w:hAnsi="David" w:cs="David" w:hint="cs"/>
          <w:sz w:val="24"/>
          <w:szCs w:val="24"/>
          <w:rtl/>
        </w:rPr>
        <w:t>בענין</w:t>
      </w:r>
      <w:proofErr w:type="spellEnd"/>
      <w:r w:rsidR="00552EEB" w:rsidRPr="00D24D01">
        <w:rPr>
          <w:rFonts w:ascii="David" w:eastAsia="Calibri" w:hAnsi="David" w:cs="David" w:hint="cs"/>
          <w:sz w:val="24"/>
          <w:szCs w:val="24"/>
          <w:rtl/>
        </w:rPr>
        <w:t xml:space="preserve"> הסכמות הצדדים" מיום 10.3.2024</w:t>
      </w:r>
      <w:r w:rsidR="00552EEB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60E5365A" w14:textId="77777777" w:rsidR="00552EEB" w:rsidRPr="00552EEB" w:rsidRDefault="00552EEB" w:rsidP="00552EEB">
      <w:pPr>
        <w:pStyle w:val="a9"/>
        <w:rPr>
          <w:rFonts w:ascii="David" w:eastAsia="Calibri" w:hAnsi="David" w:cs="David" w:hint="cs"/>
          <w:sz w:val="8"/>
          <w:szCs w:val="8"/>
          <w:rtl/>
        </w:rPr>
      </w:pPr>
    </w:p>
    <w:p w14:paraId="7E22D1D8" w14:textId="6E47ECAA" w:rsidR="00D24D01" w:rsidRDefault="00552EEB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right="426" w:hanging="283"/>
        <w:contextualSpacing/>
        <w:jc w:val="both"/>
        <w:rPr>
          <w:rFonts w:ascii="David" w:eastAsia="Calibri" w:hAnsi="David" w:cs="David"/>
          <w:sz w:val="16"/>
          <w:szCs w:val="16"/>
        </w:rPr>
      </w:pPr>
      <w:r w:rsidRPr="00052BEA">
        <w:rPr>
          <w:rFonts w:ascii="David" w:eastAsia="Calibri" w:hAnsi="David" w:cs="David" w:hint="cs"/>
          <w:sz w:val="24"/>
          <w:szCs w:val="24"/>
          <w:rtl/>
        </w:rPr>
        <w:t>תחושה קשה ומי</w:t>
      </w:r>
      <w:r w:rsidR="003461F8" w:rsidRPr="00052BEA">
        <w:rPr>
          <w:rFonts w:ascii="David" w:eastAsia="Calibri" w:hAnsi="David" w:cs="David" w:hint="cs"/>
          <w:sz w:val="24"/>
          <w:szCs w:val="24"/>
          <w:rtl/>
        </w:rPr>
        <w:t>י</w:t>
      </w:r>
      <w:r w:rsidRPr="00052BEA">
        <w:rPr>
          <w:rFonts w:ascii="David" w:eastAsia="Calibri" w:hAnsi="David" w:cs="David" w:hint="cs"/>
          <w:sz w:val="24"/>
          <w:szCs w:val="24"/>
          <w:rtl/>
        </w:rPr>
        <w:t>אשת זו חוזרת על עצמה למקרא ה</w:t>
      </w:r>
      <w:r w:rsidR="00D24D01" w:rsidRPr="00052BEA">
        <w:rPr>
          <w:rFonts w:ascii="David" w:eastAsia="Calibri" w:hAnsi="David" w:cs="David" w:hint="cs"/>
          <w:sz w:val="24"/>
          <w:szCs w:val="24"/>
          <w:rtl/>
        </w:rPr>
        <w:t>הודעה האחרונה של המדינה לבית הדין, מיום 17.11.2024, כמתואר כבר בתגובתי מיום ד' כסליו תשפ"ה, 5.12.2024 (התאריך הלועזי 10.3.2024</w:t>
      </w:r>
      <w:r w:rsidRPr="00052BEA">
        <w:rPr>
          <w:rFonts w:ascii="David" w:eastAsia="Calibri" w:hAnsi="David" w:cs="David" w:hint="cs"/>
          <w:sz w:val="24"/>
          <w:szCs w:val="24"/>
          <w:rtl/>
        </w:rPr>
        <w:t>,</w:t>
      </w:r>
      <w:r w:rsidR="00D24D01" w:rsidRPr="00052BEA">
        <w:rPr>
          <w:rFonts w:ascii="David" w:eastAsia="Calibri" w:hAnsi="David" w:cs="David" w:hint="cs"/>
          <w:sz w:val="24"/>
          <w:szCs w:val="24"/>
          <w:rtl/>
        </w:rPr>
        <w:t xml:space="preserve"> המופיע בתחתית המסמך</w:t>
      </w:r>
      <w:r w:rsidRPr="00052BEA">
        <w:rPr>
          <w:rFonts w:ascii="David" w:eastAsia="Calibri" w:hAnsi="David" w:cs="David" w:hint="cs"/>
          <w:sz w:val="24"/>
          <w:szCs w:val="24"/>
          <w:rtl/>
        </w:rPr>
        <w:t>,</w:t>
      </w:r>
      <w:r w:rsidR="00D24D01" w:rsidRPr="00052BEA">
        <w:rPr>
          <w:rFonts w:ascii="David" w:eastAsia="Calibri" w:hAnsi="David" w:cs="David" w:hint="cs"/>
          <w:sz w:val="24"/>
          <w:szCs w:val="24"/>
          <w:rtl/>
        </w:rPr>
        <w:t xml:space="preserve"> הינו טעות סופר). </w:t>
      </w:r>
      <w:r w:rsidR="00052BEA">
        <w:rPr>
          <w:rFonts w:ascii="David" w:eastAsia="Calibri" w:hAnsi="David" w:cs="David" w:hint="cs"/>
          <w:sz w:val="24"/>
          <w:szCs w:val="24"/>
          <w:rtl/>
        </w:rPr>
        <w:t xml:space="preserve">להלן מספר </w:t>
      </w:r>
      <w:proofErr w:type="spellStart"/>
      <w:r w:rsidR="00052BEA">
        <w:rPr>
          <w:rFonts w:ascii="David" w:eastAsia="Calibri" w:hAnsi="David" w:cs="David" w:hint="cs"/>
          <w:sz w:val="24"/>
          <w:szCs w:val="24"/>
          <w:rtl/>
        </w:rPr>
        <w:t>דוגמאו</w:t>
      </w:r>
      <w:proofErr w:type="spellEnd"/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052BEA">
        <w:rPr>
          <w:rFonts w:ascii="David" w:eastAsia="Calibri" w:hAnsi="David" w:cs="David" w:hint="cs"/>
          <w:sz w:val="24"/>
          <w:szCs w:val="24"/>
          <w:rtl/>
        </w:rPr>
        <w:t>המתיחסות</w:t>
      </w:r>
      <w:proofErr w:type="spellEnd"/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לסעיף 1 בלבד במסמך: </w:t>
      </w:r>
    </w:p>
    <w:p w14:paraId="6D2A25E9" w14:textId="77777777" w:rsidR="00052BEA" w:rsidRPr="00052BEA" w:rsidRDefault="00052BEA" w:rsidP="00052BEA">
      <w:pPr>
        <w:tabs>
          <w:tab w:val="left" w:pos="5471"/>
        </w:tabs>
        <w:spacing w:after="0" w:line="240" w:lineRule="auto"/>
        <w:ind w:left="720" w:right="426"/>
        <w:contextualSpacing/>
        <w:jc w:val="both"/>
        <w:rPr>
          <w:rFonts w:ascii="David" w:eastAsia="Calibri" w:hAnsi="David" w:cs="David"/>
          <w:sz w:val="16"/>
          <w:szCs w:val="16"/>
          <w:rtl/>
        </w:rPr>
      </w:pPr>
    </w:p>
    <w:p w14:paraId="18D93CFD" w14:textId="66468F1B" w:rsidR="00D24D01" w:rsidRPr="00D24D01" w:rsidRDefault="00D24D01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בסעיף ב להודעת המדינה</w:t>
      </w:r>
      <w:r w:rsidR="00552EEB">
        <w:rPr>
          <w:rFonts w:ascii="David" w:eastAsia="Calibri" w:hAnsi="David" w:cs="David" w:hint="cs"/>
          <w:sz w:val="24"/>
          <w:szCs w:val="24"/>
          <w:rtl/>
        </w:rPr>
        <w:t xml:space="preserve"> האחרונה</w:t>
      </w:r>
      <w:r w:rsidRPr="00D24D01">
        <w:rPr>
          <w:rFonts w:ascii="David" w:eastAsia="Calibri" w:hAnsi="David" w:cs="David" w:hint="cs"/>
          <w:sz w:val="24"/>
          <w:szCs w:val="24"/>
          <w:rtl/>
        </w:rPr>
        <w:t>, נאמר כי כלל טענות</w:t>
      </w:r>
      <w:r w:rsidR="00552EEB">
        <w:rPr>
          <w:rFonts w:ascii="David" w:eastAsia="Calibri" w:hAnsi="David" w:cs="David" w:hint="cs"/>
          <w:sz w:val="24"/>
          <w:szCs w:val="24"/>
          <w:rtl/>
        </w:rPr>
        <w:t xml:space="preserve"> התובע </w:t>
      </w:r>
      <w:r w:rsidRPr="00D24D01">
        <w:rPr>
          <w:rFonts w:ascii="David" w:eastAsia="Calibri" w:hAnsi="David" w:cs="David" w:hint="cs"/>
          <w:sz w:val="24"/>
          <w:szCs w:val="24"/>
          <w:rtl/>
        </w:rPr>
        <w:t>"התבררו באופן מעמיק".</w:t>
      </w:r>
    </w:p>
    <w:p w14:paraId="61057094" w14:textId="77777777" w:rsidR="00D24D01" w:rsidRPr="00D24D01" w:rsidRDefault="00D24D01" w:rsidP="00D24D01">
      <w:pPr>
        <w:tabs>
          <w:tab w:val="left" w:pos="5471"/>
        </w:tabs>
        <w:spacing w:after="0" w:line="240" w:lineRule="auto"/>
        <w:ind w:left="360" w:right="426"/>
        <w:jc w:val="both"/>
        <w:rPr>
          <w:rFonts w:ascii="David" w:eastAsia="Calibri" w:hAnsi="David" w:cs="David"/>
          <w:sz w:val="6"/>
          <w:szCs w:val="6"/>
        </w:rPr>
      </w:pPr>
    </w:p>
    <w:p w14:paraId="28BCC039" w14:textId="77777777" w:rsidR="00D24D01" w:rsidRDefault="00D24D01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האמנם?  </w:t>
      </w:r>
    </w:p>
    <w:p w14:paraId="35695FC5" w14:textId="744B95B2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א</w:t>
      </w:r>
      <w:r w:rsidRPr="00552EEB">
        <w:rPr>
          <w:rFonts w:ascii="David" w:eastAsia="Calibri" w:hAnsi="David" w:cs="David" w:hint="cs"/>
          <w:sz w:val="24"/>
          <w:szCs w:val="24"/>
          <w:rtl/>
        </w:rPr>
        <w:t>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במהלך הפגישה אצל פרקליטת המחוז</w:t>
      </w:r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3461F8">
        <w:rPr>
          <w:rFonts w:ascii="David" w:eastAsia="Calibri" w:hAnsi="David" w:cs="David" w:hint="cs"/>
          <w:sz w:val="24"/>
          <w:szCs w:val="24"/>
          <w:rtl/>
        </w:rPr>
        <w:t xml:space="preserve">(כבר </w:t>
      </w:r>
      <w:r>
        <w:rPr>
          <w:rFonts w:ascii="David" w:eastAsia="Calibri" w:hAnsi="David" w:cs="David" w:hint="cs"/>
          <w:sz w:val="24"/>
          <w:szCs w:val="24"/>
          <w:rtl/>
        </w:rPr>
        <w:t>ב-7.3.2014)</w:t>
      </w:r>
      <w:r w:rsidR="003461F8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הצבעתי, בין היתר, על שתי עובדות מהותיות</w:t>
      </w:r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שלא זכו </w:t>
      </w:r>
      <w:proofErr w:type="spellStart"/>
      <w:r w:rsidR="00052BEA">
        <w:rPr>
          <w:rFonts w:ascii="David" w:eastAsia="Calibri" w:hAnsi="David" w:cs="David" w:hint="cs"/>
          <w:sz w:val="24"/>
          <w:szCs w:val="24"/>
          <w:rtl/>
        </w:rPr>
        <w:t>להתיחסות</w:t>
      </w:r>
      <w:proofErr w:type="spellEnd"/>
      <w:r w:rsidR="00052BEA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proofErr w:type="spellStart"/>
      <w:r w:rsidR="00052BEA">
        <w:rPr>
          <w:rFonts w:ascii="David" w:eastAsia="Calibri" w:hAnsi="David" w:cs="David" w:hint="cs"/>
          <w:sz w:val="24"/>
          <w:szCs w:val="24"/>
          <w:rtl/>
        </w:rPr>
        <w:t>ובודאי</w:t>
      </w:r>
      <w:proofErr w:type="spellEnd"/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לא ל"ברור מעמיק":</w:t>
      </w:r>
    </w:p>
    <w:p w14:paraId="6B49AA50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12"/>
          <w:szCs w:val="12"/>
          <w:rtl/>
        </w:rPr>
      </w:pPr>
    </w:p>
    <w:p w14:paraId="190291F4" w14:textId="1DCDD866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1: אין בכתב ההגנה כל פרשנות לסעיף 12ב לחוזה לחישוב הפנסיה בגין תקופת העבודה בחוזה, השונה מהפרשנות שבכתב התביעה, שעיקרה: פנסיה של 2% לשנה על כל 22.67 </w:t>
      </w:r>
      <w:r w:rsidRPr="00552EEB">
        <w:rPr>
          <w:rFonts w:ascii="David" w:eastAsia="Calibri" w:hAnsi="David" w:cs="David" w:hint="cs"/>
          <w:sz w:val="24"/>
          <w:szCs w:val="24"/>
          <w:rtl/>
        </w:rPr>
        <w:t>שנות עבודה בחוזה, לפי משכורת החוזה, ל</w:t>
      </w:r>
      <w:r>
        <w:rPr>
          <w:rFonts w:ascii="David" w:eastAsia="Calibri" w:hAnsi="David" w:cs="David" w:hint="cs"/>
          <w:sz w:val="24"/>
          <w:szCs w:val="24"/>
          <w:rtl/>
        </w:rPr>
        <w:t>לא</w:t>
      </w: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שקלול כלשהו. (ר' בעיקר סעיפים 16 ו-20 לכתב התביעה).</w:t>
      </w:r>
    </w:p>
    <w:p w14:paraId="3E673C3C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</w:p>
    <w:p w14:paraId="75C05D9A" w14:textId="3B34C188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    יצוין כי כל המשתתפים בדיון הסכימו, שזו אכן לכאורה הפרשנות הנכונה והסבירה, כשהם מדגישים שהם יבדקו את </w:t>
      </w:r>
      <w:proofErr w:type="spellStart"/>
      <w:r w:rsidRPr="00552EEB">
        <w:rPr>
          <w:rFonts w:ascii="David" w:eastAsia="Calibri" w:hAnsi="David" w:cs="David" w:hint="cs"/>
          <w:sz w:val="24"/>
          <w:szCs w:val="24"/>
          <w:rtl/>
        </w:rPr>
        <w:t>הענין</w:t>
      </w:r>
      <w:proofErr w:type="spellEnd"/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מול הגורמים המקצועיים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ויחזרו אלי עם תשובה</w:t>
      </w:r>
      <w:r w:rsidR="00052BEA">
        <w:rPr>
          <w:rFonts w:ascii="David" w:eastAsia="Calibri" w:hAnsi="David" w:cs="David" w:hint="cs"/>
          <w:sz w:val="24"/>
          <w:szCs w:val="24"/>
          <w:rtl/>
        </w:rPr>
        <w:t xml:space="preserve"> שלא נתקבלה מעולם.</w:t>
      </w:r>
    </w:p>
    <w:p w14:paraId="5E1B2A43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</w:t>
      </w:r>
    </w:p>
    <w:p w14:paraId="1FB82C59" w14:textId="2C680FFE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lastRenderedPageBreak/>
        <w:t xml:space="preserve">  2. הטענה המהותית היחידה בכתב ההגנה "לגופו של ענין" הנוסחה לחישוב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היא כי התביעה מבקשת כביכול "להחיל נוסחת חישוב מיטיבה שנקבעה ע"י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נש"מ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ב-24.10.2014 (ונכנסה לתוקף החל מ-1.11.2014). דא עקא התובע פרש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לגימלאות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כבר......ב-2012" </w:t>
      </w:r>
      <w:r>
        <w:rPr>
          <w:rFonts w:ascii="David" w:eastAsia="Calibri" w:hAnsi="David" w:cs="David" w:hint="cs"/>
          <w:sz w:val="24"/>
          <w:szCs w:val="24"/>
          <w:rtl/>
        </w:rPr>
        <w:t xml:space="preserve">(תלוש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הראשון: 1.1.2013)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ו"על כן אינו זכאי לחישוב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על פי הנוסחה המוזכרת". </w:t>
      </w:r>
    </w:p>
    <w:p w14:paraId="7631099A" w14:textId="77777777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טענתי שהטיעון הזה מופרך מהיסוד, מכמה סיבות:</w:t>
      </w:r>
    </w:p>
    <w:p w14:paraId="3CE11199" w14:textId="11ED2769" w:rsidR="00552EEB" w:rsidRPr="00552EEB" w:rsidRDefault="00552EEB" w:rsidP="00552EEB">
      <w:pPr>
        <w:pStyle w:val="a9"/>
        <w:numPr>
          <w:ilvl w:val="0"/>
          <w:numId w:val="2"/>
        </w:numPr>
        <w:tabs>
          <w:tab w:val="left" w:pos="5471"/>
        </w:tabs>
        <w:spacing w:after="0" w:line="240" w:lineRule="auto"/>
        <w:ind w:right="426"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מעולם לא בקשתי להחיל את ה"נוסחה המיטיבה" אלא אך ורק את הפנסיה לפי הנוסחה המתבקשת מסעיף 12ב לחוזה שאיש לא חולק על פרשנותו בכתב התביעה.</w:t>
      </w:r>
    </w:p>
    <w:p w14:paraId="7AA4C8DC" w14:textId="77777777" w:rsidR="00552EEB" w:rsidRPr="00552EEB" w:rsidRDefault="00552EEB" w:rsidP="00552EEB">
      <w:pPr>
        <w:pStyle w:val="a9"/>
        <w:tabs>
          <w:tab w:val="left" w:pos="5471"/>
        </w:tabs>
        <w:spacing w:after="0" w:line="240" w:lineRule="auto"/>
        <w:ind w:left="813" w:right="426"/>
        <w:jc w:val="both"/>
        <w:rPr>
          <w:rFonts w:ascii="David" w:eastAsia="Calibri" w:hAnsi="David" w:cs="David"/>
          <w:b/>
          <w:bCs/>
          <w:sz w:val="12"/>
          <w:szCs w:val="12"/>
        </w:rPr>
      </w:pPr>
    </w:p>
    <w:p w14:paraId="00C9B360" w14:textId="5D74D86D" w:rsidR="00552EEB" w:rsidRPr="00552EEB" w:rsidRDefault="00552EEB" w:rsidP="00552EEB">
      <w:pPr>
        <w:pStyle w:val="a9"/>
        <w:numPr>
          <w:ilvl w:val="0"/>
          <w:numId w:val="2"/>
        </w:numPr>
        <w:tabs>
          <w:tab w:val="left" w:pos="5471"/>
        </w:tabs>
        <w:spacing w:after="0" w:line="240" w:lineRule="auto"/>
        <w:ind w:right="426"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הנוסחה בכתב התביעה היא אותה נוסחה כפי שהיא מופיעה בכל פניות התובע, החל מפנייתו הראשונה לתיקון נוסחת חישוב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גימלתו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, במכתבו אל סגן נציב שרות המדינה, מיום 8.1.2013, (נספח 4 לכתב התביעה), </w:t>
      </w: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כשנתיים(!!) </w:t>
      </w:r>
      <w:r w:rsidRPr="00052BEA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לפני</w:t>
      </w: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שמישהו חלם על "נוסחה מיטיבה". </w:t>
      </w:r>
    </w:p>
    <w:p w14:paraId="79F65441" w14:textId="77777777" w:rsidR="00552EEB" w:rsidRDefault="00552EEB" w:rsidP="00552EEB">
      <w:pPr>
        <w:pStyle w:val="a9"/>
        <w:tabs>
          <w:tab w:val="left" w:pos="5471"/>
        </w:tabs>
        <w:spacing w:after="0" w:line="240" w:lineRule="auto"/>
        <w:ind w:left="813" w:right="426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איך אפשר לטעון שהתביעה במכתב מ-8.1.2013, מבקשת להחיל נוסחה שלא נולדה? </w:t>
      </w:r>
    </w:p>
    <w:p w14:paraId="2F72498E" w14:textId="77777777" w:rsidR="00552EEB" w:rsidRPr="00052BEA" w:rsidRDefault="00552EEB" w:rsidP="00552EEB">
      <w:pPr>
        <w:pStyle w:val="a9"/>
        <w:rPr>
          <w:rFonts w:ascii="David" w:eastAsia="Calibri" w:hAnsi="David" w:cs="David" w:hint="cs"/>
          <w:b/>
          <w:bCs/>
          <w:sz w:val="14"/>
          <w:szCs w:val="14"/>
          <w:rtl/>
        </w:rPr>
      </w:pPr>
    </w:p>
    <w:p w14:paraId="6891A906" w14:textId="2B7D2615" w:rsidR="00552EEB" w:rsidRDefault="00552EEB" w:rsidP="00552EEB">
      <w:pPr>
        <w:pStyle w:val="a9"/>
        <w:numPr>
          <w:ilvl w:val="0"/>
          <w:numId w:val="2"/>
        </w:numPr>
        <w:tabs>
          <w:tab w:val="left" w:pos="5471"/>
        </w:tabs>
        <w:spacing w:after="0" w:line="240" w:lineRule="auto"/>
        <w:ind w:right="426"/>
        <w:jc w:val="both"/>
        <w:rPr>
          <w:rFonts w:ascii="David" w:eastAsia="Calibri" w:hAnsi="David" w:cs="David"/>
          <w:b/>
          <w:bCs/>
          <w:sz w:val="24"/>
          <w:szCs w:val="24"/>
        </w:rPr>
      </w:pPr>
      <w:r w:rsidRPr="00552EEB">
        <w:rPr>
          <w:rFonts w:ascii="Calibri" w:eastAsia="Calibri" w:hAnsi="Calibri" w:cs="David" w:hint="cs"/>
          <w:sz w:val="24"/>
          <w:szCs w:val="24"/>
          <w:rtl/>
        </w:rPr>
        <w:t xml:space="preserve">חישוב </w:t>
      </w:r>
      <w:proofErr w:type="spellStart"/>
      <w:r w:rsidRPr="00552EEB">
        <w:rPr>
          <w:rFonts w:ascii="Calibri" w:eastAsia="Calibri" w:hAnsi="Calibri" w:cs="David" w:hint="cs"/>
          <w:sz w:val="24"/>
          <w:szCs w:val="24"/>
          <w:rtl/>
        </w:rPr>
        <w:t>גימלה</w:t>
      </w:r>
      <w:proofErr w:type="spellEnd"/>
      <w:r w:rsidRPr="00552EEB">
        <w:rPr>
          <w:rFonts w:ascii="Calibri" w:eastAsia="Calibri" w:hAnsi="Calibri" w:cs="David" w:hint="cs"/>
          <w:sz w:val="24"/>
          <w:szCs w:val="24"/>
          <w:rtl/>
        </w:rPr>
        <w:t xml:space="preserve"> "משופר" אושר רק לפורשים אחרי 1.11.14, </w:t>
      </w:r>
      <w:r w:rsidRPr="00552EEB">
        <w:rPr>
          <w:rFonts w:ascii="Calibri" w:eastAsia="Calibri" w:hAnsi="Calibri" w:cs="David" w:hint="cs"/>
          <w:b/>
          <w:bCs/>
          <w:sz w:val="24"/>
          <w:szCs w:val="24"/>
          <w:rtl/>
        </w:rPr>
        <w:t>מדוע א</w:t>
      </w:r>
      <w:r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ושרה שיטת </w:t>
      </w:r>
      <w:r w:rsidRPr="00552EEB">
        <w:rPr>
          <w:rFonts w:ascii="Calibri" w:eastAsia="Calibri" w:hAnsi="Calibri" w:cs="David" w:hint="cs"/>
          <w:b/>
          <w:bCs/>
          <w:sz w:val="24"/>
          <w:szCs w:val="24"/>
          <w:rtl/>
        </w:rPr>
        <w:t>חישוב זו גם למי שפרש לפני מועד זה,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552EEB">
        <w:rPr>
          <w:rFonts w:ascii="Calibri" w:eastAsia="Calibri" w:hAnsi="Calibri" w:cs="David" w:hint="cs"/>
          <w:sz w:val="24"/>
          <w:szCs w:val="24"/>
          <w:u w:val="single"/>
          <w:rtl/>
        </w:rPr>
        <w:t>כולל לעובדים בחוזה זהה לשלי,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 xml:space="preserve"> כמו מר </w:t>
      </w:r>
      <w:proofErr w:type="spellStart"/>
      <w:r w:rsidRPr="00552EEB">
        <w:rPr>
          <w:rFonts w:ascii="Calibri" w:eastAsia="Calibri" w:hAnsi="Calibri" w:cs="David" w:hint="cs"/>
          <w:sz w:val="24"/>
          <w:szCs w:val="24"/>
          <w:rtl/>
        </w:rPr>
        <w:t>פרנקנבורג</w:t>
      </w:r>
      <w:proofErr w:type="spellEnd"/>
      <w:r w:rsidRPr="00552EEB">
        <w:rPr>
          <w:rFonts w:ascii="Calibri" w:eastAsia="Calibri" w:hAnsi="Calibri" w:cs="David" w:hint="cs"/>
          <w:sz w:val="24"/>
          <w:szCs w:val="24"/>
          <w:rtl/>
        </w:rPr>
        <w:t xml:space="preserve"> שפרש כבר ב-28.2.14!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>(</w:t>
      </w:r>
      <w:r>
        <w:rPr>
          <w:rFonts w:ascii="Calibri" w:eastAsia="Calibri" w:hAnsi="Calibri" w:cs="David" w:hint="cs"/>
          <w:sz w:val="24"/>
          <w:szCs w:val="24"/>
          <w:rtl/>
        </w:rPr>
        <w:t>ו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>כמו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התובע,  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>לא חתם על נספח כלשהו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לחוזה</w:t>
      </w:r>
      <w:r w:rsidRPr="00552EEB">
        <w:rPr>
          <w:rFonts w:ascii="Calibri" w:eastAsia="Calibri" w:hAnsi="Calibri" w:cs="David" w:hint="cs"/>
          <w:sz w:val="24"/>
          <w:szCs w:val="24"/>
          <w:rtl/>
        </w:rPr>
        <w:t>)</w:t>
      </w:r>
      <w:r>
        <w:rPr>
          <w:rFonts w:ascii="Calibri" w:eastAsia="Calibri" w:hAnsi="Calibri" w:cs="David" w:hint="cs"/>
          <w:sz w:val="24"/>
          <w:szCs w:val="24"/>
          <w:rtl/>
        </w:rPr>
        <w:t>?</w:t>
      </w:r>
    </w:p>
    <w:p w14:paraId="27709B5D" w14:textId="08063A2A" w:rsidR="00552EEB" w:rsidRDefault="00552EEB" w:rsidP="00552EEB">
      <w:pPr>
        <w:pStyle w:val="a9"/>
        <w:tabs>
          <w:tab w:val="left" w:pos="5471"/>
        </w:tabs>
        <w:spacing w:after="0" w:line="240" w:lineRule="auto"/>
        <w:ind w:left="813" w:right="426"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אם המדינה מצאה דרך להחיל </w:t>
      </w:r>
      <w:r w:rsidRPr="00052BEA">
        <w:rPr>
          <w:rFonts w:ascii="David" w:eastAsia="Calibri" w:hAnsi="David" w:cs="David" w:hint="cs"/>
          <w:sz w:val="24"/>
          <w:szCs w:val="24"/>
          <w:u w:val="single"/>
          <w:rtl/>
        </w:rPr>
        <w:t>שרירותית</w:t>
      </w: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את מה שהיא מכנה "נוסחה מיטיבה" רטרואקטיבית</w:t>
      </w:r>
      <w:r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052BEA" w:rsidRPr="00052BEA">
        <w:rPr>
          <w:rFonts w:ascii="David" w:eastAsia="Calibri" w:hAnsi="David" w:cs="David" w:hint="cs"/>
          <w:sz w:val="24"/>
          <w:szCs w:val="24"/>
          <w:rtl/>
        </w:rPr>
        <w:t xml:space="preserve">(מנובמבר 2014 חזרה </w:t>
      </w:r>
      <w:proofErr w:type="spellStart"/>
      <w:r w:rsidR="00052BEA" w:rsidRPr="00052BEA">
        <w:rPr>
          <w:rFonts w:ascii="David" w:eastAsia="Calibri" w:hAnsi="David" w:cs="David" w:hint="cs"/>
          <w:sz w:val="24"/>
          <w:szCs w:val="24"/>
          <w:rtl/>
        </w:rPr>
        <w:t>לפברןאר</w:t>
      </w:r>
      <w:proofErr w:type="spellEnd"/>
      <w:r w:rsidR="00052BEA" w:rsidRPr="00052BEA">
        <w:rPr>
          <w:rFonts w:ascii="David" w:eastAsia="Calibri" w:hAnsi="David" w:cs="David" w:hint="cs"/>
          <w:sz w:val="24"/>
          <w:szCs w:val="24"/>
          <w:rtl/>
        </w:rPr>
        <w:t xml:space="preserve"> 2014)</w:t>
      </w:r>
      <w:r w:rsid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מדוע האפליה נגדי?</w:t>
      </w:r>
    </w:p>
    <w:p w14:paraId="4BB4C54A" w14:textId="77777777" w:rsidR="00552EEB" w:rsidRPr="00552EEB" w:rsidRDefault="00552EEB" w:rsidP="00552EEB">
      <w:pPr>
        <w:pStyle w:val="a9"/>
        <w:tabs>
          <w:tab w:val="left" w:pos="5471"/>
        </w:tabs>
        <w:spacing w:after="0" w:line="240" w:lineRule="auto"/>
        <w:ind w:left="813" w:right="426"/>
        <w:jc w:val="both"/>
        <w:rPr>
          <w:rFonts w:ascii="David" w:eastAsia="Calibri" w:hAnsi="David" w:cs="David"/>
          <w:sz w:val="8"/>
          <w:szCs w:val="8"/>
        </w:rPr>
      </w:pPr>
    </w:p>
    <w:p w14:paraId="177E3455" w14:textId="1C30DD46" w:rsidR="00552EEB" w:rsidRPr="00552EEB" w:rsidRDefault="00552EEB" w:rsidP="00552EEB">
      <w:pPr>
        <w:pStyle w:val="a9"/>
        <w:tabs>
          <w:tab w:val="left" w:pos="5471"/>
        </w:tabs>
        <w:spacing w:after="0" w:line="240" w:lineRule="auto"/>
        <w:ind w:left="813" w:right="426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 xml:space="preserve">בהקשר זה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יצויין</w:t>
      </w:r>
      <w:proofErr w:type="spellEnd"/>
      <w:r>
        <w:rPr>
          <w:rFonts w:ascii="Calibri" w:eastAsia="Calibri" w:hAnsi="Calibri" w:cs="David" w:hint="cs"/>
          <w:sz w:val="24"/>
          <w:szCs w:val="24"/>
          <w:rtl/>
        </w:rPr>
        <w:t xml:space="preserve"> כי עו"ד מגי </w:t>
      </w:r>
      <w:proofErr w:type="spellStart"/>
      <w:r>
        <w:rPr>
          <w:rFonts w:ascii="Calibri" w:eastAsia="Calibri" w:hAnsi="Calibri" w:cs="David" w:hint="cs"/>
          <w:sz w:val="24"/>
          <w:szCs w:val="24"/>
          <w:rtl/>
        </w:rPr>
        <w:t>קריטנשטיין</w:t>
      </w:r>
      <w:proofErr w:type="spellEnd"/>
      <w:r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מנהלת המחלקה לדיני עבודה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אף תמהה בקול: איך (או: באיזו סמכות) החליטה הנציבות </w:t>
      </w:r>
      <w:r w:rsidR="00052BEA">
        <w:rPr>
          <w:rFonts w:ascii="Calibri" w:eastAsia="Calibri" w:hAnsi="Calibri" w:cs="David" w:hint="cs"/>
          <w:sz w:val="24"/>
          <w:szCs w:val="24"/>
          <w:rtl/>
        </w:rPr>
        <w:t xml:space="preserve">בכלל 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לאשר את השינוי של נוסחת חישוב הפנסיה ולאחר מכן גם לשנות רטרואקטיבית את מועד התחולה? </w:t>
      </w:r>
    </w:p>
    <w:p w14:paraId="36BF4C84" w14:textId="77777777" w:rsidR="00552EEB" w:rsidRPr="00052BEA" w:rsidRDefault="00552EEB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16"/>
          <w:szCs w:val="16"/>
          <w:rtl/>
        </w:rPr>
      </w:pPr>
    </w:p>
    <w:p w14:paraId="4C91BADF" w14:textId="3CD90082" w:rsidR="00552EEB" w:rsidRDefault="00552EEB" w:rsidP="00552EEB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הובטח לי שהדברים יבדקו אך לא זכיתי </w:t>
      </w:r>
      <w:proofErr w:type="spellStart"/>
      <w:r w:rsidRPr="00552EEB">
        <w:rPr>
          <w:rFonts w:ascii="David" w:eastAsia="Calibri" w:hAnsi="David" w:cs="David" w:hint="cs"/>
          <w:sz w:val="24"/>
          <w:szCs w:val="24"/>
          <w:rtl/>
        </w:rPr>
        <w:t>להתיחסות</w:t>
      </w:r>
      <w:proofErr w:type="spellEnd"/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כלשהי לדברים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 בניגוד לנטען בהודעה לבית הדין ש"הטענות התבררו באופן מעמיק".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 </w:t>
      </w:r>
    </w:p>
    <w:p w14:paraId="37AF051B" w14:textId="5E4307DE" w:rsidR="00552EEB" w:rsidRPr="00552EEB" w:rsidRDefault="00552EEB" w:rsidP="00552EEB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8"/>
          <w:szCs w:val="8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76EA2137" w14:textId="06078924" w:rsidR="00552EEB" w:rsidRDefault="00552EEB" w:rsidP="00552EEB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מהשתלשלות הדברים, </w:t>
      </w:r>
      <w:r>
        <w:rPr>
          <w:rFonts w:ascii="David" w:eastAsia="Calibri" w:hAnsi="David" w:cs="David" w:hint="cs"/>
          <w:sz w:val="24"/>
          <w:szCs w:val="24"/>
          <w:rtl/>
        </w:rPr>
        <w:t>נראה לי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כי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לא מיותר לציין בהקשר זה כי בכל מקרה אין לשנות את כתב ההגנה ולתת פרשנות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חדשה או להעלות טיעונים </w:t>
      </w:r>
      <w:r>
        <w:rPr>
          <w:rFonts w:ascii="David" w:eastAsia="Calibri" w:hAnsi="David" w:cs="David" w:hint="cs"/>
          <w:sz w:val="24"/>
          <w:szCs w:val="24"/>
          <w:rtl/>
        </w:rPr>
        <w:t>חדש</w:t>
      </w:r>
      <w:r>
        <w:rPr>
          <w:rFonts w:ascii="David" w:eastAsia="Calibri" w:hAnsi="David" w:cs="David" w:hint="cs"/>
          <w:sz w:val="24"/>
          <w:szCs w:val="24"/>
          <w:rtl/>
        </w:rPr>
        <w:t>ים</w:t>
      </w:r>
      <w:r>
        <w:rPr>
          <w:rFonts w:ascii="David" w:eastAsia="Calibri" w:hAnsi="David" w:cs="David" w:hint="cs"/>
          <w:sz w:val="24"/>
          <w:szCs w:val="24"/>
          <w:rtl/>
        </w:rPr>
        <w:t xml:space="preserve">.   </w:t>
      </w:r>
    </w:p>
    <w:p w14:paraId="36324956" w14:textId="0F092442" w:rsidR="00552EEB" w:rsidRPr="00052BEA" w:rsidRDefault="00552EEB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0"/>
          <w:szCs w:val="20"/>
        </w:rPr>
      </w:pPr>
    </w:p>
    <w:p w14:paraId="035E2E26" w14:textId="3A73736B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ב: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מצ"ב מכתב מיום 23.5.2024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אל עו"ד מגי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קריטנשטיין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>, (</w:t>
      </w:r>
      <w:r>
        <w:rPr>
          <w:rFonts w:ascii="David" w:eastAsia="Calibri" w:hAnsi="David" w:cs="David" w:hint="cs"/>
          <w:sz w:val="24"/>
          <w:szCs w:val="24"/>
          <w:rtl/>
        </w:rPr>
        <w:t xml:space="preserve">עם 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העתק לעו"ד מינו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אליאסיאן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>-פלא)</w:t>
      </w:r>
      <w:r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שנכתב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לבקשתה 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בעמל רב,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כי לא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היה זמן לשמוע את הדברים בישיבה הקצרה אתי</w:t>
      </w: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(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נספח 1).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לטיעונים שבמסמך זה לא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היתה</w:t>
      </w:r>
      <w:proofErr w:type="spellEnd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כל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עניינית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(מלבד טעון מתחכם שהמסמך לא רלוונטי) </w:t>
      </w:r>
      <w:r w:rsidR="00052BEA">
        <w:rPr>
          <w:rFonts w:ascii="David" w:eastAsia="Calibri" w:hAnsi="David" w:cs="David" w:hint="cs"/>
          <w:sz w:val="24"/>
          <w:szCs w:val="24"/>
          <w:rtl/>
        </w:rPr>
        <w:t xml:space="preserve">שוב, </w:t>
      </w:r>
      <w:r>
        <w:rPr>
          <w:rFonts w:ascii="David" w:eastAsia="Calibri" w:hAnsi="David" w:cs="David" w:hint="cs"/>
          <w:sz w:val="24"/>
          <w:szCs w:val="24"/>
          <w:rtl/>
        </w:rPr>
        <w:t>בניגוד לטענה שהטענות התבררו באופן מעמיק.</w:t>
      </w:r>
    </w:p>
    <w:p w14:paraId="65B318DC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12"/>
          <w:szCs w:val="12"/>
          <w:rtl/>
        </w:rPr>
      </w:pPr>
    </w:p>
    <w:p w14:paraId="7A1AC271" w14:textId="71443A55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b/>
          <w:bCs/>
          <w:sz w:val="24"/>
          <w:szCs w:val="24"/>
          <w:rtl/>
        </w:rPr>
        <w:t>ג: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במהלך </w:t>
      </w:r>
      <w:r>
        <w:rPr>
          <w:rFonts w:ascii="David" w:eastAsia="Calibri" w:hAnsi="David" w:cs="David" w:hint="cs"/>
          <w:sz w:val="24"/>
          <w:szCs w:val="24"/>
          <w:rtl/>
        </w:rPr>
        <w:t>ה</w:t>
      </w:r>
      <w:r w:rsidRPr="00552EEB">
        <w:rPr>
          <w:rFonts w:ascii="David" w:eastAsia="Calibri" w:hAnsi="David" w:cs="David" w:hint="cs"/>
          <w:sz w:val="24"/>
          <w:szCs w:val="24"/>
          <w:rtl/>
        </w:rPr>
        <w:t>דיון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הגשתי לפרקליטת המחוז, לבקשתה, נוסחת פשרה לחישוב ממוצע משוקלל (על אף שאין מושג כזה בחוק או בחוזה). </w:t>
      </w:r>
      <w:r w:rsidRPr="00552EEB">
        <w:rPr>
          <w:rFonts w:ascii="David" w:eastAsia="Calibri" w:hAnsi="David" w:cs="David" w:hint="cs"/>
          <w:sz w:val="24"/>
          <w:szCs w:val="24"/>
          <w:rtl/>
        </w:rPr>
        <w:t>לצורך בחינתה.</w:t>
      </w:r>
    </w:p>
    <w:p w14:paraId="441099A8" w14:textId="72F3903B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 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בשיחה טלפונית עם ב"כ המדינה במשפט, התברר לי שבחינת הנוסחה הועברה לטיפולה אך היא אמרה לי שאיננה מבינה אותה. בקשתי </w:t>
      </w:r>
      <w:proofErr w:type="spellStart"/>
      <w:r w:rsidRPr="00552EEB"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ולהסביר, אך </w:t>
      </w:r>
      <w:proofErr w:type="spellStart"/>
      <w:r w:rsidRPr="00552EEB">
        <w:rPr>
          <w:rFonts w:ascii="David" w:eastAsia="Calibri" w:hAnsi="David" w:cs="David" w:hint="cs"/>
          <w:sz w:val="24"/>
          <w:szCs w:val="24"/>
          <w:rtl/>
        </w:rPr>
        <w:t>סורבתי</w:t>
      </w:r>
      <w:proofErr w:type="spellEnd"/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. עד היום לא קבלתי כל </w:t>
      </w:r>
      <w:proofErr w:type="spellStart"/>
      <w:r w:rsidRPr="00552EEB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Pr="00552EEB">
        <w:rPr>
          <w:rFonts w:ascii="David" w:eastAsia="Calibri" w:hAnsi="David" w:cs="David" w:hint="cs"/>
          <w:sz w:val="24"/>
          <w:szCs w:val="24"/>
          <w:rtl/>
        </w:rPr>
        <w:t xml:space="preserve"> להצעה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4F1D1429" w14:textId="77777777" w:rsid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23A5048E" w14:textId="70A088F7" w:rsidR="00552EEB" w:rsidRDefault="00552EEB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184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מאחר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ולהתיחסות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המדינה לטענות על התנהלותה יכול ותהיינה השלכות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משמעותיות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D24D01">
        <w:rPr>
          <w:rFonts w:ascii="David" w:eastAsia="Calibri" w:hAnsi="David" w:cs="David" w:hint="cs"/>
          <w:sz w:val="24"/>
          <w:szCs w:val="24"/>
          <w:rtl/>
        </w:rPr>
        <w:t>ומהותיות על המשך ההליך,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אני מבקש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ש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התיחסות</w:t>
      </w:r>
      <w:proofErr w:type="spellEnd"/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המדינה כמבוקש </w:t>
      </w:r>
      <w:proofErr w:type="spellStart"/>
      <w:r>
        <w:rPr>
          <w:rFonts w:ascii="David" w:eastAsia="Calibri" w:hAnsi="David" w:cs="David" w:hint="cs"/>
          <w:b/>
          <w:bCs/>
          <w:sz w:val="24"/>
          <w:szCs w:val="24"/>
          <w:rtl/>
        </w:rPr>
        <w:t>בפיסקא</w:t>
      </w:r>
      <w:proofErr w:type="spellEnd"/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3 לעיל, </w:t>
      </w:r>
      <w:proofErr w:type="spellStart"/>
      <w:r>
        <w:rPr>
          <w:rFonts w:ascii="David" w:eastAsia="Calibri" w:hAnsi="David" w:cs="David" w:hint="cs"/>
          <w:b/>
          <w:bCs/>
          <w:sz w:val="24"/>
          <w:szCs w:val="24"/>
          <w:rtl/>
        </w:rPr>
        <w:t>תתיחס</w:t>
      </w:r>
      <w:proofErr w:type="spellEnd"/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גם לטיעונים דלעיל, וכי ה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מועד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ל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הגשת התצהירים ייקבע לאחר שתתקבל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המדינה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בהתאם להחלטת בית הדין הנכבד מיום 25.3.2024</w:t>
      </w:r>
    </w:p>
    <w:p w14:paraId="47776425" w14:textId="77777777" w:rsidR="00552EEB" w:rsidRPr="00D24D01" w:rsidRDefault="00D24D01" w:rsidP="00552EEB">
      <w:pPr>
        <w:ind w:left="720"/>
        <w:contextualSpacing/>
        <w:rPr>
          <w:rFonts w:ascii="David" w:eastAsia="Calibri" w:hAnsi="David" w:cs="David"/>
          <w:sz w:val="16"/>
          <w:szCs w:val="16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4A49A87F" w14:textId="59B35F0B" w:rsidR="00552EEB" w:rsidRDefault="00552EEB" w:rsidP="00552EEB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ה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דרישה 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לקבלת </w:t>
      </w:r>
      <w:proofErr w:type="spellStart"/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המדינה 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תת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י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יתר כמובן אם המדינה תתעשת ותסכים בכל זאת לקיים דיון </w:t>
      </w:r>
      <w:proofErr w:type="spellStart"/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עינייני</w:t>
      </w:r>
      <w:proofErr w:type="spellEnd"/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של כשעתיים</w:t>
      </w:r>
      <w:r>
        <w:rPr>
          <w:rFonts w:ascii="David" w:eastAsia="Calibri" w:hAnsi="David" w:cs="David" w:hint="cs"/>
          <w:sz w:val="24"/>
          <w:szCs w:val="24"/>
          <w:rtl/>
        </w:rPr>
        <w:t xml:space="preserve">, ללא הפרעות, (במקום כ-30-40 דקות עם הפרעות חוזרות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ונישנות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במהלכן, או בשיחות טלפון בסוף יום העבודה, כשב"כ המדינה נוהגת במכונית בדרך לאיס</w:t>
      </w:r>
      <w:r>
        <w:rPr>
          <w:rFonts w:ascii="David" w:eastAsia="Calibri" w:hAnsi="David" w:cs="David" w:hint="cs"/>
          <w:sz w:val="24"/>
          <w:szCs w:val="24"/>
          <w:rtl/>
        </w:rPr>
        <w:t>ו</w:t>
      </w:r>
      <w:r>
        <w:rPr>
          <w:rFonts w:ascii="David" w:eastAsia="Calibri" w:hAnsi="David" w:cs="David" w:hint="cs"/>
          <w:sz w:val="24"/>
          <w:szCs w:val="24"/>
          <w:rtl/>
        </w:rPr>
        <w:t xml:space="preserve">ף ילד בגן או להבדיל, כשהפרקליטה לחוצה בדרך לביקור אצל קרובת משפחה בבית חולים),  </w:t>
      </w:r>
      <w:r w:rsidRPr="00052BEA">
        <w:rPr>
          <w:rFonts w:ascii="David" w:eastAsia="Calibri" w:hAnsi="David" w:cs="David" w:hint="cs"/>
          <w:b/>
          <w:bCs/>
          <w:sz w:val="24"/>
          <w:szCs w:val="24"/>
          <w:rtl/>
        </w:rPr>
        <w:t>בהן אפשר יהיה להציג עובדות, נתונים הסברים ומתן תשובה לשאלות, שקשה מאד להבהירן בהתכתבות מתישה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. </w:t>
      </w:r>
    </w:p>
    <w:p w14:paraId="06D1EDCD" w14:textId="77777777" w:rsidR="00552EEB" w:rsidRPr="00552EEB" w:rsidRDefault="00552EEB" w:rsidP="00552EEB">
      <w:pPr>
        <w:pStyle w:val="a9"/>
        <w:rPr>
          <w:rFonts w:ascii="David" w:eastAsia="Calibri" w:hAnsi="David" w:cs="David" w:hint="cs"/>
          <w:sz w:val="12"/>
          <w:szCs w:val="12"/>
          <w:rtl/>
        </w:rPr>
      </w:pPr>
    </w:p>
    <w:p w14:paraId="136650AE" w14:textId="2C1A7081" w:rsidR="00D24D01" w:rsidRPr="00552EEB" w:rsidRDefault="00552EEB" w:rsidP="00552EEB">
      <w:pPr>
        <w:numPr>
          <w:ilvl w:val="0"/>
          <w:numId w:val="1"/>
        </w:numPr>
        <w:tabs>
          <w:tab w:val="left" w:pos="5471"/>
        </w:tabs>
        <w:spacing w:after="0" w:line="312" w:lineRule="auto"/>
        <w:ind w:left="-99" w:right="567" w:hanging="283"/>
        <w:contextualSpacing/>
        <w:jc w:val="both"/>
        <w:rPr>
          <w:rFonts w:ascii="David" w:eastAsia="Calibri" w:hAnsi="David" w:cs="David"/>
          <w:b/>
          <w:bCs/>
          <w:rtl/>
        </w:rPr>
      </w:pPr>
      <w:r w:rsidRPr="00552EEB">
        <w:rPr>
          <w:rFonts w:ascii="David" w:eastAsia="Calibri" w:hAnsi="David" w:cs="David" w:hint="cs"/>
          <w:sz w:val="24"/>
          <w:szCs w:val="24"/>
          <w:rtl/>
        </w:rPr>
        <w:t>בדרך זו ועם רצון טוב מהצדדים, ניתן יהיה לסיים את ההליך או לפחות להעלות על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552EEB">
        <w:rPr>
          <w:rFonts w:ascii="David" w:eastAsia="Calibri" w:hAnsi="David" w:cs="David" w:hint="cs"/>
          <w:sz w:val="24"/>
          <w:szCs w:val="24"/>
          <w:rtl/>
        </w:rPr>
        <w:t>הכתב במשותף את הנושאים המוסכמים ולצמצם ולהבהיר את נקודות המחלוקת, ככל שייוותרו, ולחסוך זמן יקר גם מבית הדין הנכבד.</w:t>
      </w:r>
      <w:r w:rsidR="00D24D01" w:rsidRPr="00552EEB">
        <w:rPr>
          <w:rFonts w:ascii="David" w:eastAsia="Calibri" w:hAnsi="David" w:cs="David" w:hint="cs"/>
          <w:b/>
          <w:bCs/>
          <w:rtl/>
        </w:rPr>
        <w:t xml:space="preserve"> </w:t>
      </w:r>
    </w:p>
    <w:p w14:paraId="5731D1BE" w14:textId="77777777" w:rsidR="00D24D01" w:rsidRPr="00D24D01" w:rsidRDefault="00D24D01" w:rsidP="00D24D01">
      <w:pPr>
        <w:spacing w:after="0" w:line="312" w:lineRule="auto"/>
        <w:ind w:right="1418"/>
        <w:jc w:val="both"/>
        <w:rPr>
          <w:rFonts w:ascii="David" w:eastAsia="Calibri" w:hAnsi="David" w:cs="David"/>
          <w:rtl/>
        </w:rPr>
      </w:pPr>
    </w:p>
    <w:p w14:paraId="5EE0CD0B" w14:textId="77777777" w:rsidR="00552EEB" w:rsidRDefault="00552EEB" w:rsidP="00552EEB">
      <w:pPr>
        <w:spacing w:after="0" w:line="312" w:lineRule="auto"/>
        <w:ind w:right="1418"/>
        <w:jc w:val="both"/>
        <w:rPr>
          <w:rFonts w:ascii="David" w:eastAsia="Calibri" w:hAnsi="David" w:cs="David"/>
          <w:b/>
          <w:bCs/>
          <w:rtl/>
        </w:rPr>
      </w:pPr>
      <w:r>
        <w:rPr>
          <w:rFonts w:ascii="David" w:eastAsia="Calibri" w:hAnsi="David" w:cs="David" w:hint="cs"/>
          <w:rtl/>
        </w:rPr>
        <w:t>יר</w:t>
      </w:r>
      <w:r w:rsidR="00D24D01" w:rsidRPr="00D24D01">
        <w:rPr>
          <w:rFonts w:ascii="David" w:eastAsia="Calibri" w:hAnsi="David" w:cs="David" w:hint="cs"/>
          <w:rtl/>
        </w:rPr>
        <w:t>ושלים,</w:t>
      </w:r>
      <w:r>
        <w:rPr>
          <w:rFonts w:ascii="David" w:eastAsia="Calibri" w:hAnsi="David" w:cs="David" w:hint="cs"/>
          <w:rtl/>
        </w:rPr>
        <w:t xml:space="preserve"> 5.2.2025</w:t>
      </w:r>
      <w:r w:rsidR="00D24D01" w:rsidRPr="00D24D01">
        <w:rPr>
          <w:rFonts w:ascii="David" w:eastAsia="Calibri" w:hAnsi="David" w:cs="David" w:hint="cs"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</w:t>
      </w:r>
    </w:p>
    <w:p w14:paraId="4A9C5252" w14:textId="399343A7" w:rsidR="00810EEC" w:rsidRDefault="00552EEB" w:rsidP="00F55450">
      <w:pPr>
        <w:spacing w:after="0" w:line="312" w:lineRule="auto"/>
        <w:ind w:right="1418"/>
        <w:jc w:val="both"/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  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D24D01" w:rsidRPr="00D24D01">
        <w:rPr>
          <w:rFonts w:ascii="David" w:eastAsia="Calibri" w:hAnsi="David" w:cs="David" w:hint="cs"/>
          <w:b/>
          <w:bCs/>
          <w:rtl/>
        </w:rPr>
        <w:t xml:space="preserve">  </w:t>
      </w:r>
      <w:bookmarkEnd w:id="0"/>
      <w:bookmarkEnd w:id="1"/>
    </w:p>
    <w:sectPr w:rsidR="00810EEC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9B0ECE5E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1385446031">
    <w:abstractNumId w:val="0"/>
  </w:num>
  <w:num w:numId="2" w16cid:durableId="181957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52BEA"/>
    <w:rsid w:val="003461F8"/>
    <w:rsid w:val="00552EEB"/>
    <w:rsid w:val="00810EEC"/>
    <w:rsid w:val="00D24D01"/>
    <w:rsid w:val="00D32189"/>
    <w:rsid w:val="00DC3A3F"/>
    <w:rsid w:val="00E65F6B"/>
    <w:rsid w:val="00F55450"/>
    <w:rsid w:val="00F6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995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dcterms:created xsi:type="dcterms:W3CDTF">2025-02-09T01:04:00Z</dcterms:created>
  <dcterms:modified xsi:type="dcterms:W3CDTF">2025-02-09T01:22:00Z</dcterms:modified>
</cp:coreProperties>
</file>