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B78C" w14:textId="526B9214" w:rsidR="00B00F74" w:rsidRPr="00B00F74" w:rsidRDefault="00B00F74" w:rsidP="00B00F74">
      <w:pPr>
        <w:jc w:val="center"/>
        <w:rPr>
          <w:b/>
          <w:bCs/>
          <w:color w:val="2F5496" w:themeColor="accent1" w:themeShade="BF"/>
          <w:sz w:val="48"/>
          <w:szCs w:val="48"/>
          <w:rtl/>
        </w:rPr>
      </w:pPr>
      <w:r w:rsidRPr="00B00F74">
        <w:rPr>
          <w:rFonts w:hint="cs"/>
          <w:b/>
          <w:bCs/>
          <w:color w:val="2F5496" w:themeColor="accent1" w:themeShade="BF"/>
          <w:sz w:val="48"/>
          <w:szCs w:val="48"/>
          <w:rtl/>
        </w:rPr>
        <w:t>נציבות שרות המדינה</w:t>
      </w:r>
    </w:p>
    <w:p w14:paraId="0FEAD2D9" w14:textId="65593087" w:rsidR="00B00F74" w:rsidRPr="00B00F74" w:rsidRDefault="00B00F74" w:rsidP="00B00F74">
      <w:pPr>
        <w:rPr>
          <w:b/>
          <w:bCs/>
          <w:color w:val="00B0F0"/>
          <w:sz w:val="40"/>
          <w:szCs w:val="40"/>
        </w:rPr>
      </w:pPr>
      <w:r w:rsidRPr="00B00F74">
        <w:rPr>
          <w:b/>
          <w:bCs/>
          <w:color w:val="00B0F0"/>
          <w:sz w:val="40"/>
          <w:szCs w:val="40"/>
          <w:rtl/>
        </w:rPr>
        <w:t>האגף הבכיר למשרדי הממשלה ויחידות הסמך</w:t>
      </w:r>
    </w:p>
    <w:p w14:paraId="26E5E116" w14:textId="77777777" w:rsidR="00B00F74" w:rsidRPr="00B00F74" w:rsidRDefault="00B00F74" w:rsidP="00B00F74">
      <w:pPr>
        <w:rPr>
          <w:b/>
          <w:bCs/>
          <w:sz w:val="28"/>
          <w:szCs w:val="28"/>
          <w:rtl/>
        </w:rPr>
      </w:pPr>
      <w:r w:rsidRPr="00B00F74">
        <w:rPr>
          <w:rFonts w:hint="cs"/>
          <w:b/>
          <w:bCs/>
          <w:sz w:val="28"/>
          <w:szCs w:val="28"/>
          <w:rtl/>
        </w:rPr>
        <w:t>מנהל האגף: סגן נציב שרות המדינה, עו"ד אבי חליבה</w:t>
      </w:r>
    </w:p>
    <w:p w14:paraId="3EA799B9" w14:textId="77777777" w:rsidR="00B00F74" w:rsidRPr="00B00F74" w:rsidRDefault="00B00F74" w:rsidP="00B00F74">
      <w:pPr>
        <w:rPr>
          <w:b/>
          <w:bCs/>
          <w:color w:val="00B0F0"/>
          <w:sz w:val="32"/>
          <w:szCs w:val="32"/>
        </w:rPr>
      </w:pPr>
      <w:r w:rsidRPr="00B00F74">
        <w:rPr>
          <w:b/>
          <w:bCs/>
          <w:color w:val="00B0F0"/>
          <w:sz w:val="32"/>
          <w:szCs w:val="32"/>
          <w:rtl/>
        </w:rPr>
        <w:t>אודות</w:t>
      </w:r>
    </w:p>
    <w:p w14:paraId="1243CE48" w14:textId="19AE4C27" w:rsidR="00B00F74" w:rsidRPr="00B00F74" w:rsidRDefault="00B00F74" w:rsidP="00B00F74">
      <w:pPr>
        <w:rPr>
          <w:sz w:val="24"/>
          <w:szCs w:val="24"/>
        </w:rPr>
      </w:pPr>
      <w:r w:rsidRPr="00B00F74">
        <w:rPr>
          <w:sz w:val="24"/>
          <w:szCs w:val="24"/>
          <w:rtl/>
        </w:rPr>
        <w:t xml:space="preserve">האגף הבכיר למשרדי הממשלה הינו יחידה מנהלית בנציבות שירות המדינה. בראש היחידה מכהן סגן נציב שירות המדינה למשרדי הממשלה ויחידות הסמך, מר אבי חליבה. האגף אחראי על הנחייה ובקרה של כ-50 משרדי ממשלה ויחידות סמך, באשר לאופן הטיפול במשאב האנושי בהתאם להוראות נציבות שירות המדינה, </w:t>
      </w:r>
      <w:proofErr w:type="spellStart"/>
      <w:r w:rsidRPr="00B00F74">
        <w:rPr>
          <w:sz w:val="24"/>
          <w:szCs w:val="24"/>
          <w:rtl/>
        </w:rPr>
        <w:t>התקשי"ר</w:t>
      </w:r>
      <w:proofErr w:type="spellEnd"/>
      <w:r w:rsidRPr="00B00F74">
        <w:rPr>
          <w:sz w:val="24"/>
          <w:szCs w:val="24"/>
          <w:rtl/>
        </w:rPr>
        <w:t xml:space="preserve"> וחוקי העבודה. מטרת עבודת האגף להביא למיצוי מרבי של המשאב האנושי בשירות המדינה לצורך ייעול ושיפור השירות לאזרח</w:t>
      </w:r>
      <w:r w:rsidRPr="00B00F74">
        <w:rPr>
          <w:sz w:val="24"/>
          <w:szCs w:val="24"/>
        </w:rPr>
        <w:t>. </w:t>
      </w:r>
      <w:r w:rsidRPr="00221F16">
        <w:rPr>
          <w:rFonts w:hint="cs"/>
          <w:sz w:val="24"/>
          <w:szCs w:val="24"/>
          <w:rtl/>
        </w:rPr>
        <w:t xml:space="preserve"> ....</w:t>
      </w:r>
    </w:p>
    <w:p w14:paraId="4DE22EEB" w14:textId="77777777" w:rsidR="00B00F74" w:rsidRDefault="00B00F74" w:rsidP="00B00F74">
      <w:pPr>
        <w:rPr>
          <w:b/>
          <w:bCs/>
          <w:rtl/>
        </w:rPr>
      </w:pPr>
    </w:p>
    <w:p w14:paraId="2222CE03" w14:textId="11A6FA6F" w:rsidR="00B00F74" w:rsidRPr="00B00F74" w:rsidRDefault="00B00F74" w:rsidP="00B00F74">
      <w:pPr>
        <w:rPr>
          <w:sz w:val="32"/>
          <w:szCs w:val="32"/>
        </w:rPr>
      </w:pPr>
      <w:r w:rsidRPr="00B00F74">
        <w:rPr>
          <w:b/>
          <w:bCs/>
          <w:sz w:val="32"/>
          <w:szCs w:val="32"/>
          <w:rtl/>
        </w:rPr>
        <w:t>פירוט תחומי הפעילות</w:t>
      </w:r>
    </w:p>
    <w:p w14:paraId="2C461E5C" w14:textId="1E16DFEB" w:rsidR="00B00F74" w:rsidRPr="00B00F74" w:rsidRDefault="00B00F74" w:rsidP="00B00F74">
      <w:r w:rsidRPr="00B00F74">
        <w:rPr>
          <w:b/>
          <w:bCs/>
          <w:sz w:val="32"/>
          <w:szCs w:val="32"/>
          <w:rtl/>
        </w:rPr>
        <w:t>תקינה</w:t>
      </w:r>
      <w:r w:rsidRPr="00B00F74">
        <w:br/>
      </w:r>
      <w:r>
        <w:rPr>
          <w:rFonts w:hint="cs"/>
          <w:rtl/>
        </w:rPr>
        <w:t xml:space="preserve"> .....</w:t>
      </w:r>
    </w:p>
    <w:p w14:paraId="19077E06" w14:textId="77777777" w:rsidR="00B00F74" w:rsidRPr="00B00F74" w:rsidRDefault="00B00F74" w:rsidP="00B00F74">
      <w:pPr>
        <w:rPr>
          <w:b/>
          <w:bCs/>
          <w:sz w:val="28"/>
          <w:szCs w:val="28"/>
        </w:rPr>
      </w:pPr>
      <w:r w:rsidRPr="00B00F74">
        <w:rPr>
          <w:b/>
          <w:bCs/>
          <w:sz w:val="32"/>
          <w:szCs w:val="32"/>
          <w:rtl/>
        </w:rPr>
        <w:t>פרט</w:t>
      </w:r>
      <w:r w:rsidRPr="00B00F74">
        <w:br/>
      </w:r>
      <w:r w:rsidRPr="00B00F74">
        <w:rPr>
          <w:sz w:val="28"/>
          <w:szCs w:val="28"/>
          <w:rtl/>
        </w:rPr>
        <w:t>תקנון שירות המדינה (</w:t>
      </w:r>
      <w:proofErr w:type="spellStart"/>
      <w:r w:rsidRPr="00B00F74">
        <w:rPr>
          <w:sz w:val="28"/>
          <w:szCs w:val="28"/>
          <w:rtl/>
        </w:rPr>
        <w:t>התקשי"ר</w:t>
      </w:r>
      <w:proofErr w:type="spellEnd"/>
      <w:r w:rsidRPr="00B00F74">
        <w:rPr>
          <w:sz w:val="28"/>
          <w:szCs w:val="28"/>
          <w:rtl/>
        </w:rPr>
        <w:t xml:space="preserve">) קובע את חובותיו וזכויותיו של עובד המדינה. עיקר </w:t>
      </w:r>
      <w:proofErr w:type="spellStart"/>
      <w:r w:rsidRPr="00B00F74">
        <w:rPr>
          <w:sz w:val="28"/>
          <w:szCs w:val="28"/>
          <w:rtl/>
        </w:rPr>
        <w:t>התקשי"ר</w:t>
      </w:r>
      <w:proofErr w:type="spellEnd"/>
      <w:r w:rsidRPr="00B00F74">
        <w:rPr>
          <w:sz w:val="28"/>
          <w:szCs w:val="28"/>
          <w:rtl/>
        </w:rPr>
        <w:t xml:space="preserve"> עוסק בתנאי שירותו של העובד (כללי קידום, משמעת, הדרכה, סדרי </w:t>
      </w:r>
      <w:proofErr w:type="spellStart"/>
      <w:r w:rsidRPr="00B00F74">
        <w:rPr>
          <w:sz w:val="28"/>
          <w:szCs w:val="28"/>
          <w:rtl/>
        </w:rPr>
        <w:t>מינהל</w:t>
      </w:r>
      <w:proofErr w:type="spellEnd"/>
      <w:r w:rsidRPr="00B00F74">
        <w:rPr>
          <w:sz w:val="28"/>
          <w:szCs w:val="28"/>
          <w:rtl/>
        </w:rPr>
        <w:t xml:space="preserve">, מכרזים, </w:t>
      </w:r>
      <w:r w:rsidRPr="00D67CE4">
        <w:rPr>
          <w:b/>
          <w:bCs/>
          <w:sz w:val="28"/>
          <w:szCs w:val="28"/>
          <w:rtl/>
        </w:rPr>
        <w:t xml:space="preserve">גמלאות </w:t>
      </w:r>
      <w:r w:rsidRPr="00D67CE4">
        <w:rPr>
          <w:sz w:val="28"/>
          <w:szCs w:val="28"/>
          <w:rtl/>
        </w:rPr>
        <w:t>ו</w:t>
      </w:r>
      <w:r w:rsidRPr="00B00F74">
        <w:rPr>
          <w:sz w:val="28"/>
          <w:szCs w:val="28"/>
          <w:rtl/>
        </w:rPr>
        <w:t xml:space="preserve">עוד.) </w:t>
      </w:r>
      <w:r w:rsidRPr="00D67CE4">
        <w:rPr>
          <w:b/>
          <w:bCs/>
          <w:sz w:val="28"/>
          <w:szCs w:val="28"/>
          <w:rtl/>
        </w:rPr>
        <w:t>עיקר תפקידו של האגף</w:t>
      </w:r>
      <w:r w:rsidRPr="00D67CE4">
        <w:rPr>
          <w:sz w:val="28"/>
          <w:szCs w:val="28"/>
          <w:rtl/>
        </w:rPr>
        <w:t xml:space="preserve"> בפיקוח ובקרה על יישום האמור בתקשי"ר, </w:t>
      </w:r>
      <w:r w:rsidRPr="00D67CE4">
        <w:rPr>
          <w:b/>
          <w:bCs/>
          <w:sz w:val="28"/>
          <w:szCs w:val="28"/>
          <w:rtl/>
        </w:rPr>
        <w:t>אכיפת</w:t>
      </w:r>
      <w:r w:rsidRPr="00D67CE4">
        <w:rPr>
          <w:sz w:val="28"/>
          <w:szCs w:val="28"/>
          <w:rtl/>
        </w:rPr>
        <w:t xml:space="preserve"> קיום חובות העובד </w:t>
      </w:r>
      <w:r w:rsidRPr="00D67CE4">
        <w:rPr>
          <w:b/>
          <w:bCs/>
          <w:sz w:val="28"/>
          <w:szCs w:val="28"/>
          <w:rtl/>
        </w:rPr>
        <w:t>ומיצוי זכויותיו</w:t>
      </w:r>
      <w:r w:rsidRPr="00B00F74">
        <w:rPr>
          <w:b/>
          <w:bCs/>
          <w:sz w:val="28"/>
          <w:szCs w:val="28"/>
          <w:rtl/>
        </w:rPr>
        <w:t xml:space="preserve"> בהתאם להוראות. כמו כן, </w:t>
      </w:r>
      <w:r w:rsidRPr="00B00F74">
        <w:rPr>
          <w:b/>
          <w:bCs/>
          <w:sz w:val="28"/>
          <w:szCs w:val="28"/>
          <w:highlight w:val="yellow"/>
          <w:rtl/>
        </w:rPr>
        <w:t>מתן פתרונות חריגים במידה ולא נמצא מענה לסוגיות ייחודיות</w:t>
      </w:r>
      <w:r w:rsidRPr="00B00F74">
        <w:rPr>
          <w:b/>
          <w:bCs/>
          <w:sz w:val="28"/>
          <w:szCs w:val="28"/>
          <w:highlight w:val="yellow"/>
        </w:rPr>
        <w:t>.</w:t>
      </w:r>
    </w:p>
    <w:p w14:paraId="47D0859D" w14:textId="77777777" w:rsidR="00D67CE4" w:rsidRDefault="00D67CE4" w:rsidP="00D67CE4">
      <w:pPr>
        <w:spacing w:after="0"/>
        <w:rPr>
          <w:rtl/>
        </w:rPr>
      </w:pPr>
      <w:r>
        <w:rPr>
          <w:rFonts w:hint="cs"/>
          <w:rtl/>
        </w:rPr>
        <w:t>מקור:</w:t>
      </w:r>
    </w:p>
    <w:p w14:paraId="51246888" w14:textId="25A2A058" w:rsidR="00B00F74" w:rsidRDefault="00D67CE4" w:rsidP="00D67CE4">
      <w:pPr>
        <w:spacing w:after="0"/>
        <w:rPr>
          <w:rFonts w:hint="cs"/>
          <w:rtl/>
        </w:rPr>
      </w:pPr>
      <w:r>
        <w:rPr>
          <w:rFonts w:hint="cs"/>
          <w:rtl/>
        </w:rPr>
        <w:t>אתר נציבות שרות המדינה</w:t>
      </w:r>
    </w:p>
    <w:p w14:paraId="126B0385" w14:textId="6F3ACDA7" w:rsidR="00B00F74" w:rsidRPr="00D67CE4" w:rsidRDefault="00753AA3" w:rsidP="00D67CE4">
      <w:pPr>
        <w:spacing w:after="0"/>
        <w:rPr>
          <w:sz w:val="24"/>
          <w:szCs w:val="24"/>
        </w:rPr>
      </w:pPr>
      <w:r w:rsidRPr="00D67CE4">
        <w:rPr>
          <w:sz w:val="24"/>
          <w:szCs w:val="24"/>
        </w:rPr>
        <w:t>https://www.gov.il/he/departments/Units/serviceoffices_unit</w:t>
      </w:r>
    </w:p>
    <w:p w14:paraId="03A94418" w14:textId="77777777" w:rsidR="00B00F74" w:rsidRDefault="00B00F74" w:rsidP="00B00F74">
      <w:pPr>
        <w:rPr>
          <w:rtl/>
        </w:rPr>
      </w:pPr>
    </w:p>
    <w:p w14:paraId="6C0C6ABC" w14:textId="77777777" w:rsidR="00B00F74" w:rsidRDefault="00B00F74" w:rsidP="00B00F74"/>
    <w:sectPr w:rsidR="00B00F74" w:rsidSect="00134C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5864"/>
    <w:multiLevelType w:val="multilevel"/>
    <w:tmpl w:val="6AEC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806C4C"/>
    <w:multiLevelType w:val="multilevel"/>
    <w:tmpl w:val="FF4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505255">
    <w:abstractNumId w:val="0"/>
  </w:num>
  <w:num w:numId="2" w16cid:durableId="1047416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74"/>
    <w:rsid w:val="00012116"/>
    <w:rsid w:val="00134C43"/>
    <w:rsid w:val="00221F16"/>
    <w:rsid w:val="00753AA3"/>
    <w:rsid w:val="00B00F74"/>
    <w:rsid w:val="00C7615C"/>
    <w:rsid w:val="00D67CE4"/>
    <w:rsid w:val="00F9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EC16B"/>
  <w15:chartTrackingRefBased/>
  <w15:docId w15:val="{8AE44B3A-2C2F-4EB4-899F-8E8007AC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1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546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0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39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32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cp:lastPrinted>2024-01-21T14:11:00Z</cp:lastPrinted>
  <dcterms:created xsi:type="dcterms:W3CDTF">2024-01-29T11:04:00Z</dcterms:created>
  <dcterms:modified xsi:type="dcterms:W3CDTF">2024-01-29T11:04:00Z</dcterms:modified>
</cp:coreProperties>
</file>