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B50A0" w14:textId="10C19630" w:rsidR="007C2428" w:rsidRPr="00903709" w:rsidRDefault="007C2428" w:rsidP="007C2428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AC69C9">
        <w:rPr>
          <w:rFonts w:hint="cs"/>
          <w:rtl/>
        </w:rPr>
        <w:t xml:space="preserve">            </w:t>
      </w:r>
      <w:r w:rsidR="00AC69C9">
        <w:rPr>
          <w:rFonts w:ascii="David" w:hAnsi="David" w:cs="David" w:hint="cs"/>
          <w:sz w:val="24"/>
          <w:szCs w:val="24"/>
          <w:rtl/>
        </w:rPr>
        <w:t xml:space="preserve">         </w:t>
      </w:r>
      <w:r w:rsidRPr="00903709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903709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</w:p>
    <w:p w14:paraId="2FACF31A" w14:textId="0C859A9C" w:rsidR="007C2428" w:rsidRPr="00D51574" w:rsidRDefault="007C2428" w:rsidP="007C2428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  <w:rtl/>
        </w:rPr>
      </w:pPr>
      <w:r w:rsidRPr="00D51574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                                   רחוב צבי </w:t>
      </w:r>
      <w:proofErr w:type="spellStart"/>
      <w:r w:rsidRPr="00D51574">
        <w:rPr>
          <w:rFonts w:ascii="David" w:hAnsi="David" w:cs="David"/>
          <w:sz w:val="24"/>
          <w:szCs w:val="24"/>
          <w:rtl/>
        </w:rPr>
        <w:t>גרץ</w:t>
      </w:r>
      <w:proofErr w:type="spellEnd"/>
      <w:r w:rsidRPr="00D51574">
        <w:rPr>
          <w:rFonts w:ascii="David" w:hAnsi="David" w:cs="David"/>
          <w:sz w:val="24"/>
          <w:szCs w:val="24"/>
          <w:rtl/>
        </w:rPr>
        <w:t xml:space="preserve"> 7</w:t>
      </w:r>
    </w:p>
    <w:p w14:paraId="6A76683B" w14:textId="2694A69C" w:rsidR="007C2428" w:rsidRPr="00D51574" w:rsidRDefault="007C2428" w:rsidP="007C2428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D51574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                                   </w:t>
      </w:r>
      <w:r w:rsidRPr="00D51574">
        <w:rPr>
          <w:rFonts w:ascii="David" w:hAnsi="David" w:cs="David"/>
          <w:sz w:val="24"/>
          <w:szCs w:val="24"/>
          <w:u w:val="single"/>
          <w:rtl/>
        </w:rPr>
        <w:t>ירושלים 93111</w:t>
      </w:r>
    </w:p>
    <w:p w14:paraId="384173C3" w14:textId="1F171034" w:rsidR="007C2428" w:rsidRPr="00D51574" w:rsidRDefault="007C2428" w:rsidP="007C2428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  <w:rtl/>
        </w:rPr>
      </w:pPr>
      <w:r w:rsidRPr="00D51574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                                   ת.ז. 000388587</w:t>
      </w:r>
    </w:p>
    <w:p w14:paraId="3F470A7B" w14:textId="6E37A173" w:rsidR="00903709" w:rsidRDefault="007C2428" w:rsidP="00903709">
      <w:pPr>
        <w:tabs>
          <w:tab w:val="left" w:pos="185"/>
        </w:tabs>
        <w:spacing w:after="0" w:line="276" w:lineRule="auto"/>
        <w:ind w:left="43" w:right="284" w:hanging="425"/>
        <w:jc w:val="both"/>
        <w:rPr>
          <w:rFonts w:ascii="David" w:hAnsi="David" w:cs="David"/>
          <w:sz w:val="24"/>
          <w:szCs w:val="24"/>
        </w:rPr>
      </w:pPr>
      <w:r w:rsidRPr="00D51574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              </w:t>
      </w:r>
      <w:r w:rsidR="00903709">
        <w:rPr>
          <w:rFonts w:ascii="David" w:hAnsi="David" w:cs="David"/>
          <w:sz w:val="24"/>
          <w:szCs w:val="24"/>
        </w:rPr>
        <w:t xml:space="preserve">  </w:t>
      </w:r>
      <w:r w:rsidR="00903709">
        <w:rPr>
          <w:rFonts w:ascii="David" w:hAnsi="David" w:cs="David"/>
          <w:sz w:val="24"/>
          <w:szCs w:val="24"/>
        </w:rPr>
        <w:tab/>
        <w:t>hochsters@gmail.com</w:t>
      </w:r>
      <w:r w:rsidR="00903709">
        <w:rPr>
          <w:rFonts w:ascii="David" w:hAnsi="David" w:cs="David" w:hint="cs"/>
          <w:sz w:val="24"/>
          <w:szCs w:val="24"/>
          <w:rtl/>
        </w:rPr>
        <w:t xml:space="preserve"> </w:t>
      </w:r>
      <w:r w:rsidR="00903709">
        <w:rPr>
          <w:rFonts w:ascii="David" w:hAnsi="David" w:cs="David"/>
          <w:sz w:val="24"/>
          <w:szCs w:val="24"/>
        </w:rPr>
        <w:t xml:space="preserve">   </w:t>
      </w:r>
    </w:p>
    <w:p w14:paraId="5C9C6C68" w14:textId="1DB1D6F4" w:rsidR="00903709" w:rsidRPr="00D51574" w:rsidRDefault="00903709" w:rsidP="00903709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לכב' </w:t>
      </w:r>
      <w:r w:rsidRPr="00D51574">
        <w:rPr>
          <w:rFonts w:ascii="David" w:hAnsi="David" w:cs="David"/>
          <w:sz w:val="24"/>
          <w:szCs w:val="24"/>
          <w:rtl/>
        </w:rPr>
        <w:t xml:space="preserve">עו"ד מגי </w:t>
      </w:r>
      <w:proofErr w:type="spellStart"/>
      <w:r w:rsidRPr="00D51574">
        <w:rPr>
          <w:rFonts w:ascii="David" w:hAnsi="David" w:cs="David"/>
          <w:sz w:val="24"/>
          <w:szCs w:val="24"/>
          <w:rtl/>
        </w:rPr>
        <w:t>קריטנשטיין</w:t>
      </w:r>
      <w:proofErr w:type="spellEnd"/>
      <w:r w:rsidRPr="0090370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                               </w:t>
      </w:r>
      <w:r w:rsidRPr="00903709">
        <w:rPr>
          <w:rFonts w:ascii="David" w:hAnsi="David" w:cs="David"/>
          <w:b/>
          <w:bCs/>
          <w:sz w:val="24"/>
          <w:szCs w:val="24"/>
          <w:rtl/>
        </w:rPr>
        <w:t>תיק 6928-10-19</w:t>
      </w:r>
    </w:p>
    <w:p w14:paraId="5ACB96AC" w14:textId="542DC6A7" w:rsidR="00903709" w:rsidRPr="00D51574" w:rsidRDefault="00903709" w:rsidP="00903709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  <w:rtl/>
        </w:rPr>
      </w:pPr>
      <w:r w:rsidRPr="00D51574">
        <w:rPr>
          <w:rFonts w:ascii="David" w:hAnsi="David" w:cs="David"/>
          <w:sz w:val="24"/>
          <w:szCs w:val="24"/>
          <w:rtl/>
        </w:rPr>
        <w:t>מנהלת מחלקת דיני עבודה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4629C">
        <w:rPr>
          <w:rFonts w:ascii="David" w:hAnsi="David" w:cs="David" w:hint="cs"/>
          <w:sz w:val="24"/>
          <w:szCs w:val="24"/>
          <w:rtl/>
        </w:rPr>
        <w:t>ותובענות ייצוגיות</w:t>
      </w:r>
    </w:p>
    <w:p w14:paraId="10C7FD1A" w14:textId="58E43E48" w:rsidR="007C2428" w:rsidRDefault="00903709" w:rsidP="00903709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  <w:rtl/>
        </w:rPr>
      </w:pPr>
      <w:proofErr w:type="spellStart"/>
      <w:r w:rsidRPr="00D51574">
        <w:rPr>
          <w:rFonts w:ascii="David" w:hAnsi="David" w:cs="David"/>
          <w:sz w:val="24"/>
          <w:szCs w:val="24"/>
          <w:rtl/>
        </w:rPr>
        <w:t>פמ"ח</w:t>
      </w:r>
      <w:proofErr w:type="spellEnd"/>
      <w:r w:rsidRPr="00D51574">
        <w:rPr>
          <w:rFonts w:ascii="David" w:hAnsi="David" w:cs="David"/>
          <w:sz w:val="24"/>
          <w:szCs w:val="24"/>
          <w:rtl/>
        </w:rPr>
        <w:t xml:space="preserve"> (אזרחי)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D51574">
        <w:rPr>
          <w:rFonts w:ascii="David" w:hAnsi="David" w:cs="David"/>
          <w:sz w:val="24"/>
          <w:szCs w:val="24"/>
          <w:rtl/>
        </w:rPr>
        <w:t xml:space="preserve"> ירושלים</w:t>
      </w:r>
      <w:r>
        <w:rPr>
          <w:rFonts w:ascii="David" w:hAnsi="David" w:cs="David" w:hint="cs"/>
          <w:sz w:val="24"/>
          <w:szCs w:val="24"/>
          <w:rtl/>
        </w:rPr>
        <w:t xml:space="preserve">.                                                                    ירושלים, ט"ו אייר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תשפ'ד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2F8F8B1" w14:textId="0907E26D" w:rsidR="00903709" w:rsidRPr="00D51574" w:rsidRDefault="00903709" w:rsidP="00903709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23.5.2024</w:t>
      </w:r>
    </w:p>
    <w:p w14:paraId="697180F3" w14:textId="77777777" w:rsidR="007C2428" w:rsidRPr="00D51574" w:rsidRDefault="007C2428" w:rsidP="007C2428">
      <w:pPr>
        <w:tabs>
          <w:tab w:val="left" w:pos="185"/>
        </w:tabs>
        <w:spacing w:after="0" w:line="276" w:lineRule="auto"/>
        <w:ind w:left="43" w:hanging="425"/>
        <w:jc w:val="both"/>
        <w:rPr>
          <w:rFonts w:ascii="David" w:hAnsi="David" w:cs="David"/>
          <w:sz w:val="24"/>
          <w:szCs w:val="24"/>
          <w:rtl/>
        </w:rPr>
      </w:pPr>
    </w:p>
    <w:p w14:paraId="6513DA25" w14:textId="263CA82B" w:rsidR="007326F9" w:rsidRDefault="007C2428" w:rsidP="001320E7">
      <w:pPr>
        <w:spacing w:after="0" w:line="276" w:lineRule="auto"/>
        <w:ind w:left="-341" w:hanging="41"/>
        <w:jc w:val="both"/>
        <w:rPr>
          <w:rFonts w:ascii="David" w:hAnsi="David" w:cs="David"/>
          <w:sz w:val="24"/>
          <w:szCs w:val="24"/>
          <w:rtl/>
        </w:rPr>
      </w:pPr>
      <w:r w:rsidRPr="00D51574">
        <w:rPr>
          <w:rFonts w:ascii="David" w:hAnsi="David" w:cs="David"/>
          <w:sz w:val="24"/>
          <w:szCs w:val="24"/>
          <w:rtl/>
        </w:rPr>
        <w:t>ראשית אני רוצה שוב להודות לכם על ה</w:t>
      </w:r>
      <w:r w:rsidR="001320E7">
        <w:rPr>
          <w:rFonts w:ascii="David" w:hAnsi="David" w:cs="David" w:hint="cs"/>
          <w:sz w:val="24"/>
          <w:szCs w:val="24"/>
          <w:rtl/>
        </w:rPr>
        <w:t xml:space="preserve">זמן שפיניתם עבורי </w:t>
      </w:r>
      <w:r w:rsidR="00C740DC">
        <w:rPr>
          <w:rFonts w:ascii="David" w:hAnsi="David" w:cs="David" w:hint="cs"/>
          <w:sz w:val="24"/>
          <w:szCs w:val="24"/>
          <w:rtl/>
        </w:rPr>
        <w:t xml:space="preserve">לשמיעת </w:t>
      </w:r>
      <w:r w:rsidR="001320E7">
        <w:rPr>
          <w:rFonts w:ascii="David" w:hAnsi="David" w:cs="David" w:hint="cs"/>
          <w:sz w:val="24"/>
          <w:szCs w:val="24"/>
          <w:rtl/>
        </w:rPr>
        <w:t xml:space="preserve">טיעוניי בנפש </w:t>
      </w:r>
      <w:proofErr w:type="spellStart"/>
      <w:r w:rsidR="001320E7">
        <w:rPr>
          <w:rFonts w:ascii="David" w:hAnsi="David" w:cs="David" w:hint="cs"/>
          <w:sz w:val="24"/>
          <w:szCs w:val="24"/>
          <w:rtl/>
        </w:rPr>
        <w:t>חפיצה</w:t>
      </w:r>
      <w:proofErr w:type="spellEnd"/>
      <w:r w:rsidR="000D14C7">
        <w:rPr>
          <w:rFonts w:ascii="David" w:hAnsi="David" w:cs="David" w:hint="cs"/>
          <w:sz w:val="24"/>
          <w:szCs w:val="24"/>
          <w:rtl/>
        </w:rPr>
        <w:t>,</w:t>
      </w:r>
      <w:r w:rsidR="001320E7">
        <w:rPr>
          <w:rFonts w:ascii="David" w:hAnsi="David" w:cs="David" w:hint="cs"/>
          <w:sz w:val="24"/>
          <w:szCs w:val="24"/>
          <w:rtl/>
        </w:rPr>
        <w:t xml:space="preserve"> </w:t>
      </w:r>
      <w:r w:rsidR="000D14C7">
        <w:rPr>
          <w:rFonts w:ascii="David" w:hAnsi="David" w:cs="David" w:hint="cs"/>
          <w:sz w:val="24"/>
          <w:szCs w:val="24"/>
          <w:rtl/>
        </w:rPr>
        <w:t xml:space="preserve">על אף עומסי העבודה הכבדים שלכם, </w:t>
      </w:r>
      <w:r w:rsidR="001320E7">
        <w:rPr>
          <w:rFonts w:ascii="David" w:hAnsi="David" w:cs="David" w:hint="cs"/>
          <w:sz w:val="24"/>
          <w:szCs w:val="24"/>
          <w:rtl/>
        </w:rPr>
        <w:t>וע</w:t>
      </w:r>
      <w:r w:rsidRPr="00D51574">
        <w:rPr>
          <w:rFonts w:ascii="David" w:hAnsi="David" w:cs="David"/>
          <w:sz w:val="24"/>
          <w:szCs w:val="24"/>
          <w:rtl/>
        </w:rPr>
        <w:t>ל</w:t>
      </w:r>
      <w:r w:rsidR="001320E7">
        <w:rPr>
          <w:rFonts w:ascii="David" w:hAnsi="David" w:cs="David" w:hint="cs"/>
          <w:sz w:val="24"/>
          <w:szCs w:val="24"/>
          <w:rtl/>
        </w:rPr>
        <w:t xml:space="preserve"> ה</w:t>
      </w:r>
      <w:r w:rsidRPr="00D51574">
        <w:rPr>
          <w:rFonts w:ascii="David" w:hAnsi="David" w:cs="David"/>
          <w:sz w:val="24"/>
          <w:szCs w:val="24"/>
          <w:rtl/>
        </w:rPr>
        <w:t>מאמצים שאת משקיעה</w:t>
      </w:r>
      <w:r w:rsidR="001320E7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D51574">
        <w:rPr>
          <w:rFonts w:ascii="David" w:hAnsi="David" w:cs="David"/>
          <w:sz w:val="24"/>
          <w:szCs w:val="24"/>
          <w:rtl/>
        </w:rPr>
        <w:t>לברורם</w:t>
      </w:r>
      <w:proofErr w:type="spellEnd"/>
      <w:r w:rsidR="004B29D7" w:rsidRPr="00D51574">
        <w:rPr>
          <w:rFonts w:ascii="David" w:hAnsi="David" w:cs="David"/>
          <w:sz w:val="24"/>
          <w:szCs w:val="24"/>
          <w:rtl/>
        </w:rPr>
        <w:t xml:space="preserve"> "מול הגורמים הרלוונטיים</w:t>
      </w:r>
      <w:r w:rsidR="00D51574">
        <w:rPr>
          <w:rFonts w:ascii="David" w:hAnsi="David" w:cs="David" w:hint="cs"/>
          <w:sz w:val="24"/>
          <w:szCs w:val="24"/>
          <w:rtl/>
        </w:rPr>
        <w:t>"</w:t>
      </w:r>
      <w:r w:rsidR="001320E7">
        <w:rPr>
          <w:rFonts w:ascii="David" w:hAnsi="David" w:cs="David" w:hint="cs"/>
          <w:sz w:val="24"/>
          <w:szCs w:val="24"/>
          <w:rtl/>
        </w:rPr>
        <w:t>.</w:t>
      </w:r>
      <w:r w:rsidR="004B29D7" w:rsidRPr="00D51574">
        <w:rPr>
          <w:rFonts w:ascii="David" w:hAnsi="David" w:cs="David"/>
          <w:sz w:val="24"/>
          <w:szCs w:val="24"/>
          <w:rtl/>
        </w:rPr>
        <w:t xml:space="preserve"> </w:t>
      </w:r>
    </w:p>
    <w:p w14:paraId="7733C46F" w14:textId="77777777" w:rsidR="00DC67C6" w:rsidRPr="00F91B75" w:rsidRDefault="00DC67C6" w:rsidP="001320E7">
      <w:pPr>
        <w:spacing w:after="0" w:line="276" w:lineRule="auto"/>
        <w:ind w:left="-341" w:hanging="41"/>
        <w:jc w:val="both"/>
        <w:rPr>
          <w:rFonts w:ascii="David" w:hAnsi="David" w:cs="David"/>
          <w:sz w:val="10"/>
          <w:szCs w:val="10"/>
          <w:rtl/>
        </w:rPr>
      </w:pPr>
    </w:p>
    <w:p w14:paraId="51E68444" w14:textId="7F44A139" w:rsidR="00DC67C6" w:rsidRDefault="00DC67C6" w:rsidP="00DC67C6">
      <w:pPr>
        <w:spacing w:after="0" w:line="276" w:lineRule="auto"/>
        <w:ind w:left="-341" w:hanging="41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בגלל לחצי הזמן</w:t>
      </w:r>
      <w:r w:rsidR="001320E7">
        <w:rPr>
          <w:rFonts w:ascii="David" w:hAnsi="David" w:cs="David" w:hint="cs"/>
          <w:sz w:val="24"/>
          <w:szCs w:val="24"/>
          <w:rtl/>
        </w:rPr>
        <w:t xml:space="preserve"> </w:t>
      </w:r>
      <w:r w:rsidR="00044AE3">
        <w:rPr>
          <w:rFonts w:ascii="David" w:hAnsi="David" w:cs="David" w:hint="cs"/>
          <w:sz w:val="24"/>
          <w:szCs w:val="24"/>
          <w:rtl/>
        </w:rPr>
        <w:t xml:space="preserve">הספקתי </w:t>
      </w:r>
      <w:proofErr w:type="spellStart"/>
      <w:r w:rsidR="00044AE3">
        <w:rPr>
          <w:rFonts w:ascii="David" w:hAnsi="David" w:cs="David" w:hint="cs"/>
          <w:sz w:val="24"/>
          <w:szCs w:val="24"/>
          <w:rtl/>
        </w:rPr>
        <w:t>בפגישתינו</w:t>
      </w:r>
      <w:proofErr w:type="spellEnd"/>
      <w:r w:rsidR="00044AE3">
        <w:rPr>
          <w:rFonts w:ascii="David" w:hAnsi="David" w:cs="David" w:hint="cs"/>
          <w:sz w:val="24"/>
          <w:szCs w:val="24"/>
          <w:rtl/>
        </w:rPr>
        <w:t xml:space="preserve"> להציג </w:t>
      </w:r>
      <w:r>
        <w:rPr>
          <w:rFonts w:ascii="David" w:hAnsi="David" w:cs="David" w:hint="cs"/>
          <w:sz w:val="24"/>
          <w:szCs w:val="24"/>
          <w:rtl/>
        </w:rPr>
        <w:t xml:space="preserve">בפניכם רק את עיקרי </w:t>
      </w:r>
      <w:r w:rsidR="001320E7">
        <w:rPr>
          <w:rFonts w:ascii="David" w:hAnsi="David" w:cs="David" w:hint="cs"/>
          <w:sz w:val="24"/>
          <w:szCs w:val="24"/>
          <w:rtl/>
        </w:rPr>
        <w:t xml:space="preserve">הטיעונים וההוכחות שלי </w:t>
      </w:r>
      <w:r>
        <w:rPr>
          <w:rFonts w:ascii="David" w:hAnsi="David" w:cs="David" w:hint="cs"/>
          <w:sz w:val="24"/>
          <w:szCs w:val="24"/>
          <w:rtl/>
        </w:rPr>
        <w:t>(לא כולם)</w:t>
      </w:r>
      <w:r w:rsidR="000D14C7">
        <w:rPr>
          <w:rFonts w:ascii="David" w:hAnsi="David" w:cs="David" w:hint="cs"/>
          <w:sz w:val="24"/>
          <w:szCs w:val="24"/>
          <w:rtl/>
        </w:rPr>
        <w:t xml:space="preserve"> ור</w:t>
      </w:r>
      <w:r w:rsidR="00C740DC">
        <w:rPr>
          <w:rFonts w:ascii="David" w:hAnsi="David" w:cs="David" w:hint="cs"/>
          <w:sz w:val="24"/>
          <w:szCs w:val="24"/>
          <w:rtl/>
        </w:rPr>
        <w:t xml:space="preserve">ק </w:t>
      </w:r>
      <w:r w:rsidR="000D14C7">
        <w:rPr>
          <w:rFonts w:ascii="David" w:hAnsi="David" w:cs="David" w:hint="cs"/>
          <w:sz w:val="24"/>
          <w:szCs w:val="24"/>
          <w:rtl/>
        </w:rPr>
        <w:t>הזכרתי בקצרה,</w:t>
      </w:r>
      <w:r w:rsidR="00C740DC">
        <w:rPr>
          <w:rFonts w:ascii="David" w:hAnsi="David" w:cs="David" w:hint="cs"/>
          <w:sz w:val="24"/>
          <w:szCs w:val="24"/>
          <w:rtl/>
        </w:rPr>
        <w:t xml:space="preserve"> </w:t>
      </w:r>
      <w:r w:rsidR="000D14C7">
        <w:rPr>
          <w:rFonts w:ascii="David" w:hAnsi="David" w:cs="David" w:hint="cs"/>
          <w:sz w:val="24"/>
          <w:szCs w:val="24"/>
          <w:rtl/>
        </w:rPr>
        <w:t xml:space="preserve">את </w:t>
      </w:r>
      <w:r w:rsidR="000D14C7" w:rsidRPr="000D14C7">
        <w:rPr>
          <w:rFonts w:ascii="David" w:hAnsi="David" w:cs="David" w:hint="cs"/>
          <w:b/>
          <w:bCs/>
          <w:sz w:val="24"/>
          <w:szCs w:val="24"/>
          <w:rtl/>
        </w:rPr>
        <w:t xml:space="preserve">החוק לפיו יש לפרש את החוזה לטובת מי שלא ניסח אותו </w:t>
      </w:r>
      <w:r w:rsidR="000D14C7">
        <w:rPr>
          <w:rFonts w:ascii="David" w:hAnsi="David" w:cs="David" w:hint="cs"/>
          <w:sz w:val="24"/>
          <w:szCs w:val="24"/>
          <w:rtl/>
        </w:rPr>
        <w:t>(אני, במקרה הזה) כמו שעשיתי כבר בס</w:t>
      </w:r>
      <w:r w:rsidR="00C740DC">
        <w:rPr>
          <w:rFonts w:ascii="David" w:hAnsi="David" w:cs="David" w:hint="cs"/>
          <w:sz w:val="24"/>
          <w:szCs w:val="24"/>
          <w:rtl/>
        </w:rPr>
        <w:t xml:space="preserve">יומת של מכתבי הראשון בנושא </w:t>
      </w:r>
      <w:r w:rsidR="000D14C7">
        <w:rPr>
          <w:rFonts w:ascii="David" w:hAnsi="David" w:cs="David" w:hint="cs"/>
          <w:sz w:val="24"/>
          <w:szCs w:val="24"/>
          <w:rtl/>
        </w:rPr>
        <w:t>(</w:t>
      </w:r>
      <w:r w:rsidR="00C740DC">
        <w:rPr>
          <w:rFonts w:ascii="David" w:hAnsi="David" w:cs="David" w:hint="cs"/>
          <w:sz w:val="24"/>
          <w:szCs w:val="24"/>
          <w:rtl/>
        </w:rPr>
        <w:t>מ</w:t>
      </w:r>
      <w:r w:rsidR="000D14C7">
        <w:rPr>
          <w:rFonts w:ascii="David" w:hAnsi="David" w:cs="David" w:hint="cs"/>
          <w:sz w:val="24"/>
          <w:szCs w:val="24"/>
          <w:rtl/>
        </w:rPr>
        <w:t>-</w:t>
      </w:r>
      <w:r w:rsidR="00C740DC">
        <w:rPr>
          <w:rFonts w:ascii="David" w:hAnsi="David" w:cs="David" w:hint="cs"/>
          <w:sz w:val="24"/>
          <w:szCs w:val="24"/>
          <w:rtl/>
        </w:rPr>
        <w:t>8.1.2013</w:t>
      </w:r>
      <w:r w:rsidR="000D14C7">
        <w:rPr>
          <w:rFonts w:ascii="David" w:hAnsi="David" w:cs="David" w:hint="cs"/>
          <w:sz w:val="24"/>
          <w:szCs w:val="24"/>
          <w:rtl/>
        </w:rPr>
        <w:t>, נספח 4 לכתב ה</w:t>
      </w:r>
      <w:r w:rsidR="00AC69C9">
        <w:rPr>
          <w:rFonts w:ascii="David" w:hAnsi="David" w:cs="David" w:hint="cs"/>
          <w:sz w:val="24"/>
          <w:szCs w:val="24"/>
          <w:rtl/>
        </w:rPr>
        <w:t>ת</w:t>
      </w:r>
      <w:r w:rsidR="000D14C7">
        <w:rPr>
          <w:rFonts w:ascii="David" w:hAnsi="David" w:cs="David" w:hint="cs"/>
          <w:sz w:val="24"/>
          <w:szCs w:val="24"/>
          <w:rtl/>
        </w:rPr>
        <w:t>ביעה</w:t>
      </w:r>
      <w:r w:rsidR="00C740DC">
        <w:rPr>
          <w:rFonts w:ascii="David" w:hAnsi="David" w:cs="David" w:hint="cs"/>
          <w:sz w:val="24"/>
          <w:szCs w:val="24"/>
          <w:rtl/>
        </w:rPr>
        <w:t>)</w:t>
      </w:r>
      <w:r w:rsidR="000D14C7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831635F" w14:textId="77777777" w:rsidR="00DC67C6" w:rsidRPr="00F91B75" w:rsidRDefault="00DC67C6" w:rsidP="00DC67C6">
      <w:pPr>
        <w:spacing w:after="0" w:line="276" w:lineRule="auto"/>
        <w:ind w:left="-341" w:hanging="41"/>
        <w:jc w:val="both"/>
        <w:rPr>
          <w:rFonts w:ascii="David" w:hAnsi="David" w:cs="David"/>
          <w:sz w:val="12"/>
          <w:szCs w:val="12"/>
          <w:rtl/>
        </w:rPr>
      </w:pPr>
    </w:p>
    <w:p w14:paraId="53DF77A6" w14:textId="2C49CEBD" w:rsidR="00044AE3" w:rsidRDefault="00044AE3" w:rsidP="00CA4114">
      <w:pPr>
        <w:spacing w:after="0" w:line="276" w:lineRule="auto"/>
        <w:ind w:left="-341" w:hanging="41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נקודה זו נראית לי חשובה מאד לעניינינו</w:t>
      </w:r>
      <w:r w:rsidR="0024629C">
        <w:rPr>
          <w:rFonts w:ascii="David" w:hAnsi="David" w:cs="David" w:hint="cs"/>
          <w:sz w:val="24"/>
          <w:szCs w:val="24"/>
          <w:rtl/>
        </w:rPr>
        <w:t xml:space="preserve"> ב</w:t>
      </w:r>
      <w:r w:rsidR="008148AC">
        <w:rPr>
          <w:rFonts w:ascii="David" w:hAnsi="David" w:cs="David" w:hint="cs"/>
          <w:sz w:val="24"/>
          <w:szCs w:val="24"/>
          <w:rtl/>
        </w:rPr>
        <w:t xml:space="preserve">מקרה </w:t>
      </w:r>
      <w:r>
        <w:rPr>
          <w:rFonts w:ascii="David" w:hAnsi="David" w:cs="David" w:hint="cs"/>
          <w:sz w:val="24"/>
          <w:szCs w:val="24"/>
          <w:rtl/>
        </w:rPr>
        <w:t xml:space="preserve">שבמהלך הבירורים שלך מול הנציבות והאוצר יציע מאן דהוא פרשנות הסותרת את הפרשנות שלי. אני מבקש לכן, </w:t>
      </w:r>
      <w:r w:rsidR="0024629C">
        <w:rPr>
          <w:rFonts w:ascii="David" w:hAnsi="David" w:cs="David" w:hint="cs"/>
          <w:sz w:val="24"/>
          <w:szCs w:val="24"/>
          <w:rtl/>
        </w:rPr>
        <w:t xml:space="preserve">ברשותך, </w:t>
      </w:r>
      <w:r>
        <w:rPr>
          <w:rFonts w:ascii="David" w:hAnsi="David" w:cs="David" w:hint="cs"/>
          <w:sz w:val="24"/>
          <w:szCs w:val="24"/>
          <w:rtl/>
        </w:rPr>
        <w:t>להרחיב מעט יותר ולצטט קטע רלוונטי מתוך מכתב ארוך שכתבתי</w:t>
      </w:r>
      <w:r w:rsidR="006402E4">
        <w:rPr>
          <w:rFonts w:ascii="David" w:hAnsi="David" w:cs="David" w:hint="cs"/>
          <w:sz w:val="24"/>
          <w:szCs w:val="24"/>
          <w:rtl/>
        </w:rPr>
        <w:t xml:space="preserve"> כבר ב-15.3.2017</w:t>
      </w:r>
      <w:r w:rsidR="008148AC">
        <w:rPr>
          <w:rFonts w:ascii="David" w:hAnsi="David" w:cs="David" w:hint="cs"/>
          <w:sz w:val="24"/>
          <w:szCs w:val="24"/>
          <w:rtl/>
        </w:rPr>
        <w:t xml:space="preserve"> </w:t>
      </w:r>
      <w:r w:rsidR="006402E4">
        <w:rPr>
          <w:rFonts w:ascii="David" w:hAnsi="David" w:cs="David" w:hint="cs"/>
          <w:sz w:val="24"/>
          <w:szCs w:val="24"/>
          <w:rtl/>
        </w:rPr>
        <w:t>(</w:t>
      </w:r>
      <w:r w:rsidR="008148AC">
        <w:rPr>
          <w:rFonts w:ascii="David" w:hAnsi="David" w:cs="David" w:hint="cs"/>
          <w:sz w:val="24"/>
          <w:szCs w:val="24"/>
          <w:rtl/>
        </w:rPr>
        <w:t xml:space="preserve">לפני 7 שנים!) </w:t>
      </w:r>
      <w:r>
        <w:rPr>
          <w:rFonts w:ascii="David" w:hAnsi="David" w:cs="David" w:hint="cs"/>
          <w:sz w:val="24"/>
          <w:szCs w:val="24"/>
          <w:rtl/>
        </w:rPr>
        <w:t xml:space="preserve">לעו"ד עליזה דיין, מהלשכה המשפטית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בנש"מ</w:t>
      </w:r>
      <w:proofErr w:type="spellEnd"/>
      <w:r>
        <w:rPr>
          <w:rFonts w:ascii="David" w:hAnsi="David" w:cs="David" w:hint="cs"/>
          <w:sz w:val="24"/>
          <w:szCs w:val="24"/>
          <w:rtl/>
        </w:rPr>
        <w:t>, המדבר בעד עצמו:</w:t>
      </w:r>
    </w:p>
    <w:p w14:paraId="74CD7D07" w14:textId="77777777" w:rsidR="007C2428" w:rsidRPr="00D51574" w:rsidRDefault="007C2428" w:rsidP="007C2428">
      <w:pPr>
        <w:pStyle w:val="a3"/>
        <w:tabs>
          <w:tab w:val="left" w:pos="185"/>
        </w:tabs>
        <w:spacing w:after="0" w:line="276" w:lineRule="auto"/>
        <w:ind w:left="43"/>
        <w:jc w:val="both"/>
        <w:rPr>
          <w:rFonts w:ascii="David" w:hAnsi="David" w:cs="David"/>
          <w:sz w:val="24"/>
          <w:szCs w:val="24"/>
        </w:rPr>
      </w:pPr>
    </w:p>
    <w:p w14:paraId="76AFBCCC" w14:textId="2DB1C854" w:rsidR="00AC69C9" w:rsidRDefault="00F91B75" w:rsidP="00044AE3">
      <w:pPr>
        <w:pStyle w:val="a3"/>
        <w:numPr>
          <w:ilvl w:val="2"/>
          <w:numId w:val="1"/>
        </w:numPr>
        <w:spacing w:after="0" w:line="276" w:lineRule="auto"/>
        <w:ind w:left="509" w:right="142" w:hanging="425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="007C2428" w:rsidRPr="00D51574">
        <w:rPr>
          <w:rFonts w:ascii="David" w:hAnsi="David" w:cs="David"/>
          <w:sz w:val="24"/>
          <w:szCs w:val="24"/>
          <w:rtl/>
        </w:rPr>
        <w:t>פרשנותך לסעיף 12ב לחוזה ("ממוצע חשבוני משוקלל"), סותרת את</w:t>
      </w:r>
      <w:r w:rsidR="007C2428" w:rsidRPr="00D5157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7C2428" w:rsidRPr="00D51574">
        <w:rPr>
          <w:rFonts w:ascii="David" w:hAnsi="David" w:cs="David"/>
          <w:sz w:val="24"/>
          <w:szCs w:val="24"/>
          <w:rtl/>
        </w:rPr>
        <w:t xml:space="preserve">סעיף 25(א) לחוק החוזים הקובע במפורש ש"אם </w:t>
      </w:r>
      <w:proofErr w:type="spellStart"/>
      <w:r w:rsidR="007C2428" w:rsidRPr="00D51574">
        <w:rPr>
          <w:rFonts w:ascii="David" w:hAnsi="David" w:cs="David"/>
          <w:sz w:val="24"/>
          <w:szCs w:val="24"/>
          <w:rtl/>
        </w:rPr>
        <w:t>אומד</w:t>
      </w:r>
      <w:proofErr w:type="spellEnd"/>
      <w:r w:rsidR="007C2428" w:rsidRPr="00D51574">
        <w:rPr>
          <w:rFonts w:ascii="David" w:hAnsi="David" w:cs="David"/>
          <w:sz w:val="24"/>
          <w:szCs w:val="24"/>
          <w:rtl/>
        </w:rPr>
        <w:t xml:space="preserve"> דעתם של הצדדים משתמע במפורש מלשון החוזה</w:t>
      </w:r>
      <w:r w:rsidR="007C2428" w:rsidRPr="00D51574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="007C2428" w:rsidRPr="00D51574">
        <w:rPr>
          <w:rFonts w:ascii="David" w:hAnsi="David" w:cs="David"/>
          <w:b/>
          <w:bCs/>
          <w:sz w:val="24"/>
          <w:szCs w:val="24"/>
          <w:u w:val="single"/>
          <w:rtl/>
        </w:rPr>
        <w:t>יפורש החוזה בהתאם ללשונו</w:t>
      </w:r>
      <w:r w:rsidR="007C2428" w:rsidRPr="00D51574">
        <w:rPr>
          <w:rFonts w:ascii="David" w:hAnsi="David" w:cs="David"/>
          <w:sz w:val="24"/>
          <w:szCs w:val="24"/>
          <w:rtl/>
        </w:rPr>
        <w:t xml:space="preserve">". </w:t>
      </w:r>
    </w:p>
    <w:p w14:paraId="106A6CF0" w14:textId="77777777" w:rsidR="00F91B75" w:rsidRPr="00F91B75" w:rsidRDefault="00F91B75" w:rsidP="00F91B75">
      <w:pPr>
        <w:pStyle w:val="a3"/>
        <w:spacing w:after="0" w:line="276" w:lineRule="auto"/>
        <w:ind w:left="509" w:right="142"/>
        <w:jc w:val="both"/>
        <w:rPr>
          <w:rFonts w:ascii="David" w:hAnsi="David" w:cs="David"/>
          <w:sz w:val="14"/>
          <w:szCs w:val="14"/>
        </w:rPr>
      </w:pPr>
    </w:p>
    <w:p w14:paraId="1E01D8A8" w14:textId="13E5EC87" w:rsidR="007C2428" w:rsidRPr="00D51574" w:rsidRDefault="007C2428" w:rsidP="00AC69C9">
      <w:pPr>
        <w:pStyle w:val="a3"/>
        <w:spacing w:after="0" w:line="276" w:lineRule="auto"/>
        <w:ind w:left="509" w:right="142"/>
        <w:jc w:val="both"/>
        <w:rPr>
          <w:rFonts w:ascii="David" w:hAnsi="David" w:cs="David"/>
          <w:sz w:val="24"/>
          <w:szCs w:val="24"/>
        </w:rPr>
      </w:pPr>
      <w:r w:rsidRPr="00D51574">
        <w:rPr>
          <w:rFonts w:ascii="David" w:hAnsi="David" w:cs="David"/>
          <w:sz w:val="24"/>
          <w:szCs w:val="24"/>
          <w:rtl/>
        </w:rPr>
        <w:t>בית המשפט העליון קבע (</w:t>
      </w:r>
      <w:proofErr w:type="spellStart"/>
      <w:r w:rsidRPr="00D51574">
        <w:rPr>
          <w:rFonts w:ascii="David" w:hAnsi="David" w:cs="David"/>
          <w:sz w:val="24"/>
          <w:szCs w:val="24"/>
          <w:rtl/>
        </w:rPr>
        <w:t>בפיסקה</w:t>
      </w:r>
      <w:proofErr w:type="spellEnd"/>
      <w:r w:rsidRPr="00D51574">
        <w:rPr>
          <w:rFonts w:ascii="David" w:hAnsi="David" w:cs="David"/>
          <w:sz w:val="24"/>
          <w:szCs w:val="24"/>
          <w:rtl/>
        </w:rPr>
        <w:t xml:space="preserve"> 15 מתוך פס"ד של שופט בית המשפט העליון </w:t>
      </w:r>
      <w:proofErr w:type="spellStart"/>
      <w:r w:rsidRPr="00D51574">
        <w:rPr>
          <w:rFonts w:ascii="David" w:hAnsi="David" w:cs="David"/>
          <w:sz w:val="24"/>
          <w:szCs w:val="24"/>
          <w:rtl/>
        </w:rPr>
        <w:t>רבלין</w:t>
      </w:r>
      <w:proofErr w:type="spellEnd"/>
      <w:r w:rsidRPr="00D51574">
        <w:rPr>
          <w:rFonts w:ascii="David" w:hAnsi="David" w:cs="David"/>
          <w:sz w:val="24"/>
          <w:szCs w:val="24"/>
          <w:rtl/>
        </w:rPr>
        <w:t xml:space="preserve"> </w:t>
      </w:r>
      <w:r w:rsidRPr="00D51574">
        <w:rPr>
          <w:rFonts w:ascii="David" w:hAnsi="David" w:cs="David"/>
          <w:b/>
          <w:bCs/>
          <w:sz w:val="24"/>
          <w:szCs w:val="24"/>
          <w:rtl/>
        </w:rPr>
        <w:t>רע"א 3961/10</w:t>
      </w:r>
      <w:r w:rsidRPr="00D51574">
        <w:rPr>
          <w:rFonts w:ascii="David" w:hAnsi="David" w:cs="David"/>
          <w:sz w:val="24"/>
          <w:szCs w:val="24"/>
          <w:rtl/>
        </w:rPr>
        <w:t>, המוסד לביטוח לאומי נ' סהר ואחרים 26.2.2012) כי:</w:t>
      </w:r>
    </w:p>
    <w:p w14:paraId="47E16B2A" w14:textId="77777777" w:rsidR="007C2428" w:rsidRPr="00F91B75" w:rsidRDefault="007C2428" w:rsidP="00AC69C9">
      <w:pPr>
        <w:pStyle w:val="a3"/>
        <w:spacing w:after="0" w:line="276" w:lineRule="auto"/>
        <w:ind w:left="793" w:right="426"/>
        <w:jc w:val="both"/>
        <w:rPr>
          <w:rFonts w:ascii="David" w:hAnsi="David" w:cs="David"/>
          <w:sz w:val="26"/>
          <w:szCs w:val="26"/>
          <w:rtl/>
        </w:rPr>
      </w:pPr>
      <w:r w:rsidRPr="00D51574">
        <w:rPr>
          <w:rFonts w:ascii="David" w:hAnsi="David" w:cs="David"/>
          <w:b/>
          <w:bCs/>
          <w:sz w:val="24"/>
          <w:szCs w:val="24"/>
          <w:rtl/>
        </w:rPr>
        <w:t>"</w:t>
      </w:r>
      <w:r w:rsidRPr="00D51574">
        <w:rPr>
          <w:rFonts w:ascii="David" w:hAnsi="David" w:cs="David"/>
          <w:sz w:val="24"/>
          <w:szCs w:val="24"/>
          <w:rtl/>
        </w:rPr>
        <w:t>קיימת חזקה שלפיה</w:t>
      </w:r>
      <w:r w:rsidRPr="00D51574">
        <w:rPr>
          <w:rFonts w:ascii="David" w:hAnsi="David" w:cs="David"/>
          <w:b/>
          <w:bCs/>
          <w:sz w:val="24"/>
          <w:szCs w:val="24"/>
          <w:rtl/>
        </w:rPr>
        <w:t xml:space="preserve"> פרשנות החוזה היא זו התואמת את </w:t>
      </w:r>
      <w:r w:rsidRPr="00F91B75">
        <w:rPr>
          <w:rFonts w:ascii="David" w:hAnsi="David" w:cs="David"/>
          <w:b/>
          <w:bCs/>
          <w:sz w:val="26"/>
          <w:szCs w:val="26"/>
          <w:u w:val="single"/>
          <w:rtl/>
        </w:rPr>
        <w:t>המשמעות הפשוטה, הרגילה והטבעית של הכתוב</w:t>
      </w:r>
      <w:r w:rsidRPr="00D51574">
        <w:rPr>
          <w:rFonts w:ascii="David" w:hAnsi="David" w:cs="David"/>
          <w:b/>
          <w:bCs/>
          <w:sz w:val="24"/>
          <w:szCs w:val="24"/>
          <w:rtl/>
        </w:rPr>
        <w:t xml:space="preserve"> - היא המשמעות האינטואיטיבית הקמה עם קריאת לשון החוזה</w:t>
      </w:r>
      <w:r w:rsidRPr="00D51574">
        <w:rPr>
          <w:rFonts w:ascii="David" w:hAnsi="David" w:cs="David"/>
          <w:sz w:val="24"/>
          <w:szCs w:val="24"/>
          <w:rtl/>
        </w:rPr>
        <w:t xml:space="preserve">" וכי </w:t>
      </w:r>
      <w:r w:rsidRPr="00F91B75">
        <w:rPr>
          <w:rFonts w:ascii="David" w:hAnsi="David" w:cs="David"/>
          <w:b/>
          <w:bCs/>
          <w:sz w:val="26"/>
          <w:szCs w:val="26"/>
          <w:rtl/>
        </w:rPr>
        <w:t>"לשון החוזה .....</w:t>
      </w:r>
      <w:r w:rsidRPr="00F91B75">
        <w:rPr>
          <w:rFonts w:ascii="David" w:hAnsi="David" w:cs="David"/>
          <w:b/>
          <w:bCs/>
          <w:sz w:val="26"/>
          <w:szCs w:val="26"/>
          <w:u w:val="single"/>
          <w:rtl/>
        </w:rPr>
        <w:t>אינו מאפשר לייחס לחוזה פרשנות שאינה מתיישבת עם לשונו</w:t>
      </w:r>
      <w:r w:rsidRPr="00F91B75">
        <w:rPr>
          <w:rFonts w:ascii="David" w:hAnsi="David" w:cs="David"/>
          <w:sz w:val="26"/>
          <w:szCs w:val="26"/>
          <w:rtl/>
        </w:rPr>
        <w:t xml:space="preserve">" </w:t>
      </w:r>
    </w:p>
    <w:p w14:paraId="2DD904B3" w14:textId="77777777" w:rsidR="007C2428" w:rsidRPr="00AC69C9" w:rsidRDefault="007C2428" w:rsidP="00044AE3">
      <w:pPr>
        <w:pStyle w:val="a3"/>
        <w:spacing w:after="0" w:line="276" w:lineRule="auto"/>
        <w:ind w:left="509" w:right="142"/>
        <w:jc w:val="both"/>
        <w:rPr>
          <w:rFonts w:ascii="David" w:hAnsi="David" w:cs="David"/>
          <w:sz w:val="10"/>
          <w:szCs w:val="10"/>
          <w:rtl/>
        </w:rPr>
      </w:pPr>
    </w:p>
    <w:p w14:paraId="799603B7" w14:textId="51CF66B9" w:rsidR="007C2428" w:rsidRPr="00D51574" w:rsidRDefault="007C2428" w:rsidP="008148AC">
      <w:pPr>
        <w:pStyle w:val="a3"/>
        <w:spacing w:after="0" w:line="276" w:lineRule="auto"/>
        <w:ind w:left="368" w:right="142"/>
        <w:jc w:val="both"/>
        <w:rPr>
          <w:rFonts w:ascii="David" w:hAnsi="David" w:cs="David"/>
          <w:sz w:val="24"/>
          <w:szCs w:val="24"/>
        </w:rPr>
      </w:pPr>
      <w:r w:rsidRPr="00D51574">
        <w:rPr>
          <w:rFonts w:ascii="David" w:hAnsi="David" w:cs="David"/>
          <w:sz w:val="24"/>
          <w:szCs w:val="24"/>
          <w:rtl/>
        </w:rPr>
        <w:t>מאחר ולשון סעיף 12ב בחוזה כל כך ברורה וחד משמעית, אינני מצליח, כדובר עברית פשוטה רגילה וטבעית, למצוא את הקשר בין "המשמעות האינטואיטיבית" של לשון הסעיף (חישוב לפי 1.3 לעיל</w:t>
      </w:r>
      <w:r w:rsidR="00AC69C9">
        <w:rPr>
          <w:rFonts w:ascii="David" w:hAnsi="David" w:cs="David" w:hint="cs"/>
          <w:sz w:val="24"/>
          <w:szCs w:val="24"/>
          <w:rtl/>
        </w:rPr>
        <w:t xml:space="preserve"> </w:t>
      </w:r>
      <w:r w:rsidR="00AC69C9" w:rsidRPr="00AC69C9">
        <w:rPr>
          <w:rFonts w:ascii="David" w:hAnsi="David" w:cs="David" w:hint="cs"/>
          <w:sz w:val="20"/>
          <w:szCs w:val="20"/>
          <w:rtl/>
        </w:rPr>
        <w:t>=הנוסחה שלי</w:t>
      </w:r>
      <w:r w:rsidR="00A54D43">
        <w:rPr>
          <w:rFonts w:ascii="David" w:hAnsi="David" w:cs="David" w:hint="cs"/>
          <w:sz w:val="20"/>
          <w:szCs w:val="20"/>
          <w:rtl/>
        </w:rPr>
        <w:t xml:space="preserve">, </w:t>
      </w:r>
      <w:r w:rsidR="00F91B75">
        <w:rPr>
          <w:rFonts w:ascii="David" w:hAnsi="David" w:cs="David" w:hint="cs"/>
          <w:sz w:val="20"/>
          <w:szCs w:val="20"/>
          <w:rtl/>
        </w:rPr>
        <w:t>ש.ה</w:t>
      </w:r>
      <w:r w:rsidRPr="00D51574">
        <w:rPr>
          <w:rFonts w:ascii="David" w:hAnsi="David" w:cs="David"/>
          <w:sz w:val="24"/>
          <w:szCs w:val="24"/>
          <w:rtl/>
        </w:rPr>
        <w:t>) לבין הפרשנות ה"משפטית" שלך ה"מדביקה" ללשון החוזה את ההמצאה של "ממוצע חשבוני משוקלל".</w:t>
      </w:r>
    </w:p>
    <w:p w14:paraId="0B1988A2" w14:textId="77777777" w:rsidR="007C2428" w:rsidRPr="00D51574" w:rsidRDefault="007C2428" w:rsidP="00044AE3">
      <w:pPr>
        <w:pStyle w:val="a3"/>
        <w:spacing w:after="0" w:line="276" w:lineRule="auto"/>
        <w:ind w:left="509" w:right="142" w:hanging="425"/>
        <w:jc w:val="both"/>
        <w:rPr>
          <w:rFonts w:ascii="David" w:hAnsi="David" w:cs="David"/>
          <w:sz w:val="24"/>
          <w:szCs w:val="24"/>
        </w:rPr>
      </w:pPr>
    </w:p>
    <w:p w14:paraId="6D9B59C8" w14:textId="77777777" w:rsidR="007C2428" w:rsidRPr="00D51574" w:rsidRDefault="007C2428" w:rsidP="00044AE3">
      <w:pPr>
        <w:pStyle w:val="a3"/>
        <w:numPr>
          <w:ilvl w:val="2"/>
          <w:numId w:val="1"/>
        </w:numPr>
        <w:spacing w:after="0" w:line="276" w:lineRule="auto"/>
        <w:ind w:left="509" w:right="142" w:hanging="425"/>
        <w:jc w:val="both"/>
        <w:rPr>
          <w:rFonts w:ascii="David" w:hAnsi="David" w:cs="David"/>
          <w:sz w:val="24"/>
          <w:szCs w:val="24"/>
        </w:rPr>
      </w:pPr>
      <w:r w:rsidRPr="00D51574">
        <w:rPr>
          <w:rFonts w:ascii="David" w:hAnsi="David" w:cs="David"/>
          <w:sz w:val="24"/>
          <w:szCs w:val="24"/>
          <w:rtl/>
        </w:rPr>
        <w:t xml:space="preserve">בפס"ד נוסף של בית המשפט העליון (ע"א 2232/12 הפטריארכיה הלטינית בירושלים נגד </w:t>
      </w:r>
      <w:proofErr w:type="spellStart"/>
      <w:r w:rsidRPr="00D51574">
        <w:rPr>
          <w:rFonts w:ascii="David" w:hAnsi="David" w:cs="David"/>
          <w:sz w:val="24"/>
          <w:szCs w:val="24"/>
          <w:rtl/>
        </w:rPr>
        <w:t>סמיר</w:t>
      </w:r>
      <w:proofErr w:type="spellEnd"/>
      <w:r w:rsidRPr="00D5157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D51574">
        <w:rPr>
          <w:rFonts w:ascii="David" w:hAnsi="David" w:cs="David"/>
          <w:sz w:val="24"/>
          <w:szCs w:val="24"/>
          <w:rtl/>
        </w:rPr>
        <w:t>פארוואג'י</w:t>
      </w:r>
      <w:proofErr w:type="spellEnd"/>
      <w:r w:rsidRPr="00D51574">
        <w:rPr>
          <w:rFonts w:ascii="David" w:hAnsi="David" w:cs="David"/>
          <w:sz w:val="24"/>
          <w:szCs w:val="24"/>
          <w:rtl/>
        </w:rPr>
        <w:t xml:space="preserve"> ואח'-</w:t>
      </w:r>
      <w:r w:rsidRPr="00D51574">
        <w:rPr>
          <w:rFonts w:ascii="David" w:hAnsi="David" w:cs="David"/>
          <w:sz w:val="24"/>
          <w:szCs w:val="24"/>
        </w:rPr>
        <w:t> </w:t>
      </w:r>
      <w:r w:rsidRPr="00D51574">
        <w:rPr>
          <w:rFonts w:ascii="David" w:hAnsi="David" w:cs="David"/>
          <w:sz w:val="24"/>
          <w:szCs w:val="24"/>
          <w:rtl/>
        </w:rPr>
        <w:t xml:space="preserve">11.5.2014). קובעת  גם כבוד השופטת א' חיות כי: </w:t>
      </w:r>
    </w:p>
    <w:p w14:paraId="7BD050ED" w14:textId="77777777" w:rsidR="007C2428" w:rsidRPr="00D51574" w:rsidRDefault="007C2428" w:rsidP="00AC69C9">
      <w:pPr>
        <w:pStyle w:val="a3"/>
        <w:spacing w:after="0" w:line="240" w:lineRule="auto"/>
        <w:ind w:left="793" w:right="567"/>
        <w:jc w:val="both"/>
        <w:rPr>
          <w:rFonts w:ascii="David" w:hAnsi="David" w:cs="David"/>
          <w:sz w:val="24"/>
          <w:szCs w:val="24"/>
        </w:rPr>
      </w:pPr>
      <w:r w:rsidRPr="00D51574">
        <w:rPr>
          <w:rFonts w:ascii="David" w:hAnsi="David" w:cs="David"/>
          <w:sz w:val="24"/>
          <w:szCs w:val="24"/>
          <w:rtl/>
        </w:rPr>
        <w:t>"</w:t>
      </w:r>
      <w:r w:rsidRPr="00F91B75">
        <w:rPr>
          <w:rFonts w:ascii="David" w:hAnsi="David" w:cs="David"/>
          <w:b/>
          <w:bCs/>
          <w:sz w:val="26"/>
          <w:szCs w:val="26"/>
          <w:rtl/>
        </w:rPr>
        <w:t xml:space="preserve">לשון החוזה </w:t>
      </w:r>
      <w:r w:rsidRPr="00F91B75">
        <w:rPr>
          <w:rFonts w:ascii="David" w:hAnsi="David" w:cs="David"/>
          <w:sz w:val="26"/>
          <w:szCs w:val="26"/>
          <w:rtl/>
        </w:rPr>
        <w:t>היא ה</w:t>
      </w:r>
      <w:r w:rsidRPr="00F91B75">
        <w:rPr>
          <w:rFonts w:ascii="David" w:hAnsi="David" w:cs="David"/>
          <w:b/>
          <w:bCs/>
          <w:sz w:val="26"/>
          <w:szCs w:val="26"/>
          <w:rtl/>
        </w:rPr>
        <w:t>תוחמת את גבולות הפרשנות</w:t>
      </w:r>
      <w:r w:rsidRPr="00F91B75">
        <w:rPr>
          <w:rFonts w:ascii="David" w:hAnsi="David" w:cs="David"/>
          <w:sz w:val="26"/>
          <w:szCs w:val="26"/>
          <w:rtl/>
        </w:rPr>
        <w:t xml:space="preserve"> של הטקסט החוזי ועל כן </w:t>
      </w:r>
      <w:r w:rsidRPr="00F91B75">
        <w:rPr>
          <w:rFonts w:ascii="David" w:hAnsi="David" w:cs="David"/>
          <w:b/>
          <w:bCs/>
          <w:sz w:val="26"/>
          <w:szCs w:val="26"/>
          <w:rtl/>
        </w:rPr>
        <w:t>לא ניתן לייחס לחוזה פרשנות שאינה מתיישבת עם לשונו"</w:t>
      </w:r>
      <w:r w:rsidRPr="00F91B75">
        <w:rPr>
          <w:rFonts w:ascii="David" w:hAnsi="David" w:cs="David"/>
          <w:sz w:val="26"/>
          <w:szCs w:val="26"/>
          <w:rtl/>
        </w:rPr>
        <w:t>.</w:t>
      </w:r>
      <w:r w:rsidRPr="00D51574">
        <w:rPr>
          <w:rFonts w:ascii="David" w:hAnsi="David" w:cs="David"/>
          <w:sz w:val="24"/>
          <w:szCs w:val="24"/>
          <w:rtl/>
        </w:rPr>
        <w:t xml:space="preserve"> </w:t>
      </w:r>
    </w:p>
    <w:p w14:paraId="01BD9D4C" w14:textId="77777777" w:rsidR="007C2428" w:rsidRPr="00AC69C9" w:rsidRDefault="007C2428" w:rsidP="00044AE3">
      <w:pPr>
        <w:pStyle w:val="a3"/>
        <w:spacing w:after="0" w:line="360" w:lineRule="auto"/>
        <w:ind w:left="509" w:right="142" w:hanging="142"/>
        <w:jc w:val="both"/>
        <w:rPr>
          <w:rFonts w:ascii="David" w:hAnsi="David" w:cs="David"/>
          <w:sz w:val="10"/>
          <w:szCs w:val="10"/>
          <w:rtl/>
        </w:rPr>
      </w:pPr>
      <w:r w:rsidRPr="00D51574">
        <w:rPr>
          <w:rFonts w:ascii="David" w:hAnsi="David" w:cs="David"/>
          <w:sz w:val="24"/>
          <w:szCs w:val="24"/>
          <w:rtl/>
        </w:rPr>
        <w:t xml:space="preserve"> </w:t>
      </w:r>
    </w:p>
    <w:p w14:paraId="62481033" w14:textId="3FE5C04D" w:rsidR="007C2428" w:rsidRDefault="007C2428" w:rsidP="008148AC">
      <w:pPr>
        <w:pStyle w:val="a3"/>
        <w:spacing w:after="0" w:line="276" w:lineRule="auto"/>
        <w:ind w:left="368" w:right="142" w:hanging="142"/>
        <w:jc w:val="both"/>
        <w:rPr>
          <w:rFonts w:ascii="David" w:hAnsi="David" w:cs="David"/>
          <w:sz w:val="24"/>
          <w:szCs w:val="24"/>
          <w:rtl/>
        </w:rPr>
      </w:pPr>
      <w:r w:rsidRPr="00D51574">
        <w:rPr>
          <w:rFonts w:ascii="David" w:hAnsi="David" w:cs="David"/>
          <w:sz w:val="24"/>
          <w:szCs w:val="24"/>
          <w:rtl/>
        </w:rPr>
        <w:t xml:space="preserve"> </w:t>
      </w:r>
      <w:r w:rsidR="00AC69C9">
        <w:rPr>
          <w:rFonts w:ascii="David" w:hAnsi="David" w:cs="David" w:hint="cs"/>
          <w:sz w:val="24"/>
          <w:szCs w:val="24"/>
          <w:rtl/>
        </w:rPr>
        <w:t xml:space="preserve">  </w:t>
      </w:r>
      <w:r w:rsidRPr="00D51574">
        <w:rPr>
          <w:rFonts w:ascii="David" w:hAnsi="David" w:cs="David"/>
          <w:sz w:val="24"/>
          <w:szCs w:val="24"/>
          <w:rtl/>
        </w:rPr>
        <w:t xml:space="preserve">איך לשיטתך המשפטית, מתיישבת הפרשנות שלך לסעיף 12ב בחוזה (חישוב </w:t>
      </w:r>
      <w:proofErr w:type="spellStart"/>
      <w:r w:rsidRPr="00D51574">
        <w:rPr>
          <w:rFonts w:ascii="David" w:hAnsi="David" w:cs="David"/>
          <w:sz w:val="24"/>
          <w:szCs w:val="24"/>
          <w:rtl/>
        </w:rPr>
        <w:t>הגימלה</w:t>
      </w:r>
      <w:proofErr w:type="spellEnd"/>
      <w:r w:rsidRPr="00D51574">
        <w:rPr>
          <w:rFonts w:ascii="David" w:hAnsi="David" w:cs="David"/>
          <w:sz w:val="24"/>
          <w:szCs w:val="24"/>
          <w:rtl/>
        </w:rPr>
        <w:t xml:space="preserve"> לתקופת החוזה "לפי ממוצע חשבוני משוקלל", שאינו מוזכר בחוזה) עם לשון הסעיף האומר בפשטות ובמפורש </w:t>
      </w:r>
      <w:proofErr w:type="spellStart"/>
      <w:r w:rsidRPr="00D51574">
        <w:rPr>
          <w:rFonts w:ascii="David" w:hAnsi="David" w:cs="David"/>
          <w:sz w:val="24"/>
          <w:szCs w:val="24"/>
          <w:rtl/>
        </w:rPr>
        <w:t>ש</w:t>
      </w:r>
      <w:r w:rsidRPr="00D51574">
        <w:rPr>
          <w:rFonts w:ascii="David" w:hAnsi="David" w:cs="David"/>
          <w:b/>
          <w:bCs/>
          <w:sz w:val="24"/>
          <w:szCs w:val="24"/>
          <w:rtl/>
        </w:rPr>
        <w:t>הגימלה</w:t>
      </w:r>
      <w:proofErr w:type="spellEnd"/>
      <w:r w:rsidRPr="00D5157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D51574">
        <w:rPr>
          <w:rFonts w:ascii="David" w:hAnsi="David" w:cs="David"/>
          <w:sz w:val="24"/>
          <w:szCs w:val="24"/>
          <w:rtl/>
        </w:rPr>
        <w:t>תחושב על בסיס</w:t>
      </w:r>
      <w:r w:rsidR="00AC69C9">
        <w:rPr>
          <w:rFonts w:ascii="David" w:hAnsi="David" w:cs="David" w:hint="cs"/>
          <w:sz w:val="24"/>
          <w:szCs w:val="24"/>
          <w:rtl/>
        </w:rPr>
        <w:t xml:space="preserve"> </w:t>
      </w:r>
      <w:r w:rsidRPr="00D51574">
        <w:rPr>
          <w:rFonts w:ascii="David" w:hAnsi="David" w:cs="David"/>
          <w:sz w:val="24"/>
          <w:szCs w:val="24"/>
          <w:rtl/>
        </w:rPr>
        <w:t>"..המשכורת הכוללת לפי סעיף 6 לעיל וכפי שתעודכן לפי סעיף 8" (</w:t>
      </w:r>
      <w:r w:rsidRPr="00D51574">
        <w:rPr>
          <w:rFonts w:ascii="David" w:hAnsi="David" w:cs="David"/>
          <w:sz w:val="24"/>
          <w:szCs w:val="24"/>
          <w:u w:val="single"/>
          <w:rtl/>
        </w:rPr>
        <w:t>=המשכורת המעודכנת של החוזה)</w:t>
      </w:r>
      <w:r w:rsidRPr="00D51574">
        <w:rPr>
          <w:rFonts w:ascii="David" w:hAnsi="David" w:cs="David"/>
          <w:sz w:val="24"/>
          <w:szCs w:val="24"/>
          <w:rtl/>
        </w:rPr>
        <w:t>?</w:t>
      </w:r>
    </w:p>
    <w:p w14:paraId="398FE174" w14:textId="77777777" w:rsidR="008148AC" w:rsidRPr="008148AC" w:rsidRDefault="008148AC" w:rsidP="008148AC">
      <w:pPr>
        <w:pStyle w:val="a3"/>
        <w:spacing w:after="0" w:line="276" w:lineRule="auto"/>
        <w:ind w:left="368" w:right="142" w:hanging="142"/>
        <w:jc w:val="both"/>
        <w:rPr>
          <w:rFonts w:ascii="David" w:hAnsi="David" w:cs="David"/>
          <w:sz w:val="10"/>
          <w:szCs w:val="10"/>
        </w:rPr>
      </w:pPr>
    </w:p>
    <w:p w14:paraId="01A25916" w14:textId="77777777" w:rsidR="007C2428" w:rsidRDefault="007C2428" w:rsidP="00AC69C9">
      <w:pPr>
        <w:pStyle w:val="a3"/>
        <w:numPr>
          <w:ilvl w:val="2"/>
          <w:numId w:val="1"/>
        </w:numPr>
        <w:spacing w:after="0" w:line="276" w:lineRule="auto"/>
        <w:ind w:left="509" w:right="142" w:hanging="425"/>
        <w:jc w:val="both"/>
        <w:rPr>
          <w:rFonts w:cs="David"/>
          <w:sz w:val="24"/>
          <w:szCs w:val="24"/>
        </w:rPr>
      </w:pPr>
      <w:r w:rsidRPr="00966F80">
        <w:rPr>
          <w:rFonts w:cs="David" w:hint="cs"/>
          <w:sz w:val="24"/>
          <w:szCs w:val="24"/>
          <w:rtl/>
        </w:rPr>
        <w:t xml:space="preserve">ראוי לצטט בהקשר זה </w:t>
      </w:r>
      <w:r>
        <w:rPr>
          <w:rFonts w:cs="David" w:hint="cs"/>
          <w:sz w:val="24"/>
          <w:szCs w:val="24"/>
          <w:rtl/>
        </w:rPr>
        <w:t xml:space="preserve">גם </w:t>
      </w:r>
      <w:r w:rsidRPr="00966F80">
        <w:rPr>
          <w:rFonts w:cs="David" w:hint="cs"/>
          <w:sz w:val="24"/>
          <w:szCs w:val="24"/>
          <w:rtl/>
        </w:rPr>
        <w:t xml:space="preserve">את כב' השופטת ד' ברק-ארז </w:t>
      </w:r>
      <w:r>
        <w:rPr>
          <w:rFonts w:cs="David" w:hint="cs"/>
          <w:sz w:val="24"/>
          <w:szCs w:val="24"/>
          <w:rtl/>
        </w:rPr>
        <w:t>שכתבה בין היתר באותו פסק דין של בית המשפט העליון (שם) כי</w:t>
      </w:r>
    </w:p>
    <w:p w14:paraId="31138806" w14:textId="47A7B3BC" w:rsidR="008148AC" w:rsidRDefault="007C2428" w:rsidP="008148AC">
      <w:pPr>
        <w:pStyle w:val="a3"/>
        <w:tabs>
          <w:tab w:val="left" w:pos="2736"/>
        </w:tabs>
        <w:spacing w:after="0" w:line="276" w:lineRule="auto"/>
        <w:ind w:left="793" w:right="709"/>
        <w:jc w:val="both"/>
        <w:rPr>
          <w:rFonts w:asciiTheme="majorBidi" w:hAnsiTheme="majorBidi" w:cstheme="majorBidi"/>
          <w:sz w:val="24"/>
          <w:szCs w:val="24"/>
          <w:rtl/>
        </w:rPr>
      </w:pPr>
      <w:r w:rsidRPr="00E0581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91B75">
        <w:rPr>
          <w:rFonts w:ascii="David" w:hAnsi="David" w:cs="David"/>
          <w:b/>
          <w:bCs/>
          <w:sz w:val="26"/>
          <w:szCs w:val="26"/>
          <w:rtl/>
        </w:rPr>
        <w:t>ל</w:t>
      </w:r>
      <w:r w:rsidRPr="00F91B75">
        <w:rPr>
          <w:rFonts w:ascii="David" w:hAnsi="David" w:cs="David"/>
          <w:sz w:val="26"/>
          <w:szCs w:val="26"/>
          <w:rtl/>
        </w:rPr>
        <w:t>"</w:t>
      </w:r>
      <w:r w:rsidRPr="00F91B75">
        <w:rPr>
          <w:rFonts w:ascii="David" w:hAnsi="David" w:cs="David"/>
          <w:b/>
          <w:bCs/>
          <w:sz w:val="26"/>
          <w:szCs w:val="26"/>
          <w:rtl/>
        </w:rPr>
        <w:t>חוזה שנוסח על-ידי בקיאים ויודעי דת ודין, אשר שקלו כל מילה</w:t>
      </w:r>
      <w:r w:rsidR="008148AC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F91B75">
        <w:rPr>
          <w:rFonts w:ascii="David" w:hAnsi="David" w:cs="David"/>
          <w:b/>
          <w:bCs/>
          <w:sz w:val="26"/>
          <w:szCs w:val="26"/>
          <w:rtl/>
        </w:rPr>
        <w:t>ותג</w:t>
      </w:r>
      <w:r w:rsidRPr="00F91B75">
        <w:rPr>
          <w:rFonts w:ascii="David" w:hAnsi="David" w:cs="David"/>
          <w:sz w:val="26"/>
          <w:szCs w:val="26"/>
          <w:rtl/>
        </w:rPr>
        <w:t>...</w:t>
      </w:r>
      <w:r w:rsidR="008148AC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F91B75">
        <w:rPr>
          <w:rFonts w:ascii="David" w:hAnsi="David" w:cs="David"/>
          <w:b/>
          <w:bCs/>
          <w:sz w:val="26"/>
          <w:szCs w:val="26"/>
          <w:rtl/>
        </w:rPr>
        <w:t xml:space="preserve">אמור </w:t>
      </w:r>
      <w:proofErr w:type="spellStart"/>
      <w:r w:rsidRPr="00F91B75">
        <w:rPr>
          <w:rFonts w:ascii="David" w:hAnsi="David" w:cs="David"/>
          <w:b/>
          <w:bCs/>
          <w:sz w:val="26"/>
          <w:szCs w:val="26"/>
          <w:rtl/>
        </w:rPr>
        <w:t>להנתן</w:t>
      </w:r>
      <w:proofErr w:type="spellEnd"/>
      <w:r w:rsidRPr="00F91B75">
        <w:rPr>
          <w:rFonts w:ascii="David" w:hAnsi="David" w:cs="David"/>
          <w:b/>
          <w:bCs/>
          <w:sz w:val="26"/>
          <w:szCs w:val="26"/>
          <w:rtl/>
        </w:rPr>
        <w:t xml:space="preserve"> משקל מכריע ללשון החוזה.."</w:t>
      </w:r>
      <w:r w:rsidRPr="00F91B75">
        <w:rPr>
          <w:rFonts w:ascii="David" w:hAnsi="David" w:cs="David"/>
          <w:b/>
          <w:bCs/>
          <w:sz w:val="24"/>
          <w:szCs w:val="24"/>
          <w:rtl/>
        </w:rPr>
        <w:t>(</w:t>
      </w:r>
      <w:r w:rsidRPr="00E05819">
        <w:rPr>
          <w:rFonts w:asciiTheme="majorBidi" w:hAnsiTheme="majorBidi" w:cstheme="majorBidi"/>
          <w:sz w:val="24"/>
          <w:szCs w:val="24"/>
          <w:rtl/>
        </w:rPr>
        <w:t>שם).</w:t>
      </w:r>
    </w:p>
    <w:p w14:paraId="383263AB" w14:textId="0C9E5445" w:rsidR="007C2428" w:rsidRPr="008148AC" w:rsidRDefault="007C2428" w:rsidP="008148AC">
      <w:pPr>
        <w:pStyle w:val="a3"/>
        <w:tabs>
          <w:tab w:val="left" w:pos="2736"/>
        </w:tabs>
        <w:spacing w:after="0" w:line="276" w:lineRule="auto"/>
        <w:ind w:left="509" w:right="426"/>
        <w:jc w:val="both"/>
        <w:rPr>
          <w:rFonts w:cs="David"/>
          <w:sz w:val="24"/>
          <w:szCs w:val="24"/>
          <w:rtl/>
        </w:rPr>
      </w:pPr>
      <w:r w:rsidRPr="00E05819">
        <w:rPr>
          <w:rFonts w:asciiTheme="majorBidi" w:hAnsiTheme="majorBidi" w:cstheme="majorBidi"/>
          <w:sz w:val="24"/>
          <w:szCs w:val="24"/>
          <w:rtl/>
        </w:rPr>
        <w:lastRenderedPageBreak/>
        <w:t xml:space="preserve"> </w:t>
      </w:r>
      <w:r w:rsidRPr="008148AC">
        <w:rPr>
          <w:rFonts w:cs="David" w:hint="cs"/>
          <w:sz w:val="24"/>
          <w:szCs w:val="24"/>
          <w:rtl/>
        </w:rPr>
        <w:t>מכאן שגם המשפטנים והמומחים בנציבות</w:t>
      </w:r>
      <w:r w:rsidR="00F91B75" w:rsidRPr="008148AC">
        <w:rPr>
          <w:rFonts w:cs="David" w:hint="cs"/>
          <w:sz w:val="24"/>
          <w:szCs w:val="24"/>
          <w:rtl/>
        </w:rPr>
        <w:t>,</w:t>
      </w:r>
      <w:r w:rsidRPr="008148AC">
        <w:rPr>
          <w:rFonts w:cs="David" w:hint="cs"/>
          <w:sz w:val="24"/>
          <w:szCs w:val="24"/>
          <w:rtl/>
        </w:rPr>
        <w:t xml:space="preserve"> שניסחו את החוזה</w:t>
      </w:r>
      <w:r w:rsidR="00F91B75" w:rsidRPr="008148AC">
        <w:rPr>
          <w:rFonts w:cs="David" w:hint="cs"/>
          <w:sz w:val="24"/>
          <w:szCs w:val="24"/>
          <w:rtl/>
        </w:rPr>
        <w:t>,</w:t>
      </w:r>
      <w:r w:rsidRPr="008148AC">
        <w:rPr>
          <w:rFonts w:cs="David" w:hint="cs"/>
          <w:sz w:val="24"/>
          <w:szCs w:val="24"/>
          <w:rtl/>
        </w:rPr>
        <w:t xml:space="preserve"> לא חשבו כלל על "ממוצע חשבוני משוקלל" כבסיס לחישוב </w:t>
      </w:r>
      <w:proofErr w:type="spellStart"/>
      <w:r w:rsidRPr="008148AC">
        <w:rPr>
          <w:rFonts w:cs="David" w:hint="cs"/>
          <w:sz w:val="24"/>
          <w:szCs w:val="24"/>
          <w:rtl/>
        </w:rPr>
        <w:t>הגימלה</w:t>
      </w:r>
      <w:proofErr w:type="spellEnd"/>
      <w:r w:rsidRPr="008148AC">
        <w:rPr>
          <w:rFonts w:cs="David" w:hint="cs"/>
          <w:sz w:val="24"/>
          <w:szCs w:val="24"/>
          <w:rtl/>
        </w:rPr>
        <w:t>, אחרת הם היו משלבים את הביטוי במפורש בלשון הסעיף.</w:t>
      </w:r>
    </w:p>
    <w:p w14:paraId="00267935" w14:textId="77777777" w:rsidR="007C2428" w:rsidRPr="00E05819" w:rsidRDefault="007C2428" w:rsidP="00044AE3">
      <w:pPr>
        <w:pStyle w:val="a3"/>
        <w:spacing w:after="0" w:line="240" w:lineRule="auto"/>
        <w:ind w:left="509" w:right="142"/>
        <w:jc w:val="both"/>
        <w:rPr>
          <w:rFonts w:cs="David"/>
          <w:sz w:val="12"/>
          <w:szCs w:val="12"/>
        </w:rPr>
      </w:pPr>
    </w:p>
    <w:p w14:paraId="5F0490D0" w14:textId="77777777" w:rsidR="007C2428" w:rsidRPr="00DB3080" w:rsidRDefault="007C2428" w:rsidP="00044AE3">
      <w:pPr>
        <w:pStyle w:val="a3"/>
        <w:numPr>
          <w:ilvl w:val="2"/>
          <w:numId w:val="1"/>
        </w:numPr>
        <w:spacing w:after="0" w:line="276" w:lineRule="auto"/>
        <w:ind w:left="509" w:right="142" w:hanging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ו</w:t>
      </w:r>
      <w:r w:rsidRPr="00DB3080">
        <w:rPr>
          <w:rFonts w:cs="David" w:hint="cs"/>
          <w:sz w:val="24"/>
          <w:szCs w:val="24"/>
          <w:rtl/>
        </w:rPr>
        <w:t>בהמשך ל</w:t>
      </w:r>
      <w:r>
        <w:rPr>
          <w:rFonts w:cs="David" w:hint="cs"/>
          <w:sz w:val="24"/>
          <w:szCs w:val="24"/>
          <w:rtl/>
        </w:rPr>
        <w:t xml:space="preserve">-2.3.1(א) לעיל: </w:t>
      </w:r>
      <w:r w:rsidRPr="00DB3080">
        <w:rPr>
          <w:rFonts w:cs="David" w:hint="cs"/>
          <w:sz w:val="24"/>
          <w:szCs w:val="24"/>
          <w:rtl/>
        </w:rPr>
        <w:t>גם א</w:t>
      </w:r>
      <w:r>
        <w:rPr>
          <w:rFonts w:cs="David" w:hint="cs"/>
          <w:sz w:val="24"/>
          <w:szCs w:val="24"/>
          <w:rtl/>
        </w:rPr>
        <w:t>ם ה</w:t>
      </w:r>
      <w:r w:rsidRPr="00DB3080">
        <w:rPr>
          <w:rFonts w:cs="David" w:hint="cs"/>
          <w:sz w:val="24"/>
          <w:szCs w:val="24"/>
          <w:rtl/>
        </w:rPr>
        <w:t xml:space="preserve">פרשנות שלך </w:t>
      </w:r>
      <w:r>
        <w:rPr>
          <w:rFonts w:cs="David" w:hint="cs"/>
          <w:sz w:val="24"/>
          <w:szCs w:val="24"/>
          <w:rtl/>
        </w:rPr>
        <w:t xml:space="preserve">כן </w:t>
      </w:r>
      <w:proofErr w:type="spellStart"/>
      <w:r>
        <w:rPr>
          <w:rFonts w:cs="David" w:hint="cs"/>
          <w:sz w:val="24"/>
          <w:szCs w:val="24"/>
          <w:rtl/>
        </w:rPr>
        <w:t>היתה</w:t>
      </w:r>
      <w:proofErr w:type="spellEnd"/>
      <w:r>
        <w:rPr>
          <w:rFonts w:cs="David" w:hint="cs"/>
          <w:sz w:val="24"/>
          <w:szCs w:val="24"/>
          <w:rtl/>
        </w:rPr>
        <w:t xml:space="preserve"> ת</w:t>
      </w:r>
      <w:r w:rsidRPr="00DB3080">
        <w:rPr>
          <w:rFonts w:cs="David" w:hint="cs"/>
          <w:sz w:val="24"/>
          <w:szCs w:val="24"/>
          <w:rtl/>
        </w:rPr>
        <w:t xml:space="preserve">ואמת למשמעות לשון החוזה, </w:t>
      </w:r>
      <w:r>
        <w:rPr>
          <w:rFonts w:cs="David" w:hint="cs"/>
          <w:sz w:val="24"/>
          <w:szCs w:val="24"/>
          <w:rtl/>
        </w:rPr>
        <w:t xml:space="preserve">ואפילו אם היה </w:t>
      </w:r>
      <w:proofErr w:type="spellStart"/>
      <w:r>
        <w:rPr>
          <w:rFonts w:cs="David" w:hint="cs"/>
          <w:sz w:val="24"/>
          <w:szCs w:val="24"/>
          <w:rtl/>
        </w:rPr>
        <w:t>שויון</w:t>
      </w:r>
      <w:proofErr w:type="spellEnd"/>
      <w:r>
        <w:rPr>
          <w:rFonts w:cs="David" w:hint="cs"/>
          <w:sz w:val="24"/>
          <w:szCs w:val="24"/>
          <w:rtl/>
        </w:rPr>
        <w:t xml:space="preserve"> כוחות ביני לבין המדינה, כבר קבע בית המשפט העליון ע"פ סעיף 25(ב)1 לחוק החוזים (ע"א 9609/01, </w:t>
      </w:r>
      <w:r w:rsidRPr="00DB3080">
        <w:rPr>
          <w:rFonts w:cs="David" w:hint="cs"/>
          <w:sz w:val="24"/>
          <w:szCs w:val="24"/>
          <w:rtl/>
        </w:rPr>
        <w:t>פס"ד</w:t>
      </w:r>
      <w:r w:rsidRPr="00DB3080">
        <w:rPr>
          <w:rFonts w:cs="David"/>
          <w:sz w:val="24"/>
          <w:szCs w:val="24"/>
          <w:rtl/>
        </w:rPr>
        <w:t xml:space="preserve"> </w:t>
      </w:r>
      <w:r w:rsidRPr="00DB3080">
        <w:rPr>
          <w:rFonts w:cs="David" w:hint="cs"/>
          <w:sz w:val="24"/>
          <w:szCs w:val="24"/>
          <w:rtl/>
        </w:rPr>
        <w:t xml:space="preserve">של </w:t>
      </w:r>
      <w:r w:rsidRPr="00F91B75">
        <w:rPr>
          <w:rFonts w:cs="David"/>
          <w:b/>
          <w:bCs/>
          <w:sz w:val="24"/>
          <w:szCs w:val="24"/>
          <w:rtl/>
        </w:rPr>
        <w:t>בית המשפט העליון</w:t>
      </w:r>
      <w:r w:rsidRPr="00DB3080">
        <w:rPr>
          <w:rFonts w:cs="David"/>
          <w:sz w:val="24"/>
          <w:szCs w:val="24"/>
          <w:rtl/>
        </w:rPr>
        <w:t xml:space="preserve"> בשבתו כבית משפט לערעורים אזרחיים</w:t>
      </w:r>
      <w:r w:rsidRPr="00DB3080">
        <w:rPr>
          <w:rFonts w:cs="David" w:hint="cs"/>
          <w:sz w:val="24"/>
          <w:szCs w:val="24"/>
          <w:rtl/>
        </w:rPr>
        <w:t xml:space="preserve">, </w:t>
      </w:r>
      <w:r w:rsidRPr="00F91B75">
        <w:rPr>
          <w:rFonts w:cs="David" w:hint="cs"/>
          <w:b/>
          <w:bCs/>
          <w:sz w:val="24"/>
          <w:szCs w:val="24"/>
          <w:rtl/>
        </w:rPr>
        <w:t xml:space="preserve">בפני </w:t>
      </w:r>
      <w:r w:rsidRPr="00F91B75">
        <w:rPr>
          <w:rFonts w:cs="David"/>
          <w:b/>
          <w:bCs/>
          <w:sz w:val="24"/>
          <w:szCs w:val="24"/>
          <w:rtl/>
        </w:rPr>
        <w:t>כבוד השופט</w:t>
      </w:r>
      <w:r w:rsidRPr="00F91B75">
        <w:rPr>
          <w:rFonts w:cs="David" w:hint="cs"/>
          <w:b/>
          <w:bCs/>
          <w:sz w:val="24"/>
          <w:szCs w:val="24"/>
          <w:rtl/>
        </w:rPr>
        <w:t>ים: א.' ברק, א. ריבלין, ס. ג'ובראן)</w:t>
      </w:r>
      <w:r w:rsidRPr="00DB3080">
        <w:rPr>
          <w:rFonts w:cs="David" w:hint="cs"/>
          <w:sz w:val="24"/>
          <w:szCs w:val="24"/>
          <w:rtl/>
        </w:rPr>
        <w:t xml:space="preserve"> כי:</w:t>
      </w:r>
    </w:p>
    <w:p w14:paraId="4D345BFF" w14:textId="1022CEAB" w:rsidR="007C2428" w:rsidRPr="00F91B75" w:rsidRDefault="00F91B75" w:rsidP="00F91B75">
      <w:pPr>
        <w:spacing w:after="0"/>
        <w:ind w:right="42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</w:t>
      </w:r>
      <w:r w:rsidR="007C2428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.</w:t>
      </w:r>
      <w:r w:rsidR="007C2428">
        <w:rPr>
          <w:rFonts w:cs="David" w:hint="cs"/>
          <w:sz w:val="24"/>
          <w:szCs w:val="24"/>
          <w:rtl/>
        </w:rPr>
        <w:t>.</w:t>
      </w:r>
      <w:r w:rsidR="007C2428" w:rsidRPr="00F91B75">
        <w:rPr>
          <w:rFonts w:ascii="David" w:hAnsi="David" w:cs="David"/>
          <w:sz w:val="24"/>
          <w:szCs w:val="24"/>
          <w:rtl/>
        </w:rPr>
        <w:t>במקרים שבהם "כפות המאזניים מעוינות",</w:t>
      </w:r>
      <w:r w:rsidR="007C2428" w:rsidRPr="00F91B75">
        <w:rPr>
          <w:rFonts w:ascii="David" w:hAnsi="David" w:cs="David"/>
          <w:b/>
          <w:bCs/>
          <w:sz w:val="24"/>
          <w:szCs w:val="24"/>
          <w:rtl/>
        </w:rPr>
        <w:t xml:space="preserve"> יש לפרש את ההסכם </w:t>
      </w:r>
      <w:r w:rsidR="007C2428" w:rsidRPr="00F91B75">
        <w:rPr>
          <w:rFonts w:ascii="David" w:hAnsi="David" w:cs="David"/>
          <w:b/>
          <w:bCs/>
          <w:sz w:val="24"/>
          <w:szCs w:val="24"/>
          <w:u w:val="single"/>
          <w:rtl/>
        </w:rPr>
        <w:t>לרעת מנסחו</w:t>
      </w:r>
      <w:r w:rsidR="007C2428" w:rsidRPr="00F91B75">
        <w:rPr>
          <w:rFonts w:asciiTheme="majorBidi" w:hAnsiTheme="majorBidi" w:cstheme="majorBidi"/>
          <w:sz w:val="24"/>
          <w:szCs w:val="24"/>
          <w:rtl/>
        </w:rPr>
        <w:t>...</w:t>
      </w:r>
      <w:r w:rsidR="007C2428" w:rsidRPr="00F91B75">
        <w:rPr>
          <w:rFonts w:cs="David"/>
          <w:sz w:val="24"/>
          <w:szCs w:val="24"/>
          <w:rtl/>
        </w:rPr>
        <w:t xml:space="preserve"> </w:t>
      </w:r>
    </w:p>
    <w:p w14:paraId="6CBA2518" w14:textId="77777777" w:rsidR="007C2428" w:rsidRPr="00E05819" w:rsidRDefault="007C2428" w:rsidP="00F91B75">
      <w:pPr>
        <w:spacing w:after="0"/>
        <w:ind w:left="935" w:right="426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...</w:t>
      </w:r>
      <w:r w:rsidRPr="00574E64">
        <w:rPr>
          <w:rFonts w:cs="David"/>
          <w:sz w:val="24"/>
          <w:szCs w:val="24"/>
          <w:rtl/>
        </w:rPr>
        <w:t xml:space="preserve">כאשר ניצבות לפני הפרשן שתי משמעויות סבירות במידה שווה פחות או יותר, כי אז </w:t>
      </w:r>
      <w:r w:rsidRPr="00F91B75">
        <w:rPr>
          <w:rFonts w:ascii="David" w:hAnsi="David" w:cs="David"/>
          <w:b/>
          <w:bCs/>
          <w:sz w:val="26"/>
          <w:szCs w:val="26"/>
          <w:rtl/>
        </w:rPr>
        <w:t xml:space="preserve">יש להעדיף את המשמעות </w:t>
      </w:r>
      <w:r w:rsidRPr="00F91B75">
        <w:rPr>
          <w:rFonts w:ascii="David" w:hAnsi="David" w:cs="David"/>
          <w:b/>
          <w:bCs/>
          <w:sz w:val="26"/>
          <w:szCs w:val="26"/>
          <w:u w:val="single"/>
          <w:rtl/>
        </w:rPr>
        <w:t>הנוחה יותר לצד שלא ניסח את המסמך</w:t>
      </w:r>
      <w:r w:rsidRPr="00F91B75">
        <w:rPr>
          <w:rFonts w:ascii="David" w:hAnsi="David" w:cs="David"/>
          <w:sz w:val="26"/>
          <w:szCs w:val="26"/>
          <w:rtl/>
        </w:rPr>
        <w:t>...</w:t>
      </w:r>
    </w:p>
    <w:p w14:paraId="3C2DF34B" w14:textId="3B9A186A" w:rsidR="007C2428" w:rsidRDefault="007C2428" w:rsidP="00F91B75">
      <w:pPr>
        <w:spacing w:after="0"/>
        <w:ind w:left="935" w:right="426"/>
        <w:jc w:val="both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cs="David" w:hint="cs"/>
          <w:sz w:val="24"/>
          <w:szCs w:val="24"/>
          <w:rtl/>
        </w:rPr>
        <w:t>...</w:t>
      </w:r>
      <w:r w:rsidRPr="00574E64">
        <w:rPr>
          <w:rFonts w:cs="David"/>
          <w:sz w:val="24"/>
          <w:szCs w:val="24"/>
          <w:rtl/>
        </w:rPr>
        <w:t xml:space="preserve"> הגיונו של הכלל טמון בשליטת המנסח על תוכן הטקסט. </w:t>
      </w:r>
      <w:r w:rsidRPr="00E6463C">
        <w:rPr>
          <w:rFonts w:cs="David"/>
          <w:sz w:val="24"/>
          <w:szCs w:val="24"/>
          <w:u w:val="single"/>
          <w:rtl/>
        </w:rPr>
        <w:t>ההנחה היא כי הנסח טרח להבטיח זכויותיו בעת ניסוח המסמך</w:t>
      </w:r>
      <w:r w:rsidRPr="00574E64">
        <w:rPr>
          <w:rFonts w:cs="David"/>
          <w:b/>
          <w:bCs/>
          <w:sz w:val="24"/>
          <w:szCs w:val="24"/>
          <w:rtl/>
        </w:rPr>
        <w:t xml:space="preserve">, </w:t>
      </w:r>
      <w:r w:rsidRPr="00F91B75">
        <w:rPr>
          <w:rFonts w:ascii="David" w:hAnsi="David" w:cs="David"/>
          <w:b/>
          <w:bCs/>
          <w:sz w:val="26"/>
          <w:szCs w:val="26"/>
          <w:rtl/>
        </w:rPr>
        <w:t>בייחוד כאשר מדובר על בעל דין, אשר לו כוח והשפעה ....מול האזרח, היחיד...</w:t>
      </w:r>
    </w:p>
    <w:p w14:paraId="043393D5" w14:textId="77777777" w:rsidR="00F91B75" w:rsidRPr="00F91B75" w:rsidRDefault="00F91B75" w:rsidP="00F91B75">
      <w:pPr>
        <w:spacing w:after="0"/>
        <w:ind w:left="935" w:right="426"/>
        <w:jc w:val="both"/>
        <w:rPr>
          <w:rFonts w:ascii="David" w:hAnsi="David" w:cs="David"/>
          <w:b/>
          <w:bCs/>
          <w:sz w:val="26"/>
          <w:szCs w:val="26"/>
          <w:rtl/>
        </w:rPr>
      </w:pPr>
    </w:p>
    <w:p w14:paraId="49DB5B8A" w14:textId="77777777" w:rsidR="007C2428" w:rsidRPr="00F91B75" w:rsidRDefault="007C2428" w:rsidP="00F91B75">
      <w:pPr>
        <w:spacing w:after="0" w:line="276" w:lineRule="auto"/>
        <w:ind w:left="935" w:right="426"/>
        <w:jc w:val="both"/>
        <w:rPr>
          <w:rFonts w:ascii="David" w:hAnsi="David" w:cs="David"/>
          <w:sz w:val="24"/>
          <w:szCs w:val="24"/>
          <w:rtl/>
        </w:rPr>
      </w:pPr>
      <w:r w:rsidRPr="00574E64">
        <w:rPr>
          <w:rFonts w:cs="David"/>
          <w:sz w:val="24"/>
          <w:szCs w:val="24"/>
          <w:rtl/>
        </w:rPr>
        <w:t>אם הנוסח הוא דו-משמעי או רב-משמעי</w:t>
      </w:r>
      <w:r w:rsidRPr="00574E64">
        <w:rPr>
          <w:rFonts w:cs="David"/>
          <w:b/>
          <w:bCs/>
          <w:sz w:val="24"/>
          <w:szCs w:val="24"/>
          <w:rtl/>
        </w:rPr>
        <w:t xml:space="preserve">, </w:t>
      </w:r>
      <w:r w:rsidRPr="00F91B75">
        <w:rPr>
          <w:rFonts w:ascii="David" w:hAnsi="David" w:cs="David"/>
          <w:b/>
          <w:bCs/>
          <w:sz w:val="26"/>
          <w:szCs w:val="26"/>
          <w:rtl/>
        </w:rPr>
        <w:t xml:space="preserve">ניתנת עדיפות פרשנית </w:t>
      </w:r>
      <w:r w:rsidRPr="00F91B75">
        <w:rPr>
          <w:rFonts w:ascii="David" w:hAnsi="David" w:cs="David"/>
          <w:b/>
          <w:bCs/>
          <w:sz w:val="26"/>
          <w:szCs w:val="26"/>
          <w:u w:val="single"/>
          <w:rtl/>
        </w:rPr>
        <w:t>נגד הנסח</w:t>
      </w:r>
      <w:r w:rsidRPr="003B14EB">
        <w:rPr>
          <w:rFonts w:cs="David"/>
          <w:sz w:val="24"/>
          <w:szCs w:val="24"/>
          <w:u w:val="single"/>
          <w:rtl/>
        </w:rPr>
        <w:t>,</w:t>
      </w:r>
      <w:r>
        <w:rPr>
          <w:rFonts w:cs="David"/>
          <w:sz w:val="24"/>
          <w:szCs w:val="24"/>
          <w:rtl/>
        </w:rPr>
        <w:t xml:space="preserve"> שהרי אם הוא </w:t>
      </w:r>
      <w:r>
        <w:rPr>
          <w:rFonts w:cs="David" w:hint="cs"/>
          <w:sz w:val="24"/>
          <w:szCs w:val="24"/>
          <w:rtl/>
        </w:rPr>
        <w:t>-</w:t>
      </w:r>
      <w:r w:rsidRPr="00574E64">
        <w:rPr>
          <w:rFonts w:cs="David"/>
          <w:sz w:val="24"/>
          <w:szCs w:val="24"/>
          <w:rtl/>
        </w:rPr>
        <w:t>שדאג לענייניו</w:t>
      </w:r>
      <w:r w:rsidRPr="00574E64">
        <w:rPr>
          <w:rFonts w:cs="David" w:hint="cs"/>
          <w:sz w:val="24"/>
          <w:szCs w:val="24"/>
          <w:rtl/>
        </w:rPr>
        <w:t>-</w:t>
      </w:r>
      <w:r w:rsidRPr="00574E64">
        <w:rPr>
          <w:rFonts w:cs="David"/>
          <w:sz w:val="24"/>
          <w:szCs w:val="24"/>
          <w:rtl/>
        </w:rPr>
        <w:t xml:space="preserve"> יצר נוסח בעל משמעויות שונות, </w:t>
      </w:r>
      <w:r w:rsidRPr="00F91B75">
        <w:rPr>
          <w:rFonts w:cs="David"/>
          <w:b/>
          <w:bCs/>
          <w:sz w:val="24"/>
          <w:szCs w:val="24"/>
          <w:u w:val="single"/>
          <w:rtl/>
        </w:rPr>
        <w:t>אין הוא יכול לבחור לעצמו דווקא את החלופה הנוחה לו ביותר</w:t>
      </w:r>
      <w:r w:rsidRPr="00574E64">
        <w:rPr>
          <w:rFonts w:cs="David"/>
          <w:sz w:val="24"/>
          <w:szCs w:val="24"/>
          <w:rtl/>
        </w:rPr>
        <w:t xml:space="preserve">; היפוכו של דבר: </w:t>
      </w:r>
      <w:r w:rsidRPr="00574E64">
        <w:rPr>
          <w:rFonts w:cs="David" w:hint="cs"/>
          <w:sz w:val="24"/>
          <w:szCs w:val="24"/>
          <w:rtl/>
        </w:rPr>
        <w:t>.......</w:t>
      </w:r>
      <w:r w:rsidRPr="00574E64">
        <w:rPr>
          <w:rFonts w:cs="David"/>
          <w:sz w:val="24"/>
          <w:szCs w:val="24"/>
          <w:rtl/>
        </w:rPr>
        <w:t xml:space="preserve"> </w:t>
      </w:r>
      <w:r w:rsidRPr="00F91B75">
        <w:rPr>
          <w:rFonts w:ascii="David" w:hAnsi="David" w:cs="David"/>
          <w:b/>
          <w:bCs/>
          <w:sz w:val="24"/>
          <w:szCs w:val="24"/>
          <w:rtl/>
        </w:rPr>
        <w:t xml:space="preserve">הצד השני, שלא </w:t>
      </w:r>
      <w:proofErr w:type="spellStart"/>
      <w:r w:rsidRPr="00F91B75">
        <w:rPr>
          <w:rFonts w:ascii="David" w:hAnsi="David" w:cs="David"/>
          <w:b/>
          <w:bCs/>
          <w:sz w:val="24"/>
          <w:szCs w:val="24"/>
          <w:rtl/>
        </w:rPr>
        <w:t>היתה</w:t>
      </w:r>
      <w:proofErr w:type="spellEnd"/>
      <w:r w:rsidRPr="00F91B75">
        <w:rPr>
          <w:rFonts w:ascii="David" w:hAnsi="David" w:cs="David"/>
          <w:b/>
          <w:bCs/>
          <w:sz w:val="24"/>
          <w:szCs w:val="24"/>
          <w:rtl/>
        </w:rPr>
        <w:t xml:space="preserve"> לו גישה למלאכת הניסוח, זכאי ליהנות מאותה חלופה אפשרית,</w:t>
      </w:r>
      <w:r w:rsidRPr="00F91B75">
        <w:rPr>
          <w:rFonts w:ascii="David" w:hAnsi="David" w:cs="David"/>
          <w:sz w:val="24"/>
          <w:szCs w:val="24"/>
          <w:rtl/>
        </w:rPr>
        <w:t xml:space="preserve"> ....., </w:t>
      </w:r>
      <w:r w:rsidRPr="00F91B75">
        <w:rPr>
          <w:rFonts w:ascii="David" w:hAnsi="David" w:cs="David"/>
          <w:b/>
          <w:bCs/>
          <w:sz w:val="24"/>
          <w:szCs w:val="24"/>
          <w:rtl/>
        </w:rPr>
        <w:t>שהיא מבחינתו של הצד השני הנוחה ביותר לו</w:t>
      </w:r>
      <w:r w:rsidRPr="00F91B75">
        <w:rPr>
          <w:rFonts w:ascii="David" w:hAnsi="David" w:cs="David"/>
          <w:b/>
          <w:bCs/>
          <w:sz w:val="24"/>
          <w:szCs w:val="24"/>
        </w:rPr>
        <w:t>.</w:t>
      </w:r>
      <w:r w:rsidRPr="00F91B75">
        <w:rPr>
          <w:rFonts w:ascii="David" w:hAnsi="David" w:cs="David"/>
          <w:b/>
          <w:bCs/>
          <w:sz w:val="24"/>
          <w:szCs w:val="24"/>
          <w:rtl/>
        </w:rPr>
        <w:t xml:space="preserve">   ....</w:t>
      </w:r>
      <w:r w:rsidRPr="00F91B75">
        <w:rPr>
          <w:rFonts w:ascii="David" w:hAnsi="David" w:cs="David"/>
          <w:sz w:val="24"/>
          <w:szCs w:val="24"/>
          <w:rtl/>
        </w:rPr>
        <w:t xml:space="preserve"> </w:t>
      </w:r>
      <w:r w:rsidRPr="00F91B75">
        <w:rPr>
          <w:rFonts w:ascii="David" w:hAnsi="David" w:cs="David"/>
          <w:b/>
          <w:bCs/>
          <w:sz w:val="24"/>
          <w:szCs w:val="24"/>
          <w:rtl/>
        </w:rPr>
        <w:t xml:space="preserve">הכלל מגן על אינטרס ההסתמכות של הצד השני </w:t>
      </w:r>
      <w:r w:rsidRPr="00F91B75">
        <w:rPr>
          <w:rFonts w:ascii="David" w:hAnsi="David" w:cs="David"/>
          <w:sz w:val="24"/>
          <w:szCs w:val="24"/>
          <w:rtl/>
        </w:rPr>
        <w:t xml:space="preserve">.... </w:t>
      </w:r>
      <w:r w:rsidRPr="00F91B75">
        <w:rPr>
          <w:rFonts w:ascii="David" w:hAnsi="David" w:cs="David"/>
          <w:b/>
          <w:bCs/>
          <w:sz w:val="24"/>
          <w:szCs w:val="24"/>
          <w:u w:val="single"/>
          <w:rtl/>
        </w:rPr>
        <w:t>אשר זכאי היה להניח כי ניסוח החוזה יתפרש פירוש סביר אשר עליו סמך</w:t>
      </w:r>
      <w:r w:rsidRPr="00F91B75">
        <w:rPr>
          <w:rFonts w:ascii="David" w:hAnsi="David" w:cs="David"/>
          <w:b/>
          <w:bCs/>
          <w:sz w:val="24"/>
          <w:szCs w:val="24"/>
          <w:u w:val="single"/>
        </w:rPr>
        <w:t>."</w:t>
      </w:r>
    </w:p>
    <w:p w14:paraId="7F53880F" w14:textId="77777777" w:rsidR="007C2428" w:rsidRPr="00C539EE" w:rsidRDefault="007C2428" w:rsidP="00F91B75">
      <w:pPr>
        <w:spacing w:after="0"/>
        <w:ind w:left="935" w:right="426"/>
        <w:jc w:val="both"/>
        <w:rPr>
          <w:rFonts w:cs="David"/>
          <w:sz w:val="24"/>
          <w:szCs w:val="24"/>
          <w:rtl/>
        </w:rPr>
      </w:pPr>
    </w:p>
    <w:p w14:paraId="429799DD" w14:textId="21A763F1" w:rsidR="007C2428" w:rsidRPr="00F91B75" w:rsidRDefault="007C2428" w:rsidP="0053077E">
      <w:pPr>
        <w:pStyle w:val="a3"/>
        <w:spacing w:after="0" w:line="240" w:lineRule="auto"/>
        <w:ind w:left="651" w:right="284"/>
        <w:jc w:val="both"/>
        <w:rPr>
          <w:rFonts w:ascii="David" w:hAnsi="David" w:cs="David"/>
          <w:sz w:val="24"/>
          <w:szCs w:val="24"/>
          <w:rtl/>
        </w:rPr>
      </w:pPr>
      <w:r w:rsidRPr="00F91B75">
        <w:rPr>
          <w:rFonts w:ascii="David" w:hAnsi="David" w:cs="David"/>
          <w:sz w:val="24"/>
          <w:szCs w:val="24"/>
          <w:rtl/>
        </w:rPr>
        <w:t xml:space="preserve">על רקע כל הנ"ל לא מובן </w:t>
      </w:r>
      <w:r w:rsidRPr="00F91B75">
        <w:rPr>
          <w:rFonts w:ascii="David" w:hAnsi="David" w:cs="David"/>
          <w:b/>
          <w:bCs/>
          <w:sz w:val="24"/>
          <w:szCs w:val="24"/>
          <w:rtl/>
        </w:rPr>
        <w:t>איך</w:t>
      </w:r>
      <w:r w:rsidRPr="00F91B75">
        <w:rPr>
          <w:rFonts w:ascii="David" w:hAnsi="David" w:cs="David"/>
          <w:sz w:val="24"/>
          <w:szCs w:val="24"/>
          <w:rtl/>
        </w:rPr>
        <w:t xml:space="preserve"> </w:t>
      </w:r>
      <w:r w:rsidRPr="00F91B75">
        <w:rPr>
          <w:rFonts w:ascii="David" w:hAnsi="David" w:cs="David"/>
          <w:b/>
          <w:bCs/>
          <w:sz w:val="24"/>
          <w:szCs w:val="24"/>
          <w:rtl/>
        </w:rPr>
        <w:t>הלשכה המשפטית(!) בנציבות שרות המדינה נותנת יד לפרשנות שרירותית, מאוחרת, מפלה, הנוגדת את הוראות החוק והפסיקה הגורמת לי עוול משווע</w:t>
      </w:r>
      <w:r w:rsidRPr="00F91B75">
        <w:rPr>
          <w:rFonts w:ascii="David" w:hAnsi="David" w:cs="David"/>
          <w:sz w:val="24"/>
          <w:szCs w:val="24"/>
          <w:rtl/>
        </w:rPr>
        <w:t xml:space="preserve">. </w:t>
      </w:r>
    </w:p>
    <w:p w14:paraId="4CF69B36" w14:textId="07A7032D" w:rsidR="007C2428" w:rsidRDefault="007C2428" w:rsidP="0053077E">
      <w:pPr>
        <w:pStyle w:val="a3"/>
        <w:spacing w:after="0" w:line="276" w:lineRule="auto"/>
        <w:ind w:left="651" w:right="284"/>
        <w:jc w:val="both"/>
        <w:rPr>
          <w:rFonts w:cs="David"/>
          <w:sz w:val="24"/>
          <w:szCs w:val="24"/>
          <w:rtl/>
        </w:rPr>
      </w:pPr>
      <w:r w:rsidRPr="00F91B75">
        <w:rPr>
          <w:rFonts w:ascii="David" w:hAnsi="David" w:cs="David"/>
          <w:sz w:val="24"/>
          <w:szCs w:val="24"/>
          <w:rtl/>
        </w:rPr>
        <w:t xml:space="preserve">לבוא אחרי 26 שנה ולטעון -חד צדדית- ותוך ניצול כוחכם מולי, כאילו זו </w:t>
      </w:r>
      <w:proofErr w:type="spellStart"/>
      <w:r w:rsidRPr="00F91B75">
        <w:rPr>
          <w:rFonts w:ascii="David" w:hAnsi="David" w:cs="David"/>
          <w:sz w:val="24"/>
          <w:szCs w:val="24"/>
          <w:rtl/>
        </w:rPr>
        <w:t>היתה</w:t>
      </w:r>
      <w:proofErr w:type="spellEnd"/>
      <w:r w:rsidRPr="00F91B75">
        <w:rPr>
          <w:rFonts w:ascii="David" w:hAnsi="David" w:cs="David"/>
          <w:sz w:val="24"/>
          <w:szCs w:val="24"/>
          <w:rtl/>
        </w:rPr>
        <w:t xml:space="preserve"> כוונת הצדדים, למרות שהלשון והעובדות המתוארות בסעיף 2 לעיל אינם תומכים ואף נוגדים פרשנות זו, אינה אלא היתממות וחוסר תום לב קיצוני</w:t>
      </w:r>
      <w:r>
        <w:rPr>
          <w:rFonts w:cs="David" w:hint="cs"/>
          <w:sz w:val="24"/>
          <w:szCs w:val="24"/>
          <w:rtl/>
        </w:rPr>
        <w:t>.</w:t>
      </w:r>
      <w:r w:rsidR="008148AC">
        <w:rPr>
          <w:rFonts w:cs="David" w:hint="cs"/>
          <w:sz w:val="24"/>
          <w:szCs w:val="24"/>
          <w:rtl/>
        </w:rPr>
        <w:t>"</w:t>
      </w:r>
    </w:p>
    <w:p w14:paraId="67955077" w14:textId="77777777" w:rsidR="008148AC" w:rsidRDefault="008148AC" w:rsidP="00044AE3">
      <w:pPr>
        <w:pStyle w:val="a3"/>
        <w:spacing w:after="0" w:line="276" w:lineRule="auto"/>
        <w:ind w:left="509" w:right="142"/>
        <w:jc w:val="both"/>
        <w:rPr>
          <w:rFonts w:cs="David"/>
          <w:sz w:val="24"/>
          <w:szCs w:val="24"/>
          <w:rtl/>
        </w:rPr>
      </w:pPr>
    </w:p>
    <w:p w14:paraId="44FC15E2" w14:textId="32043A6D" w:rsidR="008148AC" w:rsidRPr="00D75481" w:rsidRDefault="00D75481" w:rsidP="00D75481">
      <w:pPr>
        <w:spacing w:after="0" w:line="276" w:lineRule="auto"/>
        <w:ind w:right="142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</w:t>
      </w:r>
      <w:r w:rsidR="0053077E" w:rsidRPr="00D75481">
        <w:rPr>
          <w:rFonts w:cs="David" w:hint="cs"/>
          <w:sz w:val="24"/>
          <w:szCs w:val="24"/>
          <w:rtl/>
        </w:rPr>
        <w:t>(עד כאן הציטוט ממכתבי</w:t>
      </w:r>
      <w:r w:rsidRPr="00D75481">
        <w:rPr>
          <w:rFonts w:cs="David" w:hint="cs"/>
          <w:sz w:val="24"/>
          <w:szCs w:val="24"/>
          <w:rtl/>
        </w:rPr>
        <w:t>. לא מיותר לציין שלמרות פני</w:t>
      </w:r>
      <w:r>
        <w:rPr>
          <w:rFonts w:cs="David" w:hint="cs"/>
          <w:sz w:val="24"/>
          <w:szCs w:val="24"/>
          <w:rtl/>
        </w:rPr>
        <w:t>ו</w:t>
      </w:r>
      <w:r w:rsidRPr="00D75481">
        <w:rPr>
          <w:rFonts w:cs="David" w:hint="cs"/>
          <w:sz w:val="24"/>
          <w:szCs w:val="24"/>
          <w:rtl/>
        </w:rPr>
        <w:t>תיי, לא קבלתי כל תגובה למכתבי זה</w:t>
      </w:r>
      <w:r w:rsidR="0053077E" w:rsidRPr="00D75481">
        <w:rPr>
          <w:rFonts w:cs="David" w:hint="cs"/>
          <w:sz w:val="24"/>
          <w:szCs w:val="24"/>
          <w:rtl/>
        </w:rPr>
        <w:t>)</w:t>
      </w:r>
    </w:p>
    <w:p w14:paraId="7C7FE413" w14:textId="77777777" w:rsidR="0053077E" w:rsidRDefault="0053077E" w:rsidP="0053077E">
      <w:pPr>
        <w:pStyle w:val="a3"/>
        <w:spacing w:after="0" w:line="276" w:lineRule="auto"/>
        <w:ind w:left="5408" w:right="142" w:firstLine="352"/>
        <w:jc w:val="both"/>
        <w:rPr>
          <w:rFonts w:cs="David"/>
          <w:sz w:val="24"/>
          <w:szCs w:val="24"/>
          <w:rtl/>
        </w:rPr>
      </w:pPr>
    </w:p>
    <w:p w14:paraId="45286D87" w14:textId="5CD5EA2B" w:rsidR="007D2135" w:rsidRDefault="0053077E" w:rsidP="006402E4">
      <w:pPr>
        <w:pStyle w:val="a3"/>
        <w:spacing w:after="0" w:line="276" w:lineRule="auto"/>
        <w:ind w:left="-58" w:right="142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למיטב הבנתי, די בנקודה כדי לדחות כל פרשנות מאוחרת</w:t>
      </w:r>
      <w:r w:rsidR="006402E4">
        <w:rPr>
          <w:rFonts w:cs="David" w:hint="cs"/>
          <w:sz w:val="24"/>
          <w:szCs w:val="24"/>
          <w:rtl/>
        </w:rPr>
        <w:t xml:space="preserve"> </w:t>
      </w:r>
      <w:r w:rsidR="007D2135">
        <w:rPr>
          <w:rFonts w:cs="David" w:hint="cs"/>
          <w:sz w:val="24"/>
          <w:szCs w:val="24"/>
          <w:rtl/>
        </w:rPr>
        <w:t>הסותרת את ההבנה שלי</w:t>
      </w:r>
      <w:r>
        <w:rPr>
          <w:rFonts w:cs="David" w:hint="cs"/>
          <w:sz w:val="24"/>
          <w:szCs w:val="24"/>
          <w:rtl/>
        </w:rPr>
        <w:t xml:space="preserve"> </w:t>
      </w:r>
      <w:r w:rsidR="007D2135">
        <w:rPr>
          <w:rFonts w:cs="David" w:hint="cs"/>
          <w:sz w:val="24"/>
          <w:szCs w:val="24"/>
          <w:rtl/>
        </w:rPr>
        <w:t>של החוזה, וזאת כמובן מעבר לדברים ששמעתם כבר ממני, לעובדות ולאסמכתאות שהצגתי המדברות בעד עצמן, וההסתמכות שלי, בתום לב, לאורך עשרות שנים, שע"פ החוזה, הפנסיה שלי תהיה כלהלן:</w:t>
      </w:r>
    </w:p>
    <w:p w14:paraId="74BFE423" w14:textId="77777777" w:rsidR="00A54D43" w:rsidRDefault="00A54D43" w:rsidP="006402E4">
      <w:pPr>
        <w:pStyle w:val="a3"/>
        <w:spacing w:after="0" w:line="276" w:lineRule="auto"/>
        <w:ind w:left="-58" w:right="142"/>
        <w:jc w:val="both"/>
        <w:rPr>
          <w:rFonts w:cs="David"/>
          <w:sz w:val="24"/>
          <w:szCs w:val="24"/>
          <w:rtl/>
        </w:rPr>
      </w:pPr>
    </w:p>
    <w:p w14:paraId="5DF9D3AA" w14:textId="77777777" w:rsidR="007D2135" w:rsidRDefault="007D2135" w:rsidP="007D2135">
      <w:pPr>
        <w:pStyle w:val="a3"/>
        <w:spacing w:after="0" w:line="276" w:lineRule="auto"/>
        <w:ind w:left="226" w:right="142" w:firstLine="68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2% ממשכורת החוזה (90% ממשכורת סגן שר), על כל 22.333 שנות </w:t>
      </w:r>
      <w:proofErr w:type="spellStart"/>
      <w:r>
        <w:rPr>
          <w:rFonts w:cs="David" w:hint="cs"/>
          <w:sz w:val="24"/>
          <w:szCs w:val="24"/>
          <w:rtl/>
        </w:rPr>
        <w:t>שנות</w:t>
      </w:r>
      <w:proofErr w:type="spellEnd"/>
      <w:r>
        <w:rPr>
          <w:rFonts w:cs="David" w:hint="cs"/>
          <w:sz w:val="24"/>
          <w:szCs w:val="24"/>
          <w:rtl/>
        </w:rPr>
        <w:t xml:space="preserve"> עבודתי בחוזה,   דהיינו 44.67% ממשכורת החוזה,  </w:t>
      </w:r>
    </w:p>
    <w:p w14:paraId="241225C4" w14:textId="59702114" w:rsidR="007D2135" w:rsidRDefault="007D2135" w:rsidP="007D2135">
      <w:pPr>
        <w:pStyle w:val="a3"/>
        <w:spacing w:after="0" w:line="276" w:lineRule="auto"/>
        <w:ind w:left="226" w:right="142" w:firstLine="68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והיתרה של 25.33% (השלמה ל-70%) תהיה לפי דרגה 46+ (הדרגה הגבוהה ביותר בסולם דרגות </w:t>
      </w:r>
      <w:proofErr w:type="spellStart"/>
      <w:r>
        <w:rPr>
          <w:rFonts w:cs="David" w:hint="cs"/>
          <w:sz w:val="24"/>
          <w:szCs w:val="24"/>
          <w:rtl/>
        </w:rPr>
        <w:t>המח"ר</w:t>
      </w:r>
      <w:proofErr w:type="spellEnd"/>
      <w:r>
        <w:rPr>
          <w:rFonts w:cs="David" w:hint="cs"/>
          <w:sz w:val="24"/>
          <w:szCs w:val="24"/>
          <w:rtl/>
        </w:rPr>
        <w:t>) בשיא הותק.</w:t>
      </w:r>
    </w:p>
    <w:p w14:paraId="5803CF37" w14:textId="77777777" w:rsidR="007D2135" w:rsidRDefault="007D2135" w:rsidP="0053077E">
      <w:pPr>
        <w:pStyle w:val="a3"/>
        <w:spacing w:after="0" w:line="276" w:lineRule="auto"/>
        <w:ind w:left="-58" w:right="142" w:firstLine="352"/>
        <w:jc w:val="both"/>
        <w:rPr>
          <w:rFonts w:cs="David"/>
          <w:sz w:val="24"/>
          <w:szCs w:val="24"/>
          <w:rtl/>
        </w:rPr>
      </w:pPr>
    </w:p>
    <w:p w14:paraId="0DD8F749" w14:textId="77777777" w:rsidR="007D2135" w:rsidRDefault="007D2135" w:rsidP="0053077E">
      <w:pPr>
        <w:pStyle w:val="a3"/>
        <w:spacing w:after="0" w:line="276" w:lineRule="auto"/>
        <w:ind w:left="-58" w:right="142" w:firstLine="352"/>
        <w:jc w:val="both"/>
        <w:rPr>
          <w:rFonts w:cs="David"/>
          <w:sz w:val="24"/>
          <w:szCs w:val="24"/>
          <w:rtl/>
        </w:rPr>
      </w:pPr>
    </w:p>
    <w:p w14:paraId="26706E7A" w14:textId="647BDF3E" w:rsidR="006402E4" w:rsidRDefault="007D2135" w:rsidP="007D2135">
      <w:pPr>
        <w:pStyle w:val="a3"/>
        <w:spacing w:after="0" w:line="276" w:lineRule="auto"/>
        <w:ind w:left="-58" w:right="142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אני מתקשה להאמין שהפרקליטות תסכים ל</w:t>
      </w:r>
      <w:r w:rsidR="00D75481">
        <w:rPr>
          <w:rFonts w:cs="David" w:hint="cs"/>
          <w:sz w:val="24"/>
          <w:szCs w:val="24"/>
          <w:rtl/>
        </w:rPr>
        <w:t xml:space="preserve">המשיך </w:t>
      </w:r>
      <w:proofErr w:type="spellStart"/>
      <w:r w:rsidR="00D75481">
        <w:rPr>
          <w:rFonts w:cs="David" w:hint="cs"/>
          <w:sz w:val="24"/>
          <w:szCs w:val="24"/>
          <w:rtl/>
        </w:rPr>
        <w:t>ול</w:t>
      </w:r>
      <w:r>
        <w:rPr>
          <w:rFonts w:cs="David" w:hint="cs"/>
          <w:sz w:val="24"/>
          <w:szCs w:val="24"/>
          <w:rtl/>
        </w:rPr>
        <w:t>יצג</w:t>
      </w:r>
      <w:proofErr w:type="spellEnd"/>
      <w:r>
        <w:rPr>
          <w:rFonts w:cs="David" w:hint="cs"/>
          <w:sz w:val="24"/>
          <w:szCs w:val="24"/>
          <w:rtl/>
        </w:rPr>
        <w:t xml:space="preserve"> בפני ביה"ד טיעונים שאינם מתחשבים בכל אלה, והדברים אמורים כלפי כל מרכיבי תביעתי</w:t>
      </w:r>
      <w:r w:rsidR="00D75481">
        <w:rPr>
          <w:rFonts w:cs="David" w:hint="cs"/>
          <w:sz w:val="24"/>
          <w:szCs w:val="24"/>
          <w:rtl/>
        </w:rPr>
        <w:t>.</w:t>
      </w:r>
    </w:p>
    <w:p w14:paraId="50B7CA72" w14:textId="77777777" w:rsidR="006402E4" w:rsidRDefault="006402E4" w:rsidP="007D2135">
      <w:pPr>
        <w:pStyle w:val="a3"/>
        <w:spacing w:after="0" w:line="276" w:lineRule="auto"/>
        <w:ind w:left="-58" w:right="142"/>
        <w:jc w:val="both"/>
        <w:rPr>
          <w:rFonts w:cs="David"/>
          <w:sz w:val="24"/>
          <w:szCs w:val="24"/>
          <w:rtl/>
        </w:rPr>
      </w:pPr>
    </w:p>
    <w:p w14:paraId="2B4AAE86" w14:textId="77777777" w:rsidR="006402E4" w:rsidRDefault="006402E4" w:rsidP="007D2135">
      <w:pPr>
        <w:pStyle w:val="a3"/>
        <w:spacing w:after="0" w:line="276" w:lineRule="auto"/>
        <w:ind w:left="-58" w:right="142"/>
        <w:jc w:val="both"/>
        <w:rPr>
          <w:rFonts w:cs="David"/>
          <w:sz w:val="24"/>
          <w:szCs w:val="24"/>
          <w:rtl/>
        </w:rPr>
      </w:pPr>
    </w:p>
    <w:p w14:paraId="5F0538F1" w14:textId="77777777" w:rsidR="006402E4" w:rsidRDefault="006402E4" w:rsidP="007D2135">
      <w:pPr>
        <w:pStyle w:val="a3"/>
        <w:spacing w:after="0" w:line="276" w:lineRule="auto"/>
        <w:ind w:left="-58" w:right="142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   בברכה והערכה רבה</w:t>
      </w:r>
    </w:p>
    <w:p w14:paraId="54BC524C" w14:textId="77777777" w:rsidR="006402E4" w:rsidRDefault="006402E4" w:rsidP="007D2135">
      <w:pPr>
        <w:pStyle w:val="a3"/>
        <w:spacing w:after="0" w:line="276" w:lineRule="auto"/>
        <w:ind w:left="-58" w:right="142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</w:p>
    <w:p w14:paraId="73FD2A78" w14:textId="58FDC1FB" w:rsidR="00044AE3" w:rsidRDefault="006402E4" w:rsidP="006402E4">
      <w:pPr>
        <w:pStyle w:val="a3"/>
        <w:spacing w:after="0" w:line="276" w:lineRule="auto"/>
        <w:ind w:left="-58" w:right="142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         שמעון </w:t>
      </w:r>
      <w:proofErr w:type="spellStart"/>
      <w:r>
        <w:rPr>
          <w:rFonts w:cs="David" w:hint="cs"/>
          <w:sz w:val="24"/>
          <w:szCs w:val="24"/>
          <w:rtl/>
        </w:rPr>
        <w:t>הכסטר</w:t>
      </w:r>
      <w:proofErr w:type="spellEnd"/>
    </w:p>
    <w:p w14:paraId="5BC78BB0" w14:textId="77777777" w:rsidR="00044AE3" w:rsidRDefault="00044AE3" w:rsidP="007C2428">
      <w:pPr>
        <w:pStyle w:val="a3"/>
        <w:spacing w:after="0" w:line="276" w:lineRule="auto"/>
        <w:ind w:left="43"/>
        <w:jc w:val="both"/>
        <w:rPr>
          <w:rFonts w:cs="David"/>
          <w:sz w:val="24"/>
          <w:szCs w:val="24"/>
          <w:rtl/>
        </w:rPr>
      </w:pPr>
    </w:p>
    <w:p w14:paraId="5E5F9410" w14:textId="27C74716" w:rsidR="006402E4" w:rsidRDefault="006402E4" w:rsidP="006402E4">
      <w:pPr>
        <w:pStyle w:val="a3"/>
        <w:spacing w:after="0" w:line="276" w:lineRule="auto"/>
        <w:ind w:left="43"/>
        <w:jc w:val="both"/>
        <w:rPr>
          <w:rFonts w:cs="David"/>
          <w:sz w:val="24"/>
          <w:szCs w:val="24"/>
          <w:rtl/>
        </w:rPr>
      </w:pPr>
      <w:proofErr w:type="spellStart"/>
      <w:r>
        <w:rPr>
          <w:rFonts w:cs="David" w:hint="cs"/>
          <w:sz w:val="24"/>
          <w:szCs w:val="24"/>
          <w:rtl/>
        </w:rPr>
        <w:t>העתקים:עו"ד</w:t>
      </w:r>
      <w:proofErr w:type="spellEnd"/>
      <w:r>
        <w:rPr>
          <w:rFonts w:cs="David" w:hint="cs"/>
          <w:sz w:val="24"/>
          <w:szCs w:val="24"/>
          <w:rtl/>
        </w:rPr>
        <w:t xml:space="preserve"> קרן </w:t>
      </w:r>
      <w:proofErr w:type="spellStart"/>
      <w:r w:rsidR="00D75481">
        <w:rPr>
          <w:rFonts w:cs="David" w:hint="cs"/>
          <w:sz w:val="24"/>
          <w:szCs w:val="24"/>
          <w:rtl/>
        </w:rPr>
        <w:t>פאוסט</w:t>
      </w:r>
      <w:proofErr w:type="spellEnd"/>
      <w:r w:rsidR="00D75481">
        <w:rPr>
          <w:rFonts w:cs="David" w:hint="cs"/>
          <w:sz w:val="24"/>
          <w:szCs w:val="24"/>
          <w:rtl/>
        </w:rPr>
        <w:t xml:space="preserve">, </w:t>
      </w:r>
      <w:proofErr w:type="spellStart"/>
      <w:r w:rsidR="00D75481">
        <w:rPr>
          <w:rFonts w:cs="David" w:hint="cs"/>
          <w:sz w:val="24"/>
          <w:szCs w:val="24"/>
          <w:rtl/>
        </w:rPr>
        <w:t>פמ"ח</w:t>
      </w:r>
      <w:proofErr w:type="spellEnd"/>
      <w:r w:rsidR="00D75481">
        <w:rPr>
          <w:rFonts w:cs="David" w:hint="cs"/>
          <w:sz w:val="24"/>
          <w:szCs w:val="24"/>
          <w:rtl/>
        </w:rPr>
        <w:t xml:space="preserve"> (אזרחי) ירושלים</w:t>
      </w:r>
    </w:p>
    <w:p w14:paraId="302FBE72" w14:textId="4E295F01" w:rsidR="007C2428" w:rsidRPr="00BF3D39" w:rsidRDefault="006402E4" w:rsidP="005D6808">
      <w:pPr>
        <w:pStyle w:val="a3"/>
        <w:spacing w:after="0" w:line="276" w:lineRule="auto"/>
        <w:ind w:left="43"/>
        <w:jc w:val="both"/>
        <w:rPr>
          <w:rtl/>
        </w:rPr>
      </w:pPr>
      <w:r>
        <w:rPr>
          <w:rFonts w:cs="David" w:hint="cs"/>
          <w:sz w:val="24"/>
          <w:szCs w:val="24"/>
          <w:rtl/>
        </w:rPr>
        <w:t xml:space="preserve">                עו"ד מינו</w:t>
      </w:r>
      <w:r w:rsidR="00D75481">
        <w:rPr>
          <w:rFonts w:cs="David" w:hint="cs"/>
          <w:sz w:val="24"/>
          <w:szCs w:val="24"/>
          <w:rtl/>
        </w:rPr>
        <w:t xml:space="preserve"> </w:t>
      </w:r>
      <w:proofErr w:type="spellStart"/>
      <w:r w:rsidR="00D75481">
        <w:rPr>
          <w:rFonts w:cs="David" w:hint="cs"/>
          <w:sz w:val="24"/>
          <w:szCs w:val="24"/>
          <w:rtl/>
        </w:rPr>
        <w:t>אליאסיאן</w:t>
      </w:r>
      <w:proofErr w:type="spellEnd"/>
      <w:r w:rsidR="00D75481">
        <w:rPr>
          <w:rFonts w:cs="David" w:hint="cs"/>
          <w:sz w:val="24"/>
          <w:szCs w:val="24"/>
          <w:rtl/>
        </w:rPr>
        <w:t>-פלא</w:t>
      </w:r>
    </w:p>
    <w:sectPr w:rsidR="007C2428" w:rsidRPr="00BF3D39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B3F43"/>
    <w:multiLevelType w:val="multilevel"/>
    <w:tmpl w:val="811C9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4694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28"/>
    <w:rsid w:val="00012116"/>
    <w:rsid w:val="00044AE3"/>
    <w:rsid w:val="000D14C7"/>
    <w:rsid w:val="001320E7"/>
    <w:rsid w:val="0024629C"/>
    <w:rsid w:val="002844EF"/>
    <w:rsid w:val="004B29D7"/>
    <w:rsid w:val="005152A5"/>
    <w:rsid w:val="0053077E"/>
    <w:rsid w:val="005D6808"/>
    <w:rsid w:val="006402E4"/>
    <w:rsid w:val="007326F9"/>
    <w:rsid w:val="007C2428"/>
    <w:rsid w:val="007D2135"/>
    <w:rsid w:val="008148AC"/>
    <w:rsid w:val="00851045"/>
    <w:rsid w:val="008B4857"/>
    <w:rsid w:val="00903709"/>
    <w:rsid w:val="00A54D43"/>
    <w:rsid w:val="00AC69C9"/>
    <w:rsid w:val="00C740DC"/>
    <w:rsid w:val="00C97E0B"/>
    <w:rsid w:val="00CA4114"/>
    <w:rsid w:val="00D51574"/>
    <w:rsid w:val="00D75481"/>
    <w:rsid w:val="00DC67C6"/>
    <w:rsid w:val="00E2435E"/>
    <w:rsid w:val="00F9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D146"/>
  <w15:chartTrackingRefBased/>
  <w15:docId w15:val="{4E621901-CA1F-4A6F-B7E4-5A3C607D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2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F8789-A6C6-4626-B0F8-0CA00F7E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4623</TotalTime>
  <Pages>2</Pages>
  <Words>982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4</cp:revision>
  <cp:lastPrinted>2024-05-23T11:11:00Z</cp:lastPrinted>
  <dcterms:created xsi:type="dcterms:W3CDTF">2024-05-16T09:21:00Z</dcterms:created>
  <dcterms:modified xsi:type="dcterms:W3CDTF">2024-05-23T11:13:00Z</dcterms:modified>
</cp:coreProperties>
</file>