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8ADD0" w14:textId="39F21430" w:rsidR="0016336B" w:rsidRDefault="0016336B" w:rsidP="0016336B">
      <w:pPr>
        <w:tabs>
          <w:tab w:val="left" w:pos="651"/>
        </w:tabs>
        <w:spacing w:after="0"/>
        <w:ind w:left="84"/>
        <w:rPr>
          <w:rFonts w:ascii="David" w:hAnsi="David" w:cs="David"/>
          <w:b/>
          <w:bCs/>
          <w:sz w:val="24"/>
          <w:szCs w:val="24"/>
          <w:rtl/>
        </w:rPr>
      </w:pPr>
      <w:r w:rsidRPr="00B21BED">
        <w:rPr>
          <w:rFonts w:ascii="David" w:hAnsi="David" w:cs="David"/>
          <w:b/>
          <w:bCs/>
          <w:sz w:val="24"/>
          <w:szCs w:val="24"/>
          <w:rtl/>
        </w:rPr>
        <w:t>בבית הדין האזורי לעבודה בירושלים</w:t>
      </w:r>
      <w:r w:rsidRPr="00B21BED">
        <w:rPr>
          <w:rFonts w:ascii="David" w:hAnsi="David" w:cs="David"/>
          <w:b/>
          <w:bCs/>
          <w:sz w:val="24"/>
          <w:szCs w:val="24"/>
          <w:rtl/>
        </w:rPr>
        <w:tab/>
        <w:t xml:space="preserve">                                </w:t>
      </w:r>
      <w:r w:rsidRPr="00B21BED">
        <w:rPr>
          <w:rFonts w:ascii="David" w:hAnsi="David" w:cs="David"/>
          <w:b/>
          <w:bCs/>
          <w:sz w:val="24"/>
          <w:szCs w:val="24"/>
          <w:rtl/>
        </w:rPr>
        <w:tab/>
        <w:t xml:space="preserve">            </w:t>
      </w:r>
      <w:r w:rsidRPr="00B21BED">
        <w:rPr>
          <w:rFonts w:ascii="David" w:hAnsi="David" w:cs="David"/>
          <w:b/>
          <w:bCs/>
          <w:sz w:val="24"/>
          <w:szCs w:val="24"/>
          <w:rtl/>
        </w:rPr>
        <w:tab/>
      </w:r>
      <w:proofErr w:type="spellStart"/>
      <w:r w:rsidRPr="00B21BED">
        <w:rPr>
          <w:rFonts w:ascii="David" w:hAnsi="David" w:cs="David"/>
          <w:b/>
          <w:bCs/>
          <w:sz w:val="24"/>
          <w:szCs w:val="24"/>
          <w:rtl/>
        </w:rPr>
        <w:t>סע</w:t>
      </w:r>
      <w:r w:rsidRPr="00B21BED">
        <w:rPr>
          <w:rFonts w:ascii="David" w:hAnsi="David" w:cs="David" w:hint="cs"/>
          <w:b/>
          <w:bCs/>
          <w:sz w:val="24"/>
          <w:szCs w:val="24"/>
          <w:rtl/>
        </w:rPr>
        <w:t>"ש</w:t>
      </w:r>
      <w:proofErr w:type="spellEnd"/>
      <w:r w:rsidRPr="00B21BED">
        <w:rPr>
          <w:rFonts w:ascii="David" w:hAnsi="David" w:cs="David"/>
          <w:b/>
          <w:bCs/>
          <w:sz w:val="24"/>
          <w:szCs w:val="24"/>
          <w:rtl/>
        </w:rPr>
        <w:t xml:space="preserve"> </w:t>
      </w:r>
      <w:r w:rsidRPr="00B21BED">
        <w:rPr>
          <w:rFonts w:ascii="David" w:hAnsi="David" w:cs="David" w:hint="cs"/>
          <w:b/>
          <w:bCs/>
          <w:sz w:val="24"/>
          <w:szCs w:val="24"/>
          <w:rtl/>
        </w:rPr>
        <w:t>6928-10-1</w:t>
      </w:r>
      <w:r w:rsidR="00DE2DB0">
        <w:rPr>
          <w:rFonts w:ascii="David" w:hAnsi="David" w:cs="David" w:hint="cs"/>
          <w:b/>
          <w:bCs/>
          <w:sz w:val="24"/>
          <w:szCs w:val="24"/>
          <w:rtl/>
        </w:rPr>
        <w:t>9</w:t>
      </w:r>
    </w:p>
    <w:p w14:paraId="5EC5DE25" w14:textId="0D4D8949" w:rsidR="00634334" w:rsidRPr="00B21BED" w:rsidRDefault="00634334" w:rsidP="0016336B">
      <w:pPr>
        <w:tabs>
          <w:tab w:val="left" w:pos="651"/>
        </w:tabs>
        <w:spacing w:after="0"/>
        <w:ind w:left="84"/>
        <w:rPr>
          <w:rFonts w:ascii="David" w:hAnsi="David" w:cs="David"/>
          <w:b/>
          <w:bCs/>
          <w:sz w:val="24"/>
          <w:szCs w:val="24"/>
          <w:rtl/>
        </w:rPr>
      </w:pPr>
      <w:r>
        <w:rPr>
          <w:rFonts w:ascii="David" w:hAnsi="David" w:cs="David" w:hint="cs"/>
          <w:b/>
          <w:bCs/>
          <w:sz w:val="24"/>
          <w:szCs w:val="24"/>
          <w:rtl/>
        </w:rPr>
        <w:t xml:space="preserve">בפני כב' השופט עמי </w:t>
      </w:r>
      <w:proofErr w:type="spellStart"/>
      <w:r>
        <w:rPr>
          <w:rFonts w:ascii="David" w:hAnsi="David" w:cs="David" w:hint="cs"/>
          <w:b/>
          <w:bCs/>
          <w:sz w:val="24"/>
          <w:szCs w:val="24"/>
          <w:rtl/>
        </w:rPr>
        <w:t>רוטמן</w:t>
      </w:r>
      <w:proofErr w:type="spellEnd"/>
    </w:p>
    <w:p w14:paraId="0E367CBD" w14:textId="77777777" w:rsidR="004924C6" w:rsidRPr="00214728" w:rsidRDefault="004924C6" w:rsidP="0016336B">
      <w:pPr>
        <w:spacing w:after="0"/>
        <w:ind w:firstLine="360"/>
        <w:rPr>
          <w:rFonts w:ascii="David" w:hAnsi="David" w:cs="David"/>
          <w:b/>
          <w:bCs/>
          <w:sz w:val="24"/>
          <w:szCs w:val="24"/>
          <w:rtl/>
        </w:rPr>
      </w:pPr>
    </w:p>
    <w:p w14:paraId="2AE5AE83" w14:textId="00350CBE" w:rsidR="00D72ED9" w:rsidRPr="00214728" w:rsidRDefault="00D72ED9" w:rsidP="0016336B">
      <w:pPr>
        <w:spacing w:after="0"/>
        <w:ind w:firstLine="360"/>
        <w:rPr>
          <w:rFonts w:ascii="David" w:hAnsi="David" w:cs="David"/>
          <w:b/>
          <w:bCs/>
          <w:sz w:val="24"/>
          <w:szCs w:val="24"/>
          <w:rtl/>
        </w:rPr>
      </w:pPr>
      <w:r w:rsidRPr="00214728">
        <w:rPr>
          <w:rFonts w:ascii="David" w:hAnsi="David" w:cs="David"/>
          <w:b/>
          <w:bCs/>
          <w:sz w:val="24"/>
          <w:szCs w:val="24"/>
          <w:rtl/>
        </w:rPr>
        <w:t xml:space="preserve">שמעון </w:t>
      </w:r>
      <w:proofErr w:type="spellStart"/>
      <w:r w:rsidRPr="00214728">
        <w:rPr>
          <w:rFonts w:ascii="David" w:hAnsi="David" w:cs="David"/>
          <w:b/>
          <w:bCs/>
          <w:sz w:val="24"/>
          <w:szCs w:val="24"/>
          <w:rtl/>
        </w:rPr>
        <w:t>הכסטר</w:t>
      </w:r>
      <w:proofErr w:type="spellEnd"/>
      <w:r w:rsidRPr="00214728">
        <w:rPr>
          <w:rFonts w:ascii="David" w:hAnsi="David" w:cs="David"/>
          <w:b/>
          <w:bCs/>
          <w:sz w:val="24"/>
          <w:szCs w:val="24"/>
          <w:rtl/>
        </w:rPr>
        <w:t xml:space="preserve">, ת.ז. </w:t>
      </w:r>
      <w:bookmarkStart w:id="0" w:name="_Hlk104462587"/>
      <w:r w:rsidR="00C43F8F" w:rsidRPr="00214728">
        <w:rPr>
          <w:rFonts w:ascii="David" w:hAnsi="David" w:cs="David"/>
          <w:b/>
          <w:bCs/>
          <w:sz w:val="24"/>
          <w:szCs w:val="24"/>
          <w:rtl/>
        </w:rPr>
        <w:t xml:space="preserve">000388587 </w:t>
      </w:r>
      <w:bookmarkEnd w:id="0"/>
    </w:p>
    <w:p w14:paraId="4864A85D" w14:textId="77777777" w:rsidR="00D72ED9" w:rsidRPr="00214728" w:rsidRDefault="00D72ED9" w:rsidP="00D641D5">
      <w:pPr>
        <w:spacing w:after="0"/>
        <w:ind w:firstLine="360"/>
        <w:rPr>
          <w:rFonts w:ascii="David" w:hAnsi="David" w:cs="David"/>
          <w:sz w:val="24"/>
          <w:szCs w:val="24"/>
          <w:rtl/>
        </w:rPr>
      </w:pPr>
      <w:r w:rsidRPr="00214728">
        <w:rPr>
          <w:rFonts w:ascii="David" w:hAnsi="David" w:cs="David"/>
          <w:sz w:val="24"/>
          <w:szCs w:val="24"/>
          <w:rtl/>
        </w:rPr>
        <w:t xml:space="preserve">ע"י ב"כ עו"ד יעקב </w:t>
      </w:r>
      <w:proofErr w:type="spellStart"/>
      <w:r w:rsidRPr="00214728">
        <w:rPr>
          <w:rFonts w:ascii="David" w:hAnsi="David" w:cs="David"/>
          <w:sz w:val="24"/>
          <w:szCs w:val="24"/>
          <w:rtl/>
        </w:rPr>
        <w:t>חסדאי</w:t>
      </w:r>
      <w:proofErr w:type="spellEnd"/>
    </w:p>
    <w:p w14:paraId="589BCA48" w14:textId="77777777" w:rsidR="00D72ED9" w:rsidRPr="00214728" w:rsidRDefault="00D72ED9" w:rsidP="00D641D5">
      <w:pPr>
        <w:spacing w:after="0"/>
        <w:ind w:firstLine="360"/>
        <w:rPr>
          <w:rFonts w:ascii="David" w:hAnsi="David" w:cs="David"/>
          <w:sz w:val="24"/>
          <w:szCs w:val="24"/>
          <w:rtl/>
        </w:rPr>
      </w:pPr>
      <w:r w:rsidRPr="00214728">
        <w:rPr>
          <w:rFonts w:ascii="David" w:hAnsi="David" w:cs="David"/>
          <w:sz w:val="24"/>
          <w:szCs w:val="24"/>
          <w:rtl/>
        </w:rPr>
        <w:t>מרח' המלך ג'ורג' 41,</w:t>
      </w:r>
    </w:p>
    <w:p w14:paraId="6BAC0578" w14:textId="77777777" w:rsidR="00D72ED9" w:rsidRPr="00214728" w:rsidRDefault="00D72ED9" w:rsidP="00D641D5">
      <w:pPr>
        <w:spacing w:after="0"/>
        <w:ind w:firstLine="360"/>
        <w:rPr>
          <w:rFonts w:ascii="David" w:hAnsi="David" w:cs="David"/>
          <w:sz w:val="24"/>
          <w:szCs w:val="24"/>
          <w:rtl/>
        </w:rPr>
      </w:pPr>
      <w:r w:rsidRPr="00214728">
        <w:rPr>
          <w:rFonts w:ascii="David" w:hAnsi="David" w:cs="David"/>
          <w:sz w:val="24"/>
          <w:szCs w:val="24"/>
          <w:rtl/>
        </w:rPr>
        <w:t>ת.ד. 7655 ירושלים 9107601</w:t>
      </w:r>
    </w:p>
    <w:p w14:paraId="415ABA37" w14:textId="77777777" w:rsidR="00D72ED9" w:rsidRPr="00214728" w:rsidRDefault="00D72ED9" w:rsidP="00D641D5">
      <w:pPr>
        <w:spacing w:after="0"/>
        <w:ind w:firstLine="360"/>
        <w:rPr>
          <w:rFonts w:ascii="David" w:hAnsi="David" w:cs="David"/>
          <w:sz w:val="24"/>
          <w:szCs w:val="24"/>
          <w:rtl/>
        </w:rPr>
      </w:pPr>
      <w:r w:rsidRPr="00214728">
        <w:rPr>
          <w:rFonts w:ascii="David" w:hAnsi="David" w:cs="David"/>
          <w:sz w:val="24"/>
          <w:szCs w:val="24"/>
          <w:rtl/>
        </w:rPr>
        <w:t>טל': 02-6233153  פקס: 02-6244924</w:t>
      </w:r>
    </w:p>
    <w:p w14:paraId="50A69FEE" w14:textId="0DE71C4C" w:rsidR="00D72ED9" w:rsidRPr="00214728" w:rsidRDefault="00D72ED9" w:rsidP="00D641D5">
      <w:pPr>
        <w:spacing w:after="0"/>
        <w:ind w:firstLine="360"/>
        <w:rPr>
          <w:rFonts w:ascii="David" w:hAnsi="David" w:cs="David"/>
          <w:sz w:val="24"/>
          <w:szCs w:val="24"/>
          <w:rtl/>
        </w:rPr>
      </w:pPr>
      <w:r w:rsidRPr="00214728">
        <w:rPr>
          <w:rFonts w:ascii="David" w:hAnsi="David" w:cs="David"/>
          <w:sz w:val="24"/>
          <w:szCs w:val="24"/>
          <w:rtl/>
        </w:rPr>
        <w:t xml:space="preserve">דוא"ל: </w:t>
      </w:r>
      <w:hyperlink r:id="rId8" w:history="1">
        <w:r w:rsidRPr="00214728">
          <w:rPr>
            <w:rStyle w:val="Hyperlink"/>
            <w:rFonts w:ascii="David" w:hAnsi="David" w:cs="David"/>
            <w:sz w:val="24"/>
            <w:szCs w:val="24"/>
          </w:rPr>
          <w:t>chisdai@gmail.com</w:t>
        </w:r>
      </w:hyperlink>
      <w:r w:rsidRPr="00214728">
        <w:rPr>
          <w:rFonts w:ascii="David" w:hAnsi="David" w:cs="David"/>
          <w:sz w:val="24"/>
          <w:szCs w:val="24"/>
          <w:rtl/>
        </w:rPr>
        <w:tab/>
      </w:r>
      <w:r w:rsidRPr="00214728">
        <w:rPr>
          <w:rFonts w:ascii="David" w:hAnsi="David" w:cs="David"/>
          <w:sz w:val="24"/>
          <w:szCs w:val="24"/>
          <w:rtl/>
        </w:rPr>
        <w:tab/>
      </w:r>
      <w:r w:rsidRPr="00214728">
        <w:rPr>
          <w:rFonts w:ascii="David" w:hAnsi="David" w:cs="David"/>
          <w:sz w:val="24"/>
          <w:szCs w:val="24"/>
          <w:rtl/>
        </w:rPr>
        <w:tab/>
      </w:r>
      <w:r w:rsidRPr="00214728">
        <w:rPr>
          <w:rFonts w:ascii="David" w:hAnsi="David" w:cs="David"/>
          <w:sz w:val="24"/>
          <w:szCs w:val="24"/>
          <w:rtl/>
        </w:rPr>
        <w:tab/>
      </w:r>
      <w:r w:rsidRPr="00214728">
        <w:rPr>
          <w:rFonts w:ascii="David" w:hAnsi="David" w:cs="David"/>
          <w:b/>
          <w:bCs/>
          <w:sz w:val="24"/>
          <w:szCs w:val="24"/>
          <w:u w:val="single"/>
          <w:rtl/>
        </w:rPr>
        <w:t>התובע</w:t>
      </w:r>
    </w:p>
    <w:p w14:paraId="23524009" w14:textId="77777777" w:rsidR="00D72ED9" w:rsidRPr="00214728" w:rsidRDefault="00D72ED9" w:rsidP="00D641D5">
      <w:pPr>
        <w:spacing w:after="0"/>
        <w:ind w:firstLine="360"/>
        <w:rPr>
          <w:rFonts w:ascii="David" w:hAnsi="David" w:cs="David"/>
          <w:sz w:val="24"/>
          <w:szCs w:val="24"/>
          <w:rtl/>
        </w:rPr>
      </w:pPr>
    </w:p>
    <w:p w14:paraId="256F5331" w14:textId="77777777" w:rsidR="00D72ED9" w:rsidRPr="00214728" w:rsidRDefault="00D72ED9" w:rsidP="00D641D5">
      <w:pPr>
        <w:spacing w:after="0"/>
        <w:ind w:firstLine="360"/>
        <w:rPr>
          <w:rFonts w:ascii="David" w:hAnsi="David" w:cs="David"/>
          <w:b/>
          <w:bCs/>
          <w:sz w:val="24"/>
          <w:szCs w:val="24"/>
          <w:rtl/>
        </w:rPr>
      </w:pPr>
      <w:r w:rsidRPr="00214728">
        <w:rPr>
          <w:rFonts w:ascii="David" w:hAnsi="David" w:cs="David"/>
          <w:b/>
          <w:bCs/>
          <w:sz w:val="24"/>
          <w:szCs w:val="24"/>
          <w:rtl/>
        </w:rPr>
        <w:t>- נ ג ד -</w:t>
      </w:r>
    </w:p>
    <w:p w14:paraId="3AD741F0" w14:textId="64B9A824" w:rsidR="00D72ED9" w:rsidRPr="00214728" w:rsidRDefault="00D72ED9" w:rsidP="00D641D5">
      <w:pPr>
        <w:spacing w:after="0"/>
        <w:ind w:firstLine="360"/>
        <w:rPr>
          <w:rFonts w:ascii="David" w:hAnsi="David" w:cs="David"/>
          <w:b/>
          <w:bCs/>
          <w:sz w:val="24"/>
          <w:szCs w:val="24"/>
          <w:rtl/>
        </w:rPr>
      </w:pPr>
    </w:p>
    <w:p w14:paraId="417451B5" w14:textId="7F6DEB5E" w:rsidR="00794F5D" w:rsidRPr="00214728" w:rsidRDefault="00794F5D" w:rsidP="00794F5D">
      <w:pPr>
        <w:pStyle w:val="a3"/>
        <w:numPr>
          <w:ilvl w:val="0"/>
          <w:numId w:val="13"/>
        </w:numPr>
        <w:spacing w:after="0"/>
        <w:rPr>
          <w:rFonts w:ascii="David" w:hAnsi="David" w:cs="David"/>
          <w:b/>
          <w:bCs/>
          <w:sz w:val="24"/>
          <w:szCs w:val="24"/>
        </w:rPr>
      </w:pPr>
      <w:r w:rsidRPr="00214728">
        <w:rPr>
          <w:rFonts w:ascii="David" w:hAnsi="David" w:cs="David"/>
          <w:b/>
          <w:bCs/>
          <w:sz w:val="24"/>
          <w:szCs w:val="24"/>
          <w:rtl/>
        </w:rPr>
        <w:t>נציבות שירות המדינה</w:t>
      </w:r>
    </w:p>
    <w:p w14:paraId="36EB6684" w14:textId="1C1346EE" w:rsidR="00794F5D" w:rsidRPr="00214728" w:rsidRDefault="00794F5D" w:rsidP="00794F5D">
      <w:pPr>
        <w:pStyle w:val="a3"/>
        <w:numPr>
          <w:ilvl w:val="0"/>
          <w:numId w:val="13"/>
        </w:numPr>
        <w:spacing w:after="0"/>
        <w:rPr>
          <w:rFonts w:ascii="David" w:hAnsi="David" w:cs="David"/>
          <w:b/>
          <w:bCs/>
          <w:sz w:val="24"/>
          <w:szCs w:val="24"/>
        </w:rPr>
      </w:pPr>
      <w:r w:rsidRPr="00214728">
        <w:rPr>
          <w:rFonts w:ascii="David" w:hAnsi="David" w:cs="David"/>
          <w:b/>
          <w:bCs/>
          <w:sz w:val="24"/>
          <w:szCs w:val="24"/>
          <w:rtl/>
        </w:rPr>
        <w:t>מדינת ישראל – משרד האוצר</w:t>
      </w:r>
    </w:p>
    <w:p w14:paraId="2A94D168" w14:textId="20220764" w:rsidR="00794F5D" w:rsidRPr="00214728" w:rsidRDefault="00794F5D" w:rsidP="00794F5D">
      <w:pPr>
        <w:pStyle w:val="a3"/>
        <w:numPr>
          <w:ilvl w:val="0"/>
          <w:numId w:val="13"/>
        </w:numPr>
        <w:spacing w:after="0"/>
        <w:rPr>
          <w:rFonts w:ascii="David" w:hAnsi="David" w:cs="David"/>
          <w:b/>
          <w:bCs/>
          <w:sz w:val="24"/>
          <w:szCs w:val="24"/>
          <w:rtl/>
        </w:rPr>
      </w:pPr>
      <w:r w:rsidRPr="00214728">
        <w:rPr>
          <w:rFonts w:ascii="David" w:hAnsi="David" w:cs="David"/>
          <w:b/>
          <w:bCs/>
          <w:sz w:val="24"/>
          <w:szCs w:val="24"/>
          <w:rtl/>
        </w:rPr>
        <w:t xml:space="preserve">הממונה על </w:t>
      </w:r>
      <w:proofErr w:type="spellStart"/>
      <w:r w:rsidRPr="00214728">
        <w:rPr>
          <w:rFonts w:ascii="David" w:hAnsi="David" w:cs="David"/>
          <w:b/>
          <w:bCs/>
          <w:sz w:val="24"/>
          <w:szCs w:val="24"/>
          <w:rtl/>
        </w:rPr>
        <w:t>הגימלאות</w:t>
      </w:r>
      <w:proofErr w:type="spellEnd"/>
    </w:p>
    <w:p w14:paraId="4B117463" w14:textId="77777777" w:rsidR="00FE3F74" w:rsidRPr="00214728" w:rsidRDefault="00D72ED9" w:rsidP="00794F5D">
      <w:pPr>
        <w:spacing w:after="0"/>
        <w:ind w:firstLine="360"/>
        <w:rPr>
          <w:rFonts w:ascii="David" w:hAnsi="David" w:cs="David"/>
          <w:sz w:val="24"/>
          <w:szCs w:val="24"/>
          <w:rtl/>
        </w:rPr>
      </w:pPr>
      <w:r w:rsidRPr="00214728">
        <w:rPr>
          <w:rFonts w:ascii="David" w:hAnsi="David" w:cs="David"/>
          <w:sz w:val="24"/>
          <w:szCs w:val="24"/>
          <w:rtl/>
        </w:rPr>
        <w:t xml:space="preserve">ע"י </w:t>
      </w:r>
      <w:r w:rsidR="00794F5D" w:rsidRPr="00214728">
        <w:rPr>
          <w:rFonts w:ascii="David" w:hAnsi="David" w:cs="David"/>
          <w:sz w:val="24"/>
          <w:szCs w:val="24"/>
          <w:rtl/>
        </w:rPr>
        <w:t xml:space="preserve">ב"כ </w:t>
      </w:r>
      <w:r w:rsidRPr="00214728">
        <w:rPr>
          <w:rFonts w:ascii="David" w:hAnsi="David" w:cs="David"/>
          <w:sz w:val="24"/>
          <w:szCs w:val="24"/>
          <w:rtl/>
        </w:rPr>
        <w:t xml:space="preserve">פרקליטות </w:t>
      </w:r>
      <w:r w:rsidR="00D849F8" w:rsidRPr="00214728">
        <w:rPr>
          <w:rFonts w:ascii="David" w:hAnsi="David" w:cs="David"/>
          <w:sz w:val="24"/>
          <w:szCs w:val="24"/>
          <w:rtl/>
        </w:rPr>
        <w:t>מחוז ירושלים</w:t>
      </w:r>
      <w:r w:rsidR="00794F5D" w:rsidRPr="00214728">
        <w:rPr>
          <w:rFonts w:ascii="David" w:hAnsi="David" w:cs="David"/>
          <w:sz w:val="24"/>
          <w:szCs w:val="24"/>
          <w:rtl/>
        </w:rPr>
        <w:t xml:space="preserve"> (אזרחי)</w:t>
      </w:r>
      <w:r w:rsidR="00794F5D" w:rsidRPr="00214728">
        <w:rPr>
          <w:rFonts w:ascii="David" w:hAnsi="David" w:cs="David"/>
          <w:sz w:val="24"/>
          <w:szCs w:val="24"/>
          <w:rtl/>
        </w:rPr>
        <w:tab/>
      </w:r>
    </w:p>
    <w:p w14:paraId="6DA911E5" w14:textId="66C8BAAB" w:rsidR="00D72ED9" w:rsidRPr="00214728" w:rsidRDefault="00FE3F74" w:rsidP="00794F5D">
      <w:pPr>
        <w:spacing w:after="0"/>
        <w:ind w:firstLine="360"/>
        <w:rPr>
          <w:rFonts w:ascii="David" w:hAnsi="David" w:cs="David"/>
          <w:sz w:val="24"/>
          <w:szCs w:val="24"/>
          <w:rtl/>
        </w:rPr>
      </w:pPr>
      <w:r w:rsidRPr="00214728">
        <w:rPr>
          <w:rFonts w:ascii="David" w:hAnsi="David" w:cs="David"/>
          <w:sz w:val="24"/>
          <w:szCs w:val="24"/>
          <w:rtl/>
        </w:rPr>
        <w:t>מח"ל 7, מעלות דפנה, ירושלים</w:t>
      </w:r>
      <w:r w:rsidRPr="00214728">
        <w:rPr>
          <w:rFonts w:ascii="David" w:hAnsi="David" w:cs="David"/>
          <w:sz w:val="24"/>
          <w:szCs w:val="24"/>
          <w:rtl/>
        </w:rPr>
        <w:tab/>
      </w:r>
      <w:r w:rsidRPr="00214728">
        <w:rPr>
          <w:rFonts w:ascii="David" w:hAnsi="David" w:cs="David"/>
          <w:sz w:val="24"/>
          <w:szCs w:val="24"/>
          <w:rtl/>
        </w:rPr>
        <w:tab/>
      </w:r>
      <w:r w:rsidR="00D72ED9" w:rsidRPr="00214728">
        <w:rPr>
          <w:rFonts w:ascii="David" w:hAnsi="David" w:cs="David"/>
          <w:sz w:val="24"/>
          <w:szCs w:val="24"/>
          <w:rtl/>
        </w:rPr>
        <w:tab/>
      </w:r>
      <w:r w:rsidR="00D72ED9" w:rsidRPr="00214728">
        <w:rPr>
          <w:rFonts w:ascii="David" w:hAnsi="David" w:cs="David"/>
          <w:sz w:val="24"/>
          <w:szCs w:val="24"/>
          <w:rtl/>
        </w:rPr>
        <w:tab/>
      </w:r>
      <w:r w:rsidR="007074DC" w:rsidRPr="00214728">
        <w:rPr>
          <w:rFonts w:ascii="David" w:hAnsi="David" w:cs="David"/>
          <w:b/>
          <w:bCs/>
          <w:sz w:val="24"/>
          <w:szCs w:val="24"/>
          <w:u w:val="single"/>
          <w:rtl/>
        </w:rPr>
        <w:t>הנתבעת</w:t>
      </w:r>
    </w:p>
    <w:p w14:paraId="24CD2070" w14:textId="77777777" w:rsidR="00214728" w:rsidRDefault="00214728" w:rsidP="004924C6">
      <w:pPr>
        <w:spacing w:after="0"/>
        <w:ind w:firstLine="360"/>
        <w:jc w:val="center"/>
        <w:rPr>
          <w:rFonts w:ascii="David" w:hAnsi="David" w:cs="David"/>
          <w:b/>
          <w:bCs/>
          <w:sz w:val="28"/>
          <w:szCs w:val="28"/>
          <w:u w:val="single"/>
          <w:rtl/>
        </w:rPr>
      </w:pPr>
    </w:p>
    <w:p w14:paraId="5B5C1C7A" w14:textId="64762DEF" w:rsidR="004924C6" w:rsidRDefault="00DE2DB0" w:rsidP="004924C6">
      <w:pPr>
        <w:spacing w:after="0"/>
        <w:ind w:firstLine="360"/>
        <w:jc w:val="center"/>
        <w:rPr>
          <w:rFonts w:ascii="David" w:hAnsi="David" w:cs="David"/>
          <w:b/>
          <w:bCs/>
          <w:sz w:val="28"/>
          <w:szCs w:val="28"/>
          <w:u w:val="single"/>
          <w:rtl/>
        </w:rPr>
      </w:pPr>
      <w:r>
        <w:rPr>
          <w:rFonts w:ascii="David" w:hAnsi="David" w:cs="David" w:hint="cs"/>
          <w:b/>
          <w:bCs/>
          <w:sz w:val="28"/>
          <w:szCs w:val="28"/>
          <w:u w:val="single"/>
          <w:rtl/>
        </w:rPr>
        <w:t>הודעה מטעם התובע</w:t>
      </w:r>
    </w:p>
    <w:p w14:paraId="39DEB9CA" w14:textId="308A4AC8" w:rsidR="004924C6" w:rsidRDefault="004924C6" w:rsidP="004924C6">
      <w:pPr>
        <w:spacing w:after="0"/>
        <w:ind w:firstLine="360"/>
        <w:jc w:val="center"/>
        <w:rPr>
          <w:rFonts w:ascii="David" w:hAnsi="David" w:cs="David"/>
          <w:b/>
          <w:bCs/>
          <w:sz w:val="28"/>
          <w:szCs w:val="28"/>
          <w:u w:val="single"/>
          <w:rtl/>
        </w:rPr>
      </w:pPr>
    </w:p>
    <w:p w14:paraId="7C0315D0" w14:textId="53D4686C" w:rsidR="00EF5B93" w:rsidRDefault="006D7C24" w:rsidP="006D7C24">
      <w:pPr>
        <w:pStyle w:val="a3"/>
        <w:numPr>
          <w:ilvl w:val="0"/>
          <w:numId w:val="14"/>
        </w:numPr>
        <w:spacing w:after="0" w:line="360" w:lineRule="auto"/>
        <w:jc w:val="both"/>
        <w:rPr>
          <w:rFonts w:ascii="David" w:hAnsi="David" w:cs="David"/>
          <w:sz w:val="24"/>
          <w:szCs w:val="24"/>
        </w:rPr>
      </w:pPr>
      <w:r w:rsidRPr="006D7C24">
        <w:rPr>
          <w:rFonts w:ascii="David" w:hAnsi="David" w:cs="David"/>
          <w:sz w:val="24"/>
          <w:szCs w:val="24"/>
          <w:rtl/>
        </w:rPr>
        <w:t xml:space="preserve">התובע </w:t>
      </w:r>
      <w:r>
        <w:rPr>
          <w:rFonts w:ascii="David" w:hAnsi="David" w:cs="David" w:hint="cs"/>
          <w:sz w:val="24"/>
          <w:szCs w:val="24"/>
          <w:rtl/>
        </w:rPr>
        <w:t xml:space="preserve">קיבל את תשובות ב"כ המדינה לשאלות עליהן הוסכם בדיון ביום </w:t>
      </w:r>
      <w:r w:rsidR="00AB52B3">
        <w:rPr>
          <w:rFonts w:ascii="David" w:hAnsi="David" w:cs="David" w:hint="cs"/>
          <w:sz w:val="24"/>
          <w:szCs w:val="24"/>
          <w:rtl/>
        </w:rPr>
        <w:t xml:space="preserve"> </w:t>
      </w:r>
      <w:r>
        <w:rPr>
          <w:rFonts w:ascii="David" w:hAnsi="David" w:cs="David" w:hint="cs"/>
          <w:sz w:val="24"/>
          <w:szCs w:val="24"/>
          <w:rtl/>
        </w:rPr>
        <w:t>11.1.23</w:t>
      </w:r>
      <w:r w:rsidR="00AB52B3">
        <w:rPr>
          <w:rFonts w:ascii="David" w:hAnsi="David" w:cs="David" w:hint="cs"/>
          <w:sz w:val="24"/>
          <w:szCs w:val="24"/>
          <w:rtl/>
        </w:rPr>
        <w:t xml:space="preserve">, </w:t>
      </w:r>
      <w:r w:rsidR="00A15EB9">
        <w:rPr>
          <w:rFonts w:ascii="David" w:hAnsi="David" w:cs="David" w:hint="cs"/>
          <w:sz w:val="24"/>
          <w:szCs w:val="24"/>
          <w:rtl/>
        </w:rPr>
        <w:t>לא</w:t>
      </w:r>
      <w:r w:rsidR="00531878">
        <w:rPr>
          <w:rFonts w:ascii="David" w:hAnsi="David" w:cs="David" w:hint="cs"/>
          <w:sz w:val="24"/>
          <w:szCs w:val="24"/>
          <w:rtl/>
        </w:rPr>
        <w:t xml:space="preserve">ור טענת התובע </w:t>
      </w:r>
      <w:r w:rsidR="005C16D1">
        <w:rPr>
          <w:rFonts w:ascii="David" w:hAnsi="David" w:cs="David" w:hint="cs"/>
          <w:sz w:val="24"/>
          <w:szCs w:val="24"/>
          <w:rtl/>
        </w:rPr>
        <w:t xml:space="preserve">כי </w:t>
      </w:r>
      <w:proofErr w:type="spellStart"/>
      <w:r w:rsidR="00AB52B3">
        <w:rPr>
          <w:rFonts w:ascii="David" w:hAnsi="David" w:cs="David" w:hint="cs"/>
          <w:sz w:val="24"/>
          <w:szCs w:val="24"/>
          <w:rtl/>
        </w:rPr>
        <w:t>גימלאים</w:t>
      </w:r>
      <w:proofErr w:type="spellEnd"/>
      <w:r w:rsidR="00AB52B3">
        <w:rPr>
          <w:rFonts w:ascii="David" w:hAnsi="David" w:cs="David" w:hint="cs"/>
          <w:sz w:val="24"/>
          <w:szCs w:val="24"/>
          <w:rtl/>
        </w:rPr>
        <w:t xml:space="preserve"> אחרים</w:t>
      </w:r>
      <w:r w:rsidR="00864BDA">
        <w:rPr>
          <w:rFonts w:ascii="David" w:hAnsi="David" w:cs="David" w:hint="cs"/>
          <w:sz w:val="24"/>
          <w:szCs w:val="24"/>
          <w:rtl/>
        </w:rPr>
        <w:t xml:space="preserve"> בחוזה בכירים זהה לשלו שפרשו לפניו,</w:t>
      </w:r>
      <w:r w:rsidR="005C16D1">
        <w:rPr>
          <w:rFonts w:ascii="David" w:hAnsi="David" w:cs="David" w:hint="cs"/>
          <w:sz w:val="24"/>
          <w:szCs w:val="24"/>
          <w:rtl/>
        </w:rPr>
        <w:t xml:space="preserve">  </w:t>
      </w:r>
      <w:r w:rsidR="00AB52B3">
        <w:rPr>
          <w:rFonts w:ascii="David" w:hAnsi="David" w:cs="David" w:hint="cs"/>
          <w:sz w:val="24"/>
          <w:szCs w:val="24"/>
          <w:rtl/>
        </w:rPr>
        <w:t xml:space="preserve">קיבלו </w:t>
      </w:r>
      <w:proofErr w:type="spellStart"/>
      <w:r w:rsidR="00AB52B3">
        <w:rPr>
          <w:rFonts w:ascii="David" w:hAnsi="David" w:cs="David" w:hint="cs"/>
          <w:sz w:val="24"/>
          <w:szCs w:val="24"/>
          <w:rtl/>
        </w:rPr>
        <w:t>גימלה</w:t>
      </w:r>
      <w:proofErr w:type="spellEnd"/>
      <w:r w:rsidR="003F45E3">
        <w:rPr>
          <w:rFonts w:ascii="David" w:hAnsi="David" w:cs="David" w:hint="cs"/>
          <w:sz w:val="24"/>
          <w:szCs w:val="24"/>
          <w:rtl/>
        </w:rPr>
        <w:t xml:space="preserve"> על </w:t>
      </w:r>
      <w:r w:rsidR="003F45E3">
        <w:rPr>
          <w:rFonts w:ascii="David" w:hAnsi="David" w:cs="David" w:hint="cs"/>
          <w:sz w:val="24"/>
          <w:szCs w:val="24"/>
          <w:rtl/>
        </w:rPr>
        <w:t>בסיס סעיף 12ב</w:t>
      </w:r>
      <w:r w:rsidR="003F45E3">
        <w:rPr>
          <w:rFonts w:ascii="David" w:hAnsi="David" w:cs="David" w:hint="cs"/>
          <w:sz w:val="24"/>
          <w:szCs w:val="24"/>
          <w:rtl/>
        </w:rPr>
        <w:t>'</w:t>
      </w:r>
      <w:r w:rsidR="003F45E3">
        <w:rPr>
          <w:rFonts w:ascii="David" w:hAnsi="David" w:cs="David" w:hint="cs"/>
          <w:sz w:val="24"/>
          <w:szCs w:val="24"/>
          <w:rtl/>
        </w:rPr>
        <w:t xml:space="preserve"> לחוזה לפי הנוסחה הנטענת על ידו</w:t>
      </w:r>
      <w:r w:rsidR="003F45E3">
        <w:rPr>
          <w:rFonts w:ascii="David" w:hAnsi="David" w:cs="David" w:hint="cs"/>
          <w:sz w:val="24"/>
          <w:szCs w:val="24"/>
          <w:rtl/>
        </w:rPr>
        <w:t xml:space="preserve"> </w:t>
      </w:r>
      <w:r w:rsidR="003F45E3">
        <w:rPr>
          <w:rFonts w:ascii="David" w:hAnsi="David" w:cs="David" w:hint="cs"/>
          <w:sz w:val="24"/>
          <w:szCs w:val="24"/>
          <w:rtl/>
        </w:rPr>
        <w:t>(כמפורט בסעיפים 16 ו-20.1.1 בכתב התביעה)</w:t>
      </w:r>
      <w:r w:rsidR="00864BDA">
        <w:rPr>
          <w:rFonts w:ascii="David" w:hAnsi="David" w:cs="David" w:hint="cs"/>
          <w:sz w:val="24"/>
          <w:szCs w:val="24"/>
          <w:rtl/>
        </w:rPr>
        <w:t>,</w:t>
      </w:r>
      <w:r w:rsidR="003F45E3">
        <w:rPr>
          <w:rFonts w:ascii="David" w:hAnsi="David" w:cs="David" w:hint="cs"/>
          <w:sz w:val="24"/>
          <w:szCs w:val="24"/>
          <w:rtl/>
        </w:rPr>
        <w:t xml:space="preserve"> </w:t>
      </w:r>
      <w:r w:rsidR="003F45E3">
        <w:rPr>
          <w:rFonts w:ascii="David" w:hAnsi="David" w:cs="David" w:hint="cs"/>
          <w:sz w:val="24"/>
          <w:szCs w:val="24"/>
          <w:rtl/>
        </w:rPr>
        <w:t xml:space="preserve">דהיינו: </w:t>
      </w:r>
      <w:proofErr w:type="spellStart"/>
      <w:r w:rsidR="003F45E3" w:rsidRPr="00AC3F97">
        <w:rPr>
          <w:rFonts w:ascii="David" w:hAnsi="David" w:cs="David" w:hint="cs"/>
          <w:b/>
          <w:bCs/>
          <w:sz w:val="24"/>
          <w:szCs w:val="24"/>
          <w:rtl/>
        </w:rPr>
        <w:t>גימלה</w:t>
      </w:r>
      <w:proofErr w:type="spellEnd"/>
      <w:r w:rsidR="003F45E3" w:rsidRPr="00AC3F97">
        <w:rPr>
          <w:rFonts w:ascii="David" w:hAnsi="David" w:cs="David" w:hint="cs"/>
          <w:b/>
          <w:bCs/>
          <w:sz w:val="24"/>
          <w:szCs w:val="24"/>
          <w:rtl/>
        </w:rPr>
        <w:t xml:space="preserve"> לפי משכורת החוזה על כל שנות העבודה בחוזה, ללא שקלול כלשהו,  </w:t>
      </w:r>
      <w:r w:rsidR="00EF5B93">
        <w:rPr>
          <w:rFonts w:ascii="David" w:hAnsi="David" w:cs="David" w:hint="cs"/>
          <w:sz w:val="24"/>
          <w:szCs w:val="24"/>
          <w:rtl/>
        </w:rPr>
        <w:t>ולא לפי הנוסחה שבמכתב</w:t>
      </w:r>
      <w:r w:rsidR="00864BDA">
        <w:rPr>
          <w:rFonts w:ascii="David" w:hAnsi="David" w:cs="David" w:hint="cs"/>
          <w:sz w:val="24"/>
          <w:szCs w:val="24"/>
          <w:rtl/>
        </w:rPr>
        <w:t xml:space="preserve"> ההנחיות</w:t>
      </w:r>
      <w:r w:rsidR="00EF5B93">
        <w:rPr>
          <w:rFonts w:ascii="David" w:hAnsi="David" w:cs="David" w:hint="cs"/>
          <w:sz w:val="24"/>
          <w:szCs w:val="24"/>
          <w:rtl/>
        </w:rPr>
        <w:t xml:space="preserve"> של מר אהר</w:t>
      </w:r>
      <w:r w:rsidR="003F45E3">
        <w:rPr>
          <w:rFonts w:ascii="David" w:hAnsi="David" w:cs="David" w:hint="cs"/>
          <w:sz w:val="24"/>
          <w:szCs w:val="24"/>
          <w:rtl/>
        </w:rPr>
        <w:t>ונ</w:t>
      </w:r>
      <w:r w:rsidR="00EF5B93">
        <w:rPr>
          <w:rFonts w:ascii="David" w:hAnsi="David" w:cs="David" w:hint="cs"/>
          <w:sz w:val="24"/>
          <w:szCs w:val="24"/>
          <w:rtl/>
        </w:rPr>
        <w:t>וב</w:t>
      </w:r>
      <w:r w:rsidR="00864BDA">
        <w:rPr>
          <w:rFonts w:ascii="David" w:hAnsi="David" w:cs="David" w:hint="cs"/>
          <w:sz w:val="24"/>
          <w:szCs w:val="24"/>
          <w:rtl/>
        </w:rPr>
        <w:t xml:space="preserve"> הנושא תאריך 15.8.2012</w:t>
      </w:r>
      <w:r w:rsidR="00B873B0">
        <w:rPr>
          <w:rFonts w:ascii="David" w:hAnsi="David" w:cs="David" w:hint="cs"/>
          <w:sz w:val="24"/>
          <w:szCs w:val="24"/>
          <w:rtl/>
        </w:rPr>
        <w:t xml:space="preserve"> </w:t>
      </w:r>
      <w:r w:rsidR="00EF5B93">
        <w:rPr>
          <w:rFonts w:ascii="David" w:hAnsi="David" w:cs="David" w:hint="cs"/>
          <w:sz w:val="24"/>
          <w:szCs w:val="24"/>
          <w:rtl/>
        </w:rPr>
        <w:t>.</w:t>
      </w:r>
    </w:p>
    <w:p w14:paraId="7527C76B" w14:textId="5383A2A2" w:rsidR="004924C6" w:rsidRPr="00EF5B93" w:rsidRDefault="00EF5B93" w:rsidP="00EF5B93">
      <w:pPr>
        <w:pStyle w:val="a3"/>
        <w:spacing w:after="0" w:line="240" w:lineRule="auto"/>
        <w:jc w:val="both"/>
        <w:rPr>
          <w:rFonts w:ascii="David" w:hAnsi="David" w:cs="David"/>
          <w:sz w:val="10"/>
          <w:szCs w:val="10"/>
        </w:rPr>
      </w:pPr>
      <w:r>
        <w:rPr>
          <w:rFonts w:ascii="David" w:hAnsi="David" w:cs="David" w:hint="cs"/>
          <w:sz w:val="24"/>
          <w:szCs w:val="24"/>
          <w:rtl/>
        </w:rPr>
        <w:t xml:space="preserve"> </w:t>
      </w:r>
    </w:p>
    <w:p w14:paraId="3B40B20A" w14:textId="48A4A236" w:rsidR="005C16D1" w:rsidRDefault="00A15EB9" w:rsidP="006D7C24">
      <w:pPr>
        <w:pStyle w:val="a3"/>
        <w:numPr>
          <w:ilvl w:val="0"/>
          <w:numId w:val="14"/>
        </w:numPr>
        <w:spacing w:after="0" w:line="360" w:lineRule="auto"/>
        <w:jc w:val="both"/>
        <w:rPr>
          <w:rFonts w:ascii="David" w:hAnsi="David" w:cs="David"/>
          <w:sz w:val="24"/>
          <w:szCs w:val="24"/>
        </w:rPr>
      </w:pPr>
      <w:r>
        <w:rPr>
          <w:rFonts w:ascii="David" w:hAnsi="David" w:cs="David" w:hint="cs"/>
          <w:sz w:val="24"/>
          <w:szCs w:val="24"/>
          <w:rtl/>
        </w:rPr>
        <w:t xml:space="preserve">בעקבות טענה זו, </w:t>
      </w:r>
      <w:bookmarkStart w:id="1" w:name="_Hlk126746044"/>
      <w:r w:rsidR="00720FC7">
        <w:rPr>
          <w:rFonts w:ascii="David" w:hAnsi="David" w:cs="David" w:hint="cs"/>
          <w:sz w:val="24"/>
          <w:szCs w:val="24"/>
          <w:rtl/>
        </w:rPr>
        <w:t>הסכימה</w:t>
      </w:r>
      <w:r>
        <w:rPr>
          <w:rFonts w:ascii="David" w:hAnsi="David" w:cs="David" w:hint="cs"/>
          <w:sz w:val="24"/>
          <w:szCs w:val="24"/>
          <w:rtl/>
        </w:rPr>
        <w:t xml:space="preserve"> המדינה לבדוק</w:t>
      </w:r>
      <w:r>
        <w:rPr>
          <w:rFonts w:ascii="David" w:hAnsi="David" w:cs="David" w:hint="cs"/>
          <w:sz w:val="24"/>
          <w:szCs w:val="24"/>
          <w:rtl/>
        </w:rPr>
        <w:t xml:space="preserve"> </w:t>
      </w:r>
      <w:r w:rsidR="00720FC7">
        <w:rPr>
          <w:rFonts w:ascii="David" w:hAnsi="David" w:cs="David" w:hint="cs"/>
          <w:sz w:val="24"/>
          <w:szCs w:val="24"/>
          <w:rtl/>
        </w:rPr>
        <w:t>ולענות ל</w:t>
      </w:r>
      <w:r>
        <w:rPr>
          <w:rFonts w:ascii="David" w:hAnsi="David" w:cs="David" w:hint="cs"/>
          <w:sz w:val="24"/>
          <w:szCs w:val="24"/>
          <w:rtl/>
        </w:rPr>
        <w:t>שאלה</w:t>
      </w:r>
      <w:r w:rsidR="00720FC7">
        <w:rPr>
          <w:rFonts w:ascii="David" w:hAnsi="David" w:cs="David" w:hint="cs"/>
          <w:sz w:val="24"/>
          <w:szCs w:val="24"/>
          <w:rtl/>
        </w:rPr>
        <w:t>,</w:t>
      </w:r>
      <w:r w:rsidR="00720FC7" w:rsidRPr="00720FC7">
        <w:rPr>
          <w:rFonts w:ascii="David" w:hAnsi="David" w:cs="David" w:hint="cs"/>
          <w:sz w:val="24"/>
          <w:szCs w:val="24"/>
          <w:rtl/>
        </w:rPr>
        <w:t xml:space="preserve"> </w:t>
      </w:r>
      <w:r w:rsidR="00720FC7">
        <w:rPr>
          <w:rFonts w:ascii="David" w:hAnsi="David" w:cs="David" w:hint="cs"/>
          <w:sz w:val="24"/>
          <w:szCs w:val="24"/>
          <w:rtl/>
        </w:rPr>
        <w:t>כפי שנוסחה ע"י כב' השופט</w:t>
      </w:r>
      <w:r w:rsidR="003F45E3">
        <w:rPr>
          <w:rFonts w:ascii="David" w:hAnsi="David" w:cs="David" w:hint="cs"/>
          <w:sz w:val="24"/>
          <w:szCs w:val="24"/>
          <w:rtl/>
        </w:rPr>
        <w:t>:</w:t>
      </w:r>
      <w:r>
        <w:rPr>
          <w:rFonts w:ascii="David" w:hAnsi="David" w:cs="David" w:hint="cs"/>
          <w:sz w:val="24"/>
          <w:szCs w:val="24"/>
          <w:rtl/>
        </w:rPr>
        <w:t xml:space="preserve"> </w:t>
      </w:r>
    </w:p>
    <w:p w14:paraId="240CC50E" w14:textId="16B6CD8E" w:rsidR="00EF5B93" w:rsidRPr="00EF5B93" w:rsidRDefault="00720FC7" w:rsidP="00E93C5C">
      <w:pPr>
        <w:pStyle w:val="a3"/>
        <w:spacing w:after="0" w:line="360" w:lineRule="auto"/>
        <w:ind w:right="284"/>
        <w:jc w:val="both"/>
        <w:rPr>
          <w:rFonts w:ascii="David" w:hAnsi="David" w:cs="David" w:hint="cs"/>
          <w:sz w:val="10"/>
          <w:szCs w:val="10"/>
          <w:rtl/>
        </w:rPr>
      </w:pPr>
      <w:r>
        <w:rPr>
          <w:rFonts w:ascii="David" w:hAnsi="David" w:cs="David" w:hint="cs"/>
          <w:b/>
          <w:bCs/>
          <w:sz w:val="24"/>
          <w:szCs w:val="24"/>
          <w:rtl/>
        </w:rPr>
        <w:t xml:space="preserve">"האם ישנם גמלאים בפנסיה תקציבית אשר פרשו לפני 1.1.2014 </w:t>
      </w:r>
      <w:r>
        <w:rPr>
          <w:rFonts w:ascii="David" w:hAnsi="David" w:cs="David" w:hint="cs"/>
          <w:b/>
          <w:bCs/>
          <w:sz w:val="24"/>
          <w:szCs w:val="24"/>
          <w:rtl/>
        </w:rPr>
        <w:t>....</w:t>
      </w:r>
      <w:r w:rsidRPr="00B446F6">
        <w:rPr>
          <w:rFonts w:ascii="David" w:hAnsi="David" w:cs="David"/>
          <w:b/>
          <w:bCs/>
          <w:sz w:val="24"/>
          <w:szCs w:val="24"/>
          <w:rtl/>
        </w:rPr>
        <w:t xml:space="preserve">אשר במסגרת הפנסיה שהם מקבלים מובאות בחשבון כל השנים בהן הועסקו בחוזה בכירים והתקופה בה הועסקו בכתב מינוי מובאת בחשבון רק ככל שקיים פער בין השנים בהם הועסקו בחוזה בכירים לבין התקופה המקסימלית המזכה בגמלה </w:t>
      </w:r>
      <w:r w:rsidRPr="00B446F6">
        <w:rPr>
          <w:rFonts w:ascii="David" w:hAnsi="David" w:cs="David" w:hint="cs"/>
          <w:b/>
          <w:bCs/>
          <w:sz w:val="24"/>
          <w:szCs w:val="24"/>
          <w:rtl/>
        </w:rPr>
        <w:t>(</w:t>
      </w:r>
      <w:r w:rsidRPr="00B446F6">
        <w:rPr>
          <w:rFonts w:ascii="David" w:hAnsi="David" w:cs="David"/>
          <w:b/>
          <w:bCs/>
          <w:sz w:val="24"/>
          <w:szCs w:val="24"/>
          <w:rtl/>
        </w:rPr>
        <w:t>35 שני</w:t>
      </w:r>
      <w:r w:rsidR="00E93C5C">
        <w:rPr>
          <w:rFonts w:ascii="David" w:hAnsi="David" w:cs="David" w:hint="cs"/>
          <w:b/>
          <w:bCs/>
          <w:sz w:val="24"/>
          <w:szCs w:val="24"/>
          <w:rtl/>
        </w:rPr>
        <w:t>ם)</w:t>
      </w:r>
      <w:r w:rsidRPr="00B446F6">
        <w:rPr>
          <w:rFonts w:ascii="David" w:hAnsi="David" w:cs="David" w:hint="cs"/>
          <w:b/>
          <w:bCs/>
          <w:sz w:val="24"/>
          <w:szCs w:val="24"/>
          <w:rtl/>
        </w:rPr>
        <w:t>.</w:t>
      </w:r>
      <w:bookmarkEnd w:id="1"/>
    </w:p>
    <w:p w14:paraId="582883D7" w14:textId="77777777" w:rsidR="00DA4C0B" w:rsidRPr="00925330" w:rsidRDefault="00DA4C0B" w:rsidP="00EF5B93">
      <w:pPr>
        <w:pStyle w:val="a3"/>
        <w:spacing w:after="0" w:line="360" w:lineRule="auto"/>
        <w:ind w:left="935" w:right="284"/>
        <w:jc w:val="both"/>
        <w:rPr>
          <w:rFonts w:ascii="David" w:hAnsi="David" w:cs="David"/>
          <w:b/>
          <w:bCs/>
          <w:sz w:val="6"/>
          <w:szCs w:val="6"/>
          <w:rtl/>
        </w:rPr>
      </w:pPr>
    </w:p>
    <w:p w14:paraId="4F6B3684" w14:textId="253B3737" w:rsidR="006D7C24" w:rsidRDefault="006D7C24" w:rsidP="006D7C24">
      <w:pPr>
        <w:pStyle w:val="a3"/>
        <w:numPr>
          <w:ilvl w:val="0"/>
          <w:numId w:val="14"/>
        </w:numPr>
        <w:spacing w:after="0" w:line="360" w:lineRule="auto"/>
        <w:jc w:val="both"/>
        <w:rPr>
          <w:rFonts w:ascii="David" w:hAnsi="David" w:cs="David"/>
          <w:sz w:val="24"/>
          <w:szCs w:val="24"/>
        </w:rPr>
      </w:pPr>
      <w:r w:rsidRPr="001239C9">
        <w:rPr>
          <w:rFonts w:ascii="David" w:hAnsi="David" w:cs="David" w:hint="cs"/>
          <w:sz w:val="24"/>
          <w:szCs w:val="24"/>
          <w:rtl/>
        </w:rPr>
        <w:t>המדינה</w:t>
      </w:r>
      <w:r w:rsidR="00283E9F" w:rsidRPr="001239C9">
        <w:rPr>
          <w:rFonts w:ascii="David" w:hAnsi="David" w:cs="David" w:hint="cs"/>
          <w:sz w:val="24"/>
          <w:szCs w:val="24"/>
          <w:rtl/>
        </w:rPr>
        <w:t xml:space="preserve"> </w:t>
      </w:r>
      <w:r w:rsidR="00283E9F" w:rsidRPr="001239C9">
        <w:rPr>
          <w:rFonts w:ascii="David" w:hAnsi="David" w:cs="David" w:hint="cs"/>
          <w:sz w:val="24"/>
          <w:szCs w:val="24"/>
          <w:rtl/>
        </w:rPr>
        <w:t>בתשובת</w:t>
      </w:r>
      <w:r w:rsidR="00283E9F" w:rsidRPr="001239C9">
        <w:rPr>
          <w:rFonts w:ascii="David" w:hAnsi="David" w:cs="David" w:hint="cs"/>
          <w:sz w:val="24"/>
          <w:szCs w:val="24"/>
          <w:rtl/>
        </w:rPr>
        <w:t>ה</w:t>
      </w:r>
      <w:r w:rsidR="00EF5B93" w:rsidRPr="001239C9">
        <w:rPr>
          <w:rFonts w:ascii="David" w:hAnsi="David" w:cs="David" w:hint="cs"/>
          <w:sz w:val="24"/>
          <w:szCs w:val="24"/>
          <w:rtl/>
        </w:rPr>
        <w:t>,</w:t>
      </w:r>
      <w:r w:rsidRPr="001239C9">
        <w:rPr>
          <w:rFonts w:ascii="David" w:hAnsi="David" w:cs="David" w:hint="cs"/>
          <w:sz w:val="24"/>
          <w:szCs w:val="24"/>
          <w:rtl/>
        </w:rPr>
        <w:t xml:space="preserve"> שניתנה </w:t>
      </w:r>
      <w:r w:rsidRPr="00AC3F97">
        <w:rPr>
          <w:rFonts w:ascii="David" w:hAnsi="David" w:cs="David" w:hint="cs"/>
          <w:sz w:val="24"/>
          <w:szCs w:val="24"/>
          <w:rtl/>
        </w:rPr>
        <w:t>לאחר בדיקה</w:t>
      </w:r>
      <w:r w:rsidR="00F1389C" w:rsidRPr="00AC3F97">
        <w:rPr>
          <w:rFonts w:ascii="David" w:hAnsi="David" w:cs="David" w:hint="cs"/>
          <w:sz w:val="24"/>
          <w:szCs w:val="24"/>
          <w:rtl/>
        </w:rPr>
        <w:t xml:space="preserve"> שנערכה</w:t>
      </w:r>
      <w:r w:rsidRPr="00AC3F97">
        <w:rPr>
          <w:rFonts w:ascii="David" w:hAnsi="David" w:cs="David" w:hint="cs"/>
          <w:sz w:val="24"/>
          <w:szCs w:val="24"/>
          <w:rtl/>
        </w:rPr>
        <w:t xml:space="preserve"> בנציבות שירות המדינה,</w:t>
      </w:r>
      <w:bookmarkStart w:id="2" w:name="_Hlk126753131"/>
      <w:r w:rsidR="00AF6E4E">
        <w:rPr>
          <w:rFonts w:ascii="David" w:hAnsi="David" w:cs="David" w:hint="cs"/>
          <w:sz w:val="24"/>
          <w:szCs w:val="24"/>
          <w:rtl/>
        </w:rPr>
        <w:t xml:space="preserve"> </w:t>
      </w:r>
      <w:r w:rsidR="00607DC9" w:rsidRPr="001239C9">
        <w:rPr>
          <w:rFonts w:ascii="David" w:hAnsi="David" w:cs="David" w:hint="cs"/>
          <w:sz w:val="24"/>
          <w:szCs w:val="24"/>
          <w:rtl/>
        </w:rPr>
        <w:t xml:space="preserve">מציינת </w:t>
      </w:r>
      <w:bookmarkEnd w:id="2"/>
      <w:r w:rsidR="002F02BF" w:rsidRPr="001239C9">
        <w:rPr>
          <w:rFonts w:ascii="David" w:hAnsi="David" w:cs="David" w:hint="cs"/>
          <w:sz w:val="24"/>
          <w:szCs w:val="24"/>
          <w:rtl/>
        </w:rPr>
        <w:t>רק</w:t>
      </w:r>
      <w:r w:rsidR="002F02BF" w:rsidRPr="00AC3F97">
        <w:rPr>
          <w:rFonts w:ascii="David" w:hAnsi="David" w:cs="David" w:hint="cs"/>
          <w:b/>
          <w:bCs/>
          <w:sz w:val="24"/>
          <w:szCs w:val="24"/>
          <w:rtl/>
        </w:rPr>
        <w:t xml:space="preserve"> </w:t>
      </w:r>
      <w:r w:rsidR="00607DC9" w:rsidRPr="00AC3F97">
        <w:rPr>
          <w:rFonts w:ascii="David" w:hAnsi="David" w:cs="David" w:hint="cs"/>
          <w:b/>
          <w:bCs/>
          <w:sz w:val="24"/>
          <w:szCs w:val="24"/>
          <w:rtl/>
        </w:rPr>
        <w:t xml:space="preserve">שאין </w:t>
      </w:r>
      <w:r w:rsidR="00B446F6" w:rsidRPr="00AC3F97">
        <w:rPr>
          <w:rFonts w:ascii="David" w:hAnsi="David" w:cs="David" w:hint="cs"/>
          <w:b/>
          <w:bCs/>
          <w:sz w:val="24"/>
          <w:szCs w:val="24"/>
          <w:rtl/>
        </w:rPr>
        <w:t>עובדים</w:t>
      </w:r>
      <w:r w:rsidR="00B446F6" w:rsidRPr="001239C9">
        <w:rPr>
          <w:rFonts w:ascii="David" w:hAnsi="David" w:cs="David" w:hint="cs"/>
          <w:sz w:val="24"/>
          <w:szCs w:val="24"/>
          <w:rtl/>
        </w:rPr>
        <w:t xml:space="preserve"> בחוזה בכירים שפרשו לפני 1.1.2014</w:t>
      </w:r>
      <w:r w:rsidR="009C1C55" w:rsidRPr="001239C9">
        <w:rPr>
          <w:rFonts w:ascii="David" w:hAnsi="David" w:cs="David" w:hint="cs"/>
          <w:sz w:val="24"/>
          <w:szCs w:val="24"/>
          <w:rtl/>
        </w:rPr>
        <w:t xml:space="preserve"> </w:t>
      </w:r>
      <w:r w:rsidRPr="001239C9">
        <w:rPr>
          <w:rFonts w:ascii="David" w:hAnsi="David" w:cs="David" w:hint="cs"/>
          <w:sz w:val="24"/>
          <w:szCs w:val="24"/>
          <w:rtl/>
        </w:rPr>
        <w:t>"</w:t>
      </w:r>
      <w:r w:rsidR="009C1C55" w:rsidRPr="001239C9">
        <w:rPr>
          <w:rFonts w:ascii="David" w:hAnsi="David" w:cs="David" w:hint="cs"/>
          <w:b/>
          <w:bCs/>
          <w:sz w:val="24"/>
          <w:szCs w:val="24"/>
          <w:rtl/>
        </w:rPr>
        <w:t>...</w:t>
      </w:r>
      <w:r w:rsidRPr="001239C9">
        <w:rPr>
          <w:rFonts w:ascii="David" w:hAnsi="David" w:cs="David" w:hint="cs"/>
          <w:b/>
          <w:bCs/>
          <w:sz w:val="24"/>
          <w:szCs w:val="24"/>
          <w:rtl/>
        </w:rPr>
        <w:t>אשר הוחלה על תנאי פרישתם הנוסחה המשופרת לשקלול התקופות כמשמעותה בכתב ההגנה מס' 68 ואילך"</w:t>
      </w:r>
      <w:r w:rsidR="00AF6E4E">
        <w:rPr>
          <w:rFonts w:ascii="David" w:hAnsi="David" w:cs="David" w:hint="cs"/>
          <w:sz w:val="24"/>
          <w:szCs w:val="24"/>
          <w:rtl/>
        </w:rPr>
        <w:t xml:space="preserve">. בסעיף </w:t>
      </w:r>
      <w:r w:rsidR="00AC3F97">
        <w:rPr>
          <w:rFonts w:ascii="David" w:hAnsi="David" w:cs="David" w:hint="cs"/>
          <w:sz w:val="24"/>
          <w:szCs w:val="24"/>
          <w:rtl/>
        </w:rPr>
        <w:t xml:space="preserve">68 </w:t>
      </w:r>
      <w:r w:rsidR="00AF6E4E">
        <w:rPr>
          <w:rFonts w:ascii="David" w:hAnsi="David" w:cs="David" w:hint="cs"/>
          <w:sz w:val="24"/>
          <w:szCs w:val="24"/>
          <w:rtl/>
        </w:rPr>
        <w:t>זה נאמר</w:t>
      </w:r>
      <w:r w:rsidR="001239C9" w:rsidRPr="001239C9">
        <w:rPr>
          <w:rFonts w:ascii="David" w:hAnsi="David" w:cs="David" w:hint="cs"/>
          <w:sz w:val="24"/>
          <w:szCs w:val="24"/>
          <w:rtl/>
        </w:rPr>
        <w:t xml:space="preserve"> כי </w:t>
      </w:r>
      <w:r w:rsidR="00F005E7" w:rsidRPr="001239C9">
        <w:rPr>
          <w:rFonts w:ascii="David" w:hAnsi="David" w:cs="David" w:hint="cs"/>
          <w:b/>
          <w:bCs/>
          <w:sz w:val="24"/>
          <w:szCs w:val="24"/>
          <w:rtl/>
        </w:rPr>
        <w:t>"</w:t>
      </w:r>
      <w:r w:rsidRPr="001239C9">
        <w:rPr>
          <w:rFonts w:ascii="David" w:hAnsi="David" w:cs="David" w:hint="cs"/>
          <w:b/>
          <w:bCs/>
          <w:sz w:val="24"/>
          <w:szCs w:val="24"/>
          <w:rtl/>
        </w:rPr>
        <w:t>התובע מבקש כי בחישוב המשכורת הקובעת שקלול התקופות על פי כתב המינוי ייעשה על פי הנוסחה המשופרת שהנהיגה נציבות שירות המדינה שתחולתו מיום 1.1.2014".</w:t>
      </w:r>
    </w:p>
    <w:p w14:paraId="0CBB72DA" w14:textId="77777777" w:rsidR="00B446F6" w:rsidRPr="00925330" w:rsidRDefault="00B446F6" w:rsidP="006D7C24">
      <w:pPr>
        <w:pStyle w:val="a3"/>
        <w:spacing w:after="0" w:line="360" w:lineRule="auto"/>
        <w:jc w:val="both"/>
        <w:rPr>
          <w:rFonts w:ascii="David" w:hAnsi="David" w:cs="David"/>
          <w:sz w:val="6"/>
          <w:szCs w:val="6"/>
          <w:rtl/>
        </w:rPr>
      </w:pPr>
    </w:p>
    <w:p w14:paraId="3BABE549" w14:textId="31B40253" w:rsidR="00334513" w:rsidRDefault="00B446F6" w:rsidP="009C1C55">
      <w:pPr>
        <w:pStyle w:val="a3"/>
        <w:numPr>
          <w:ilvl w:val="0"/>
          <w:numId w:val="14"/>
        </w:numPr>
        <w:spacing w:after="0" w:line="360" w:lineRule="auto"/>
        <w:jc w:val="both"/>
        <w:rPr>
          <w:rFonts w:ascii="David" w:hAnsi="David" w:cs="David"/>
          <w:sz w:val="24"/>
          <w:szCs w:val="24"/>
        </w:rPr>
      </w:pPr>
      <w:r>
        <w:rPr>
          <w:rFonts w:ascii="David" w:hAnsi="David" w:cs="David" w:hint="cs"/>
          <w:sz w:val="24"/>
          <w:szCs w:val="24"/>
          <w:rtl/>
        </w:rPr>
        <w:t xml:space="preserve"> </w:t>
      </w:r>
      <w:r w:rsidR="00531878">
        <w:rPr>
          <w:rFonts w:ascii="David" w:hAnsi="David" w:cs="David" w:hint="cs"/>
          <w:sz w:val="24"/>
          <w:szCs w:val="24"/>
          <w:rtl/>
        </w:rPr>
        <w:t>ה</w:t>
      </w:r>
      <w:r w:rsidR="009C1C55">
        <w:rPr>
          <w:rFonts w:ascii="David" w:hAnsi="David" w:cs="David" w:hint="cs"/>
          <w:sz w:val="24"/>
          <w:szCs w:val="24"/>
          <w:rtl/>
        </w:rPr>
        <w:t xml:space="preserve">תובע סבור כי תשובת המדינה לא עונה </w:t>
      </w:r>
      <w:r w:rsidR="00334513">
        <w:rPr>
          <w:rFonts w:ascii="David" w:hAnsi="David" w:cs="David" w:hint="cs"/>
          <w:sz w:val="24"/>
          <w:szCs w:val="24"/>
          <w:rtl/>
        </w:rPr>
        <w:t>ל</w:t>
      </w:r>
      <w:r w:rsidR="009C1C55">
        <w:rPr>
          <w:rFonts w:ascii="David" w:hAnsi="David" w:cs="David" w:hint="cs"/>
          <w:sz w:val="24"/>
          <w:szCs w:val="24"/>
          <w:rtl/>
        </w:rPr>
        <w:t xml:space="preserve">שאלה </w:t>
      </w:r>
      <w:r w:rsidR="009C1C55">
        <w:rPr>
          <w:rFonts w:ascii="David" w:hAnsi="David" w:cs="David" w:hint="cs"/>
          <w:sz w:val="24"/>
          <w:szCs w:val="24"/>
          <w:rtl/>
        </w:rPr>
        <w:t>שנשאלה</w:t>
      </w:r>
      <w:r w:rsidR="00334513">
        <w:rPr>
          <w:rFonts w:ascii="David" w:hAnsi="David" w:cs="David" w:hint="cs"/>
          <w:sz w:val="24"/>
          <w:szCs w:val="24"/>
          <w:rtl/>
        </w:rPr>
        <w:t xml:space="preserve"> מכמה סיבות:</w:t>
      </w:r>
    </w:p>
    <w:p w14:paraId="49A404B0" w14:textId="0F42B5E9" w:rsidR="00421476" w:rsidRDefault="00334513" w:rsidP="00334513">
      <w:pPr>
        <w:pStyle w:val="a3"/>
        <w:numPr>
          <w:ilvl w:val="0"/>
          <w:numId w:val="17"/>
        </w:numPr>
        <w:spacing w:after="0" w:line="360" w:lineRule="auto"/>
        <w:jc w:val="both"/>
        <w:rPr>
          <w:rFonts w:ascii="David" w:hAnsi="David" w:cs="David"/>
          <w:sz w:val="24"/>
          <w:szCs w:val="24"/>
        </w:rPr>
      </w:pPr>
      <w:r>
        <w:rPr>
          <w:rFonts w:ascii="David" w:hAnsi="David" w:cs="David" w:hint="cs"/>
          <w:b/>
          <w:bCs/>
          <w:sz w:val="24"/>
          <w:szCs w:val="24"/>
          <w:rtl/>
        </w:rPr>
        <w:t xml:space="preserve">התשובה </w:t>
      </w:r>
      <w:r w:rsidRPr="00AC3F97">
        <w:rPr>
          <w:rFonts w:ascii="David" w:hAnsi="David" w:cs="David" w:hint="cs"/>
          <w:b/>
          <w:bCs/>
          <w:sz w:val="24"/>
          <w:szCs w:val="24"/>
          <w:rtl/>
        </w:rPr>
        <w:t xml:space="preserve">איננה </w:t>
      </w:r>
      <w:proofErr w:type="spellStart"/>
      <w:r w:rsidRPr="00AC3F97">
        <w:rPr>
          <w:rFonts w:ascii="David" w:hAnsi="David" w:cs="David" w:hint="cs"/>
          <w:b/>
          <w:bCs/>
          <w:sz w:val="24"/>
          <w:szCs w:val="24"/>
          <w:rtl/>
        </w:rPr>
        <w:t>מתיחסת</w:t>
      </w:r>
      <w:proofErr w:type="spellEnd"/>
      <w:r w:rsidRPr="00AC3F97">
        <w:rPr>
          <w:rFonts w:ascii="David" w:hAnsi="David" w:cs="David" w:hint="cs"/>
          <w:b/>
          <w:bCs/>
          <w:sz w:val="24"/>
          <w:szCs w:val="24"/>
          <w:rtl/>
        </w:rPr>
        <w:t xml:space="preserve"> כלל לשאלה </w:t>
      </w:r>
      <w:r w:rsidR="00421476">
        <w:rPr>
          <w:rFonts w:ascii="David" w:hAnsi="David" w:cs="David" w:hint="cs"/>
          <w:b/>
          <w:bCs/>
          <w:sz w:val="24"/>
          <w:szCs w:val="24"/>
          <w:rtl/>
        </w:rPr>
        <w:t>ה</w:t>
      </w:r>
      <w:r w:rsidRPr="00AC3F97">
        <w:rPr>
          <w:rFonts w:ascii="David" w:hAnsi="David" w:cs="David" w:hint="cs"/>
          <w:b/>
          <w:bCs/>
          <w:sz w:val="24"/>
          <w:szCs w:val="24"/>
          <w:rtl/>
        </w:rPr>
        <w:t>אם ישנם גמלאים</w:t>
      </w:r>
      <w:r>
        <w:rPr>
          <w:rFonts w:ascii="David" w:hAnsi="David" w:cs="David" w:hint="cs"/>
          <w:b/>
          <w:bCs/>
          <w:sz w:val="24"/>
          <w:szCs w:val="24"/>
          <w:rtl/>
        </w:rPr>
        <w:t xml:space="preserve">, </w:t>
      </w:r>
      <w:r w:rsidRPr="00334513">
        <w:rPr>
          <w:rFonts w:ascii="David" w:hAnsi="David" w:cs="David" w:hint="cs"/>
          <w:sz w:val="24"/>
          <w:szCs w:val="24"/>
          <w:rtl/>
        </w:rPr>
        <w:t>שפרשו לפני 1.1.2014</w:t>
      </w:r>
      <w:r>
        <w:rPr>
          <w:rFonts w:ascii="David" w:hAnsi="David" w:cs="David" w:hint="cs"/>
          <w:b/>
          <w:bCs/>
          <w:sz w:val="24"/>
          <w:szCs w:val="24"/>
          <w:rtl/>
        </w:rPr>
        <w:t>,</w:t>
      </w:r>
      <w:r w:rsidRPr="00AC3F97">
        <w:rPr>
          <w:rFonts w:ascii="David" w:hAnsi="David" w:cs="David" w:hint="cs"/>
          <w:b/>
          <w:bCs/>
          <w:sz w:val="24"/>
          <w:szCs w:val="24"/>
          <w:rtl/>
        </w:rPr>
        <w:t xml:space="preserve"> המקבלים </w:t>
      </w:r>
      <w:proofErr w:type="spellStart"/>
      <w:r w:rsidRPr="00AC3F97">
        <w:rPr>
          <w:rFonts w:ascii="David" w:hAnsi="David" w:cs="David" w:hint="cs"/>
          <w:b/>
          <w:bCs/>
          <w:sz w:val="24"/>
          <w:szCs w:val="24"/>
          <w:rtl/>
        </w:rPr>
        <w:t>גימלה</w:t>
      </w:r>
      <w:proofErr w:type="spellEnd"/>
      <w:r w:rsidRPr="00AC3F97">
        <w:rPr>
          <w:rFonts w:ascii="David" w:hAnsi="David" w:cs="David" w:hint="cs"/>
          <w:b/>
          <w:bCs/>
          <w:sz w:val="24"/>
          <w:szCs w:val="24"/>
          <w:rtl/>
        </w:rPr>
        <w:t xml:space="preserve"> על "כל השנים בהן הועסקו בחוזה בכירים"</w:t>
      </w:r>
      <w:r w:rsidR="002F02BF">
        <w:rPr>
          <w:rFonts w:ascii="David" w:hAnsi="David" w:cs="David" w:hint="cs"/>
          <w:b/>
          <w:bCs/>
          <w:sz w:val="24"/>
          <w:szCs w:val="24"/>
          <w:rtl/>
        </w:rPr>
        <w:t>,</w:t>
      </w:r>
      <w:r w:rsidRPr="001239C9">
        <w:rPr>
          <w:rFonts w:ascii="David" w:hAnsi="David" w:cs="David" w:hint="cs"/>
          <w:sz w:val="24"/>
          <w:szCs w:val="24"/>
          <w:rtl/>
        </w:rPr>
        <w:t xml:space="preserve"> כמבוקש</w:t>
      </w:r>
      <w:r>
        <w:rPr>
          <w:rFonts w:ascii="David" w:hAnsi="David" w:cs="David" w:hint="cs"/>
          <w:sz w:val="24"/>
          <w:szCs w:val="24"/>
          <w:rtl/>
        </w:rPr>
        <w:t>.</w:t>
      </w:r>
    </w:p>
    <w:p w14:paraId="0D4958D4" w14:textId="77777777" w:rsidR="00B33883" w:rsidRPr="00925330" w:rsidRDefault="00B33883" w:rsidP="00B33883">
      <w:pPr>
        <w:pStyle w:val="a3"/>
        <w:spacing w:after="0" w:line="360" w:lineRule="auto"/>
        <w:ind w:left="1353"/>
        <w:jc w:val="both"/>
        <w:rPr>
          <w:rFonts w:ascii="David" w:hAnsi="David" w:cs="David"/>
          <w:sz w:val="6"/>
          <w:szCs w:val="6"/>
        </w:rPr>
      </w:pPr>
    </w:p>
    <w:p w14:paraId="7189804D" w14:textId="17D25B75" w:rsidR="00EE3AD0" w:rsidRDefault="00A504D7" w:rsidP="00421476">
      <w:pPr>
        <w:pStyle w:val="a3"/>
        <w:numPr>
          <w:ilvl w:val="0"/>
          <w:numId w:val="17"/>
        </w:numPr>
        <w:spacing w:after="0" w:line="360" w:lineRule="auto"/>
        <w:jc w:val="both"/>
        <w:rPr>
          <w:rFonts w:ascii="David" w:hAnsi="David" w:cs="David"/>
          <w:sz w:val="24"/>
          <w:szCs w:val="24"/>
        </w:rPr>
      </w:pPr>
      <w:r>
        <w:rPr>
          <w:rFonts w:ascii="David" w:hAnsi="David" w:cs="David" w:hint="cs"/>
          <w:sz w:val="24"/>
          <w:szCs w:val="24"/>
          <w:rtl/>
        </w:rPr>
        <w:t xml:space="preserve">אין בשאלה כל </w:t>
      </w:r>
      <w:proofErr w:type="spellStart"/>
      <w:r>
        <w:rPr>
          <w:rFonts w:ascii="David" w:hAnsi="David" w:cs="David" w:hint="cs"/>
          <w:sz w:val="24"/>
          <w:szCs w:val="24"/>
          <w:rtl/>
        </w:rPr>
        <w:t>איזכור</w:t>
      </w:r>
      <w:proofErr w:type="spellEnd"/>
      <w:r>
        <w:rPr>
          <w:rFonts w:ascii="David" w:hAnsi="David" w:cs="David" w:hint="cs"/>
          <w:sz w:val="24"/>
          <w:szCs w:val="24"/>
          <w:rtl/>
        </w:rPr>
        <w:t xml:space="preserve"> או </w:t>
      </w:r>
      <w:r>
        <w:rPr>
          <w:rFonts w:ascii="David" w:hAnsi="David" w:cs="David" w:hint="cs"/>
          <w:sz w:val="24"/>
          <w:szCs w:val="24"/>
          <w:rtl/>
        </w:rPr>
        <w:t>בקשה ל</w:t>
      </w:r>
      <w:r w:rsidR="00EE3AD0">
        <w:rPr>
          <w:rFonts w:ascii="David" w:hAnsi="David" w:cs="David" w:hint="cs"/>
          <w:sz w:val="24"/>
          <w:szCs w:val="24"/>
          <w:rtl/>
        </w:rPr>
        <w:t>ברר</w:t>
      </w:r>
      <w:r>
        <w:rPr>
          <w:rFonts w:ascii="David" w:hAnsi="David" w:cs="David" w:hint="cs"/>
          <w:sz w:val="24"/>
          <w:szCs w:val="24"/>
          <w:rtl/>
        </w:rPr>
        <w:t xml:space="preserve"> אם מישהו קיבל </w:t>
      </w:r>
      <w:r w:rsidR="00EE3AD0">
        <w:rPr>
          <w:rFonts w:ascii="David" w:hAnsi="David" w:cs="David" w:hint="cs"/>
          <w:sz w:val="24"/>
          <w:szCs w:val="24"/>
          <w:rtl/>
        </w:rPr>
        <w:t xml:space="preserve">לפני שנת 2014 </w:t>
      </w:r>
      <w:proofErr w:type="spellStart"/>
      <w:r>
        <w:rPr>
          <w:rFonts w:ascii="David" w:hAnsi="David" w:cs="David" w:hint="cs"/>
          <w:sz w:val="24"/>
          <w:szCs w:val="24"/>
          <w:rtl/>
        </w:rPr>
        <w:t>גימלה</w:t>
      </w:r>
      <w:proofErr w:type="spellEnd"/>
      <w:r>
        <w:rPr>
          <w:rFonts w:ascii="David" w:hAnsi="David" w:cs="David" w:hint="cs"/>
          <w:sz w:val="24"/>
          <w:szCs w:val="24"/>
          <w:rtl/>
        </w:rPr>
        <w:t xml:space="preserve"> לפי נוסח</w:t>
      </w:r>
      <w:r w:rsidR="00864BDA">
        <w:rPr>
          <w:rFonts w:ascii="David" w:hAnsi="David" w:cs="David" w:hint="cs"/>
          <w:sz w:val="24"/>
          <w:szCs w:val="24"/>
          <w:rtl/>
        </w:rPr>
        <w:t>ת</w:t>
      </w:r>
      <w:r>
        <w:rPr>
          <w:rFonts w:ascii="David" w:hAnsi="David" w:cs="David" w:hint="cs"/>
          <w:sz w:val="24"/>
          <w:szCs w:val="24"/>
          <w:rtl/>
        </w:rPr>
        <w:t xml:space="preserve"> </w:t>
      </w:r>
      <w:proofErr w:type="spellStart"/>
      <w:r w:rsidR="00EE3AD0">
        <w:rPr>
          <w:rFonts w:ascii="David" w:hAnsi="David" w:cs="David" w:hint="cs"/>
          <w:sz w:val="24"/>
          <w:szCs w:val="24"/>
          <w:rtl/>
        </w:rPr>
        <w:t>שיקלול</w:t>
      </w:r>
      <w:proofErr w:type="spellEnd"/>
      <w:r w:rsidR="00EE3AD0">
        <w:rPr>
          <w:rFonts w:ascii="David" w:hAnsi="David" w:cs="David" w:hint="cs"/>
          <w:sz w:val="24"/>
          <w:szCs w:val="24"/>
          <w:rtl/>
        </w:rPr>
        <w:t xml:space="preserve"> </w:t>
      </w:r>
      <w:r w:rsidR="00864BDA">
        <w:rPr>
          <w:rFonts w:ascii="David" w:hAnsi="David" w:cs="David" w:hint="cs"/>
          <w:sz w:val="24"/>
          <w:szCs w:val="24"/>
          <w:rtl/>
        </w:rPr>
        <w:t>משופרת</w:t>
      </w:r>
      <w:r w:rsidR="00864BDA">
        <w:rPr>
          <w:rFonts w:ascii="David" w:hAnsi="David" w:cs="David" w:hint="cs"/>
          <w:sz w:val="24"/>
          <w:szCs w:val="24"/>
          <w:rtl/>
        </w:rPr>
        <w:t xml:space="preserve"> </w:t>
      </w:r>
      <w:r w:rsidR="00EE3AD0">
        <w:rPr>
          <w:rFonts w:ascii="David" w:hAnsi="David" w:cs="David" w:hint="cs"/>
          <w:sz w:val="24"/>
          <w:szCs w:val="24"/>
          <w:rtl/>
        </w:rPr>
        <w:t>כלשה</w:t>
      </w:r>
      <w:r w:rsidR="00864BDA">
        <w:rPr>
          <w:rFonts w:ascii="David" w:hAnsi="David" w:cs="David" w:hint="cs"/>
          <w:sz w:val="24"/>
          <w:szCs w:val="24"/>
          <w:rtl/>
        </w:rPr>
        <w:t>י</w:t>
      </w:r>
      <w:r w:rsidR="00EE3AD0">
        <w:rPr>
          <w:rFonts w:ascii="David" w:hAnsi="David" w:cs="David" w:hint="cs"/>
          <w:sz w:val="24"/>
          <w:szCs w:val="24"/>
          <w:rtl/>
        </w:rPr>
        <w:t xml:space="preserve">, </w:t>
      </w:r>
      <w:r>
        <w:rPr>
          <w:rFonts w:ascii="David" w:hAnsi="David" w:cs="David" w:hint="cs"/>
          <w:sz w:val="24"/>
          <w:szCs w:val="24"/>
          <w:rtl/>
        </w:rPr>
        <w:t>שהנהיגה הנציבות החל מ-1.1.2014</w:t>
      </w:r>
      <w:r w:rsidR="00EE3AD0">
        <w:rPr>
          <w:rFonts w:ascii="David" w:hAnsi="David" w:cs="David" w:hint="cs"/>
          <w:sz w:val="24"/>
          <w:szCs w:val="24"/>
          <w:rtl/>
        </w:rPr>
        <w:t>.</w:t>
      </w:r>
      <w:r>
        <w:rPr>
          <w:rFonts w:ascii="David" w:hAnsi="David" w:cs="David" w:hint="cs"/>
          <w:sz w:val="24"/>
          <w:szCs w:val="24"/>
          <w:rtl/>
        </w:rPr>
        <w:t xml:space="preserve"> </w:t>
      </w:r>
      <w:r w:rsidR="00EE3AD0">
        <w:rPr>
          <w:rFonts w:ascii="David" w:hAnsi="David" w:cs="David" w:hint="cs"/>
          <w:sz w:val="24"/>
          <w:szCs w:val="24"/>
          <w:rtl/>
        </w:rPr>
        <w:t xml:space="preserve">תשובת המדינה </w:t>
      </w:r>
      <w:proofErr w:type="spellStart"/>
      <w:r w:rsidR="00EE3AD0">
        <w:rPr>
          <w:rFonts w:ascii="David" w:hAnsi="David" w:cs="David" w:hint="cs"/>
          <w:sz w:val="24"/>
          <w:szCs w:val="24"/>
          <w:rtl/>
        </w:rPr>
        <w:t>מתיחסת</w:t>
      </w:r>
      <w:proofErr w:type="spellEnd"/>
      <w:r w:rsidR="00EE3AD0">
        <w:rPr>
          <w:rFonts w:ascii="David" w:hAnsi="David" w:cs="David" w:hint="cs"/>
          <w:sz w:val="24"/>
          <w:szCs w:val="24"/>
          <w:rtl/>
        </w:rPr>
        <w:t xml:space="preserve"> </w:t>
      </w:r>
      <w:proofErr w:type="spellStart"/>
      <w:r w:rsidR="00EE3AD0">
        <w:rPr>
          <w:rFonts w:ascii="David" w:hAnsi="David" w:cs="David" w:hint="cs"/>
          <w:sz w:val="24"/>
          <w:szCs w:val="24"/>
          <w:rtl/>
        </w:rPr>
        <w:t>איפוא</w:t>
      </w:r>
      <w:proofErr w:type="spellEnd"/>
      <w:r w:rsidR="00EE3AD0">
        <w:rPr>
          <w:rFonts w:ascii="David" w:hAnsi="David" w:cs="David" w:hint="cs"/>
          <w:sz w:val="24"/>
          <w:szCs w:val="24"/>
          <w:rtl/>
        </w:rPr>
        <w:t xml:space="preserve"> לשאלה שלא נשאלה כלל.</w:t>
      </w:r>
    </w:p>
    <w:p w14:paraId="524C8D42" w14:textId="4B1E42D2" w:rsidR="00FC445A" w:rsidRDefault="006C245D" w:rsidP="00FC445A">
      <w:pPr>
        <w:pStyle w:val="a3"/>
        <w:numPr>
          <w:ilvl w:val="0"/>
          <w:numId w:val="17"/>
        </w:numPr>
        <w:spacing w:after="0" w:line="360" w:lineRule="auto"/>
        <w:ind w:left="1230"/>
        <w:jc w:val="both"/>
        <w:rPr>
          <w:rFonts w:ascii="David" w:hAnsi="David" w:cs="David"/>
          <w:sz w:val="24"/>
          <w:szCs w:val="24"/>
        </w:rPr>
      </w:pPr>
      <w:bookmarkStart w:id="3" w:name="_Hlk126759151"/>
      <w:r>
        <w:rPr>
          <w:rFonts w:ascii="David" w:hAnsi="David" w:cs="David" w:hint="cs"/>
          <w:sz w:val="24"/>
          <w:szCs w:val="24"/>
          <w:rtl/>
        </w:rPr>
        <w:lastRenderedPageBreak/>
        <w:t xml:space="preserve">יודגש בהקשר זה כי </w:t>
      </w:r>
      <w:r w:rsidR="00421476" w:rsidRPr="006C245D">
        <w:rPr>
          <w:rFonts w:ascii="David" w:hAnsi="David" w:cs="David" w:hint="cs"/>
          <w:b/>
          <w:bCs/>
          <w:sz w:val="24"/>
          <w:szCs w:val="24"/>
          <w:rtl/>
        </w:rPr>
        <w:t>התובע מעולם</w:t>
      </w:r>
      <w:bookmarkEnd w:id="3"/>
      <w:r w:rsidR="00B33883" w:rsidRPr="006C245D">
        <w:rPr>
          <w:rFonts w:ascii="David" w:hAnsi="David" w:cs="David" w:hint="cs"/>
          <w:b/>
          <w:bCs/>
          <w:sz w:val="24"/>
          <w:szCs w:val="24"/>
          <w:rtl/>
        </w:rPr>
        <w:t xml:space="preserve"> </w:t>
      </w:r>
      <w:r w:rsidR="00F1389C" w:rsidRPr="006C245D">
        <w:rPr>
          <w:rFonts w:ascii="David" w:hAnsi="David" w:cs="David" w:hint="cs"/>
          <w:b/>
          <w:bCs/>
          <w:sz w:val="24"/>
          <w:szCs w:val="24"/>
          <w:rtl/>
        </w:rPr>
        <w:t>לא תבע</w:t>
      </w:r>
      <w:r w:rsidR="00B33883" w:rsidRPr="006C245D">
        <w:rPr>
          <w:rFonts w:ascii="David" w:hAnsi="David" w:cs="David" w:hint="cs"/>
          <w:b/>
          <w:bCs/>
          <w:sz w:val="24"/>
          <w:szCs w:val="24"/>
          <w:rtl/>
        </w:rPr>
        <w:t xml:space="preserve"> את האמור בסעיף 68 לכתב ההגנה</w:t>
      </w:r>
      <w:r w:rsidR="00B33883">
        <w:rPr>
          <w:rFonts w:ascii="David" w:hAnsi="David" w:cs="David" w:hint="cs"/>
          <w:sz w:val="24"/>
          <w:szCs w:val="24"/>
          <w:rtl/>
        </w:rPr>
        <w:t>. א</w:t>
      </w:r>
      <w:r w:rsidR="00421476">
        <w:rPr>
          <w:rFonts w:ascii="David" w:hAnsi="David" w:cs="David" w:hint="cs"/>
          <w:sz w:val="24"/>
          <w:szCs w:val="24"/>
          <w:rtl/>
        </w:rPr>
        <w:t>דרבא</w:t>
      </w:r>
      <w:r w:rsidR="002F02BF">
        <w:rPr>
          <w:rFonts w:ascii="David" w:hAnsi="David" w:cs="David" w:hint="cs"/>
          <w:sz w:val="24"/>
          <w:szCs w:val="24"/>
          <w:rtl/>
        </w:rPr>
        <w:t xml:space="preserve">, </w:t>
      </w:r>
      <w:r w:rsidR="00904E92">
        <w:rPr>
          <w:rFonts w:ascii="David" w:hAnsi="David" w:cs="David" w:hint="cs"/>
          <w:sz w:val="24"/>
          <w:szCs w:val="24"/>
          <w:rtl/>
        </w:rPr>
        <w:t xml:space="preserve">לא רק בכתב התביעה, כאמור </w:t>
      </w:r>
      <w:proofErr w:type="spellStart"/>
      <w:r w:rsidR="00904E92">
        <w:rPr>
          <w:rFonts w:ascii="David" w:hAnsi="David" w:cs="David" w:hint="cs"/>
          <w:sz w:val="24"/>
          <w:szCs w:val="24"/>
          <w:rtl/>
        </w:rPr>
        <w:t>בפיסקא</w:t>
      </w:r>
      <w:proofErr w:type="spellEnd"/>
      <w:r w:rsidR="00904E92">
        <w:rPr>
          <w:rFonts w:ascii="David" w:hAnsi="David" w:cs="David" w:hint="cs"/>
          <w:sz w:val="24"/>
          <w:szCs w:val="24"/>
          <w:rtl/>
        </w:rPr>
        <w:t xml:space="preserve"> 1לעיל, אלא בכל פניותיו לאורך השנים </w:t>
      </w:r>
      <w:r w:rsidR="002F02BF">
        <w:rPr>
          <w:rFonts w:ascii="David" w:hAnsi="David" w:cs="David" w:hint="cs"/>
          <w:sz w:val="24"/>
          <w:szCs w:val="24"/>
          <w:rtl/>
        </w:rPr>
        <w:t xml:space="preserve">חוזר </w:t>
      </w:r>
      <w:r w:rsidR="00904E92">
        <w:rPr>
          <w:rFonts w:ascii="David" w:hAnsi="David" w:cs="David" w:hint="cs"/>
          <w:sz w:val="24"/>
          <w:szCs w:val="24"/>
          <w:rtl/>
        </w:rPr>
        <w:t xml:space="preserve">התובע </w:t>
      </w:r>
      <w:r w:rsidR="002F02BF">
        <w:rPr>
          <w:rFonts w:ascii="David" w:hAnsi="David" w:cs="David" w:hint="cs"/>
          <w:sz w:val="24"/>
          <w:szCs w:val="24"/>
          <w:rtl/>
        </w:rPr>
        <w:t>שוב ושו</w:t>
      </w:r>
      <w:r w:rsidR="00B33883">
        <w:rPr>
          <w:rFonts w:ascii="David" w:hAnsi="David" w:cs="David" w:hint="cs"/>
          <w:sz w:val="24"/>
          <w:szCs w:val="24"/>
          <w:rtl/>
        </w:rPr>
        <w:t xml:space="preserve">ב </w:t>
      </w:r>
      <w:r w:rsidR="00864BDA">
        <w:rPr>
          <w:rFonts w:ascii="David" w:hAnsi="David" w:cs="David" w:hint="cs"/>
          <w:sz w:val="24"/>
          <w:szCs w:val="24"/>
          <w:rtl/>
        </w:rPr>
        <w:t>על ה</w:t>
      </w:r>
      <w:r w:rsidR="00904E92">
        <w:rPr>
          <w:rFonts w:ascii="David" w:hAnsi="David" w:cs="David" w:hint="cs"/>
          <w:sz w:val="24"/>
          <w:szCs w:val="24"/>
          <w:rtl/>
        </w:rPr>
        <w:t xml:space="preserve">דרישה </w:t>
      </w:r>
      <w:proofErr w:type="spellStart"/>
      <w:r w:rsidR="00904E92">
        <w:rPr>
          <w:rFonts w:ascii="David" w:hAnsi="David" w:cs="David" w:hint="cs"/>
          <w:sz w:val="24"/>
          <w:szCs w:val="24"/>
          <w:rtl/>
        </w:rPr>
        <w:t>שגימלתו</w:t>
      </w:r>
      <w:proofErr w:type="spellEnd"/>
      <w:r w:rsidR="00904E92">
        <w:rPr>
          <w:rFonts w:ascii="David" w:hAnsi="David" w:cs="David" w:hint="cs"/>
          <w:sz w:val="24"/>
          <w:szCs w:val="24"/>
          <w:rtl/>
        </w:rPr>
        <w:t xml:space="preserve"> לתקופת החוזה תחושב אך ורק לפי </w:t>
      </w:r>
      <w:r w:rsidR="00B33883">
        <w:rPr>
          <w:rFonts w:ascii="David" w:hAnsi="David" w:cs="David" w:hint="cs"/>
          <w:sz w:val="24"/>
          <w:szCs w:val="24"/>
          <w:rtl/>
        </w:rPr>
        <w:t>סעיף 12ב לחוזה</w:t>
      </w:r>
      <w:r w:rsidR="00864BDA">
        <w:rPr>
          <w:rFonts w:ascii="David" w:hAnsi="David" w:cs="David" w:hint="cs"/>
          <w:sz w:val="24"/>
          <w:szCs w:val="24"/>
          <w:rtl/>
        </w:rPr>
        <w:t>,</w:t>
      </w:r>
      <w:r w:rsidR="00B33883">
        <w:rPr>
          <w:rFonts w:ascii="David" w:hAnsi="David" w:cs="David" w:hint="cs"/>
          <w:sz w:val="24"/>
          <w:szCs w:val="24"/>
          <w:rtl/>
        </w:rPr>
        <w:t xml:space="preserve"> </w:t>
      </w:r>
      <w:r w:rsidR="00904E92">
        <w:rPr>
          <w:rFonts w:ascii="David" w:hAnsi="David" w:cs="David" w:hint="cs"/>
          <w:sz w:val="24"/>
          <w:szCs w:val="24"/>
          <w:rtl/>
        </w:rPr>
        <w:t xml:space="preserve">ללא שקלול כלשהו שאיננו מוזכר בחוזה או בחוק </w:t>
      </w:r>
      <w:proofErr w:type="spellStart"/>
      <w:r w:rsidR="00904E92">
        <w:rPr>
          <w:rFonts w:ascii="David" w:hAnsi="David" w:cs="David" w:hint="cs"/>
          <w:sz w:val="24"/>
          <w:szCs w:val="24"/>
          <w:rtl/>
        </w:rPr>
        <w:t>הגימלאות</w:t>
      </w:r>
      <w:proofErr w:type="spellEnd"/>
      <w:r w:rsidR="00FC445A">
        <w:rPr>
          <w:rFonts w:ascii="David" w:hAnsi="David" w:cs="David" w:hint="cs"/>
          <w:sz w:val="24"/>
          <w:szCs w:val="24"/>
          <w:rtl/>
        </w:rPr>
        <w:t>.</w:t>
      </w:r>
      <w:r w:rsidR="00904E92">
        <w:rPr>
          <w:rFonts w:ascii="David" w:hAnsi="David" w:cs="David" w:hint="cs"/>
          <w:sz w:val="24"/>
          <w:szCs w:val="24"/>
          <w:rtl/>
        </w:rPr>
        <w:t xml:space="preserve"> </w:t>
      </w:r>
    </w:p>
    <w:p w14:paraId="4EC916E5" w14:textId="77777777" w:rsidR="00FC445A" w:rsidRPr="00FC445A" w:rsidRDefault="00FC445A" w:rsidP="00FC445A">
      <w:pPr>
        <w:spacing w:after="0" w:line="360" w:lineRule="auto"/>
        <w:ind w:left="993"/>
        <w:jc w:val="both"/>
        <w:rPr>
          <w:rFonts w:ascii="David" w:hAnsi="David" w:cs="David"/>
          <w:sz w:val="10"/>
          <w:szCs w:val="10"/>
        </w:rPr>
      </w:pPr>
    </w:p>
    <w:p w14:paraId="2C0E7E60" w14:textId="2930CB91" w:rsidR="006D7C24" w:rsidRDefault="00214728" w:rsidP="00FC445A">
      <w:pPr>
        <w:pStyle w:val="a3"/>
        <w:numPr>
          <w:ilvl w:val="0"/>
          <w:numId w:val="18"/>
        </w:numPr>
        <w:spacing w:after="0" w:line="360" w:lineRule="auto"/>
        <w:ind w:left="509" w:hanging="141"/>
        <w:jc w:val="both"/>
        <w:rPr>
          <w:rFonts w:ascii="David" w:hAnsi="David" w:cs="David"/>
          <w:sz w:val="24"/>
          <w:szCs w:val="24"/>
        </w:rPr>
      </w:pPr>
      <w:r w:rsidRPr="00FC445A">
        <w:rPr>
          <w:rFonts w:ascii="David" w:hAnsi="David" w:cs="David" w:hint="cs"/>
          <w:sz w:val="24"/>
          <w:szCs w:val="24"/>
          <w:rtl/>
        </w:rPr>
        <w:t>כיון שנו</w:t>
      </w:r>
      <w:r w:rsidR="00F005E7" w:rsidRPr="00FC445A">
        <w:rPr>
          <w:rFonts w:ascii="David" w:hAnsi="David" w:cs="David" w:hint="cs"/>
          <w:sz w:val="24"/>
          <w:szCs w:val="24"/>
          <w:rtl/>
        </w:rPr>
        <w:t>ש</w:t>
      </w:r>
      <w:r w:rsidRPr="00FC445A">
        <w:rPr>
          <w:rFonts w:ascii="David" w:hAnsi="David" w:cs="David" w:hint="cs"/>
          <w:sz w:val="24"/>
          <w:szCs w:val="24"/>
          <w:rtl/>
        </w:rPr>
        <w:t xml:space="preserve">א זה נוגע לשאלת מחלוקת מרכזית בתיק זה </w:t>
      </w:r>
      <w:r w:rsidR="00FC445A">
        <w:rPr>
          <w:rFonts w:ascii="David" w:hAnsi="David" w:cs="David" w:hint="cs"/>
          <w:sz w:val="24"/>
          <w:szCs w:val="24"/>
          <w:rtl/>
        </w:rPr>
        <w:t>-</w:t>
      </w:r>
      <w:r w:rsidRPr="00FC445A">
        <w:rPr>
          <w:rFonts w:ascii="David" w:hAnsi="David" w:cs="David" w:hint="cs"/>
          <w:sz w:val="24"/>
          <w:szCs w:val="24"/>
          <w:rtl/>
        </w:rPr>
        <w:t xml:space="preserve"> כיצ</w:t>
      </w:r>
      <w:r w:rsidR="00F005E7" w:rsidRPr="00FC445A">
        <w:rPr>
          <w:rFonts w:ascii="David" w:hAnsi="David" w:cs="David" w:hint="cs"/>
          <w:sz w:val="24"/>
          <w:szCs w:val="24"/>
          <w:rtl/>
        </w:rPr>
        <w:t>ד</w:t>
      </w:r>
      <w:r w:rsidRPr="00FC445A">
        <w:rPr>
          <w:rFonts w:ascii="David" w:hAnsi="David" w:cs="David" w:hint="cs"/>
          <w:sz w:val="24"/>
          <w:szCs w:val="24"/>
          <w:rtl/>
        </w:rPr>
        <w:t xml:space="preserve"> היה צורך לחשב את </w:t>
      </w:r>
      <w:proofErr w:type="spellStart"/>
      <w:r w:rsidRPr="00FC445A">
        <w:rPr>
          <w:rFonts w:ascii="David" w:hAnsi="David" w:cs="David" w:hint="cs"/>
          <w:sz w:val="24"/>
          <w:szCs w:val="24"/>
          <w:rtl/>
        </w:rPr>
        <w:t>גימלת</w:t>
      </w:r>
      <w:proofErr w:type="spellEnd"/>
      <w:r w:rsidRPr="00FC445A">
        <w:rPr>
          <w:rFonts w:ascii="David" w:hAnsi="David" w:cs="David" w:hint="cs"/>
          <w:sz w:val="24"/>
          <w:szCs w:val="24"/>
          <w:rtl/>
        </w:rPr>
        <w:t xml:space="preserve"> התובע,  מתבקש כב' בית הדין להורות לב"כ הנתבעים לתקן את </w:t>
      </w:r>
      <w:r w:rsidR="00F005E7" w:rsidRPr="00FC445A">
        <w:rPr>
          <w:rFonts w:ascii="David" w:hAnsi="David" w:cs="David" w:hint="cs"/>
          <w:sz w:val="24"/>
          <w:szCs w:val="24"/>
          <w:rtl/>
        </w:rPr>
        <w:t>ת</w:t>
      </w:r>
      <w:r w:rsidRPr="00FC445A">
        <w:rPr>
          <w:rFonts w:ascii="David" w:hAnsi="David" w:cs="David" w:hint="cs"/>
          <w:sz w:val="24"/>
          <w:szCs w:val="24"/>
          <w:rtl/>
        </w:rPr>
        <w:t>שובתה בהתאם לנתונים הנכונים שנתבקשו.</w:t>
      </w:r>
    </w:p>
    <w:p w14:paraId="4FFE4DB5" w14:textId="77777777" w:rsidR="00925330" w:rsidRPr="00925330" w:rsidRDefault="00925330" w:rsidP="00925330">
      <w:pPr>
        <w:pStyle w:val="a3"/>
        <w:spacing w:after="0" w:line="360" w:lineRule="auto"/>
        <w:ind w:left="509"/>
        <w:jc w:val="both"/>
        <w:rPr>
          <w:rFonts w:ascii="David" w:hAnsi="David" w:cs="David"/>
          <w:sz w:val="10"/>
          <w:szCs w:val="10"/>
        </w:rPr>
      </w:pPr>
    </w:p>
    <w:p w14:paraId="50B263D9" w14:textId="26370E6A" w:rsidR="00214728" w:rsidRPr="00925330" w:rsidRDefault="00925330" w:rsidP="00925330">
      <w:pPr>
        <w:pStyle w:val="a3"/>
        <w:numPr>
          <w:ilvl w:val="0"/>
          <w:numId w:val="18"/>
        </w:numPr>
        <w:spacing w:after="0" w:line="360" w:lineRule="auto"/>
        <w:ind w:left="509" w:hanging="141"/>
        <w:jc w:val="both"/>
        <w:rPr>
          <w:rFonts w:ascii="David" w:hAnsi="David" w:cs="David"/>
          <w:sz w:val="24"/>
          <w:szCs w:val="24"/>
        </w:rPr>
      </w:pPr>
      <w:r w:rsidRPr="00925330">
        <w:rPr>
          <w:rFonts w:ascii="David" w:hAnsi="David" w:cs="David" w:hint="cs"/>
          <w:sz w:val="24"/>
          <w:szCs w:val="24"/>
          <w:rtl/>
        </w:rPr>
        <w:t xml:space="preserve">  </w:t>
      </w:r>
      <w:r w:rsidR="00214728" w:rsidRPr="00925330">
        <w:rPr>
          <w:rFonts w:ascii="David" w:hAnsi="David" w:cs="David" w:hint="cs"/>
          <w:sz w:val="24"/>
          <w:szCs w:val="24"/>
          <w:rtl/>
        </w:rPr>
        <w:t xml:space="preserve">כיון שנושא זה, מה המסמך שעל פיו היה צריך לקבוע את גובה </w:t>
      </w:r>
      <w:proofErr w:type="spellStart"/>
      <w:r w:rsidR="00214728" w:rsidRPr="00925330">
        <w:rPr>
          <w:rFonts w:ascii="David" w:hAnsi="David" w:cs="David" w:hint="cs"/>
          <w:sz w:val="24"/>
          <w:szCs w:val="24"/>
          <w:rtl/>
        </w:rPr>
        <w:t>גימלתו</w:t>
      </w:r>
      <w:proofErr w:type="spellEnd"/>
      <w:r w:rsidR="00214728" w:rsidRPr="00925330">
        <w:rPr>
          <w:rFonts w:ascii="David" w:hAnsi="David" w:cs="David" w:hint="cs"/>
          <w:sz w:val="24"/>
          <w:szCs w:val="24"/>
          <w:rtl/>
        </w:rPr>
        <w:t xml:space="preserve"> של התובע, הוא נושא מרכזי בתיק, מתבקש כב' בית הדין לאפשר לתובע להשיב על הטענות בכתב ההגנה בנושא זה באחת משתי הדרכים:</w:t>
      </w:r>
    </w:p>
    <w:p w14:paraId="451993C4" w14:textId="4553E2F9" w:rsidR="00214728" w:rsidRDefault="00214728" w:rsidP="00214728">
      <w:pPr>
        <w:pStyle w:val="a3"/>
        <w:numPr>
          <w:ilvl w:val="0"/>
          <w:numId w:val="15"/>
        </w:numPr>
        <w:spacing w:after="0" w:line="360" w:lineRule="auto"/>
        <w:jc w:val="both"/>
        <w:rPr>
          <w:rFonts w:ascii="David" w:hAnsi="David" w:cs="David"/>
          <w:sz w:val="24"/>
          <w:szCs w:val="24"/>
        </w:rPr>
      </w:pPr>
      <w:r>
        <w:rPr>
          <w:rFonts w:ascii="David" w:hAnsi="David" w:cs="David" w:hint="cs"/>
          <w:sz w:val="24"/>
          <w:szCs w:val="24"/>
          <w:rtl/>
        </w:rPr>
        <w:t>להתיר הגשת כתב תשובה בנושא זה.</w:t>
      </w:r>
    </w:p>
    <w:p w14:paraId="3E3749EB" w14:textId="6D3E7A90" w:rsidR="00214728" w:rsidRDefault="00214728" w:rsidP="00214728">
      <w:pPr>
        <w:pStyle w:val="a3"/>
        <w:numPr>
          <w:ilvl w:val="0"/>
          <w:numId w:val="15"/>
        </w:numPr>
        <w:spacing w:after="0" w:line="360" w:lineRule="auto"/>
        <w:jc w:val="both"/>
        <w:rPr>
          <w:rFonts w:ascii="David" w:hAnsi="David" w:cs="David"/>
          <w:sz w:val="24"/>
          <w:szCs w:val="24"/>
        </w:rPr>
      </w:pPr>
      <w:r>
        <w:rPr>
          <w:rFonts w:ascii="David" w:hAnsi="David" w:cs="David" w:hint="cs"/>
          <w:sz w:val="24"/>
          <w:szCs w:val="24"/>
          <w:rtl/>
        </w:rPr>
        <w:t>לאפשר לתובע להציג את טיעוניו בנושא זה בקדם המשפט הקרוב.</w:t>
      </w:r>
    </w:p>
    <w:p w14:paraId="5A695CC9" w14:textId="75193E41" w:rsidR="00214728" w:rsidRDefault="00214728" w:rsidP="00001451">
      <w:pPr>
        <w:pStyle w:val="a3"/>
        <w:numPr>
          <w:ilvl w:val="0"/>
          <w:numId w:val="16"/>
        </w:numPr>
        <w:spacing w:after="0" w:line="360" w:lineRule="auto"/>
        <w:jc w:val="both"/>
        <w:rPr>
          <w:rFonts w:ascii="David" w:hAnsi="David" w:cs="David"/>
          <w:sz w:val="24"/>
          <w:szCs w:val="24"/>
        </w:rPr>
      </w:pPr>
      <w:r>
        <w:rPr>
          <w:rFonts w:ascii="David" w:hAnsi="David" w:cs="David" w:hint="cs"/>
          <w:sz w:val="24"/>
          <w:szCs w:val="24"/>
          <w:rtl/>
        </w:rPr>
        <w:t>בכל מקרה מתבקשת בהקדם תשובה מעודכנת ומתוקנת של המדינה לשאלה הראשונה שהוצגה בפניה.</w:t>
      </w:r>
    </w:p>
    <w:p w14:paraId="7E5A59C8" w14:textId="38C36D32" w:rsidR="006D7C24" w:rsidRDefault="006D7C24" w:rsidP="006D7C24">
      <w:pPr>
        <w:spacing w:after="0" w:line="360" w:lineRule="auto"/>
        <w:jc w:val="both"/>
        <w:rPr>
          <w:rFonts w:ascii="David" w:hAnsi="David" w:cs="David"/>
          <w:sz w:val="24"/>
          <w:szCs w:val="24"/>
          <w:rtl/>
        </w:rPr>
      </w:pPr>
    </w:p>
    <w:p w14:paraId="3C40F367" w14:textId="77777777" w:rsidR="006D7C24" w:rsidRPr="006D7C24" w:rsidRDefault="006D7C24" w:rsidP="006D7C24">
      <w:pPr>
        <w:spacing w:after="0" w:line="360" w:lineRule="auto"/>
        <w:jc w:val="both"/>
        <w:rPr>
          <w:rFonts w:ascii="David" w:hAnsi="David" w:cs="David"/>
          <w:sz w:val="24"/>
          <w:szCs w:val="24"/>
        </w:rPr>
      </w:pPr>
    </w:p>
    <w:p w14:paraId="48634DC3" w14:textId="729910D6" w:rsidR="00B02EB3" w:rsidRDefault="00B02EB3" w:rsidP="00B02EB3">
      <w:pPr>
        <w:spacing w:after="0" w:line="360" w:lineRule="auto"/>
        <w:jc w:val="both"/>
      </w:pPr>
      <w:r>
        <w:rPr>
          <w:noProof/>
        </w:rPr>
        <w:drawing>
          <wp:anchor distT="0" distB="0" distL="114300" distR="114300" simplePos="0" relativeHeight="251659264" behindDoc="0" locked="0" layoutInCell="1" allowOverlap="1" wp14:anchorId="188CEFD6" wp14:editId="5A2D4486">
            <wp:simplePos x="0" y="0"/>
            <wp:positionH relativeFrom="column">
              <wp:posOffset>422275</wp:posOffset>
            </wp:positionH>
            <wp:positionV relativeFrom="paragraph">
              <wp:posOffset>156845</wp:posOffset>
            </wp:positionV>
            <wp:extent cx="1352550" cy="742950"/>
            <wp:effectExtent l="0" t="0" r="0" b="0"/>
            <wp:wrapNone/>
            <wp:docPr id="2" name="תמונה 1" descr="חתימ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חתימה"/>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52550" cy="742950"/>
                    </a:xfrm>
                    <a:prstGeom prst="rect">
                      <a:avLst/>
                    </a:prstGeom>
                    <a:noFill/>
                  </pic:spPr>
                </pic:pic>
              </a:graphicData>
            </a:graphic>
            <wp14:sizeRelH relativeFrom="page">
              <wp14:pctWidth>0</wp14:pctWidth>
            </wp14:sizeRelH>
            <wp14:sizeRelV relativeFrom="page">
              <wp14:pctHeight>0</wp14:pctHeight>
            </wp14:sizeRelV>
          </wp:anchor>
        </w:drawing>
      </w:r>
    </w:p>
    <w:p w14:paraId="0040BFFE" w14:textId="01B510BA" w:rsidR="00B02EB3" w:rsidRDefault="00B02EB3" w:rsidP="00B02EB3">
      <w:pPr>
        <w:spacing w:after="0" w:line="360" w:lineRule="auto"/>
        <w:jc w:val="both"/>
        <w:rPr>
          <w:rtl/>
        </w:rPr>
      </w:pPr>
    </w:p>
    <w:p w14:paraId="0D986570" w14:textId="199A274D" w:rsidR="00B02EB3" w:rsidRPr="00F90EBA" w:rsidRDefault="00B02EB3" w:rsidP="00B02EB3">
      <w:pPr>
        <w:spacing w:after="0" w:line="360" w:lineRule="auto"/>
        <w:jc w:val="both"/>
        <w:rPr>
          <w:rtl/>
        </w:rPr>
      </w:pPr>
      <w:r>
        <w:rPr>
          <w:noProof/>
          <w:rtl/>
          <w:lang w:val="he-IL"/>
        </w:rPr>
        <mc:AlternateContent>
          <mc:Choice Requires="wps">
            <w:drawing>
              <wp:anchor distT="0" distB="0" distL="114300" distR="114300" simplePos="0" relativeHeight="251660288" behindDoc="0" locked="0" layoutInCell="1" allowOverlap="1" wp14:anchorId="56FCBF84" wp14:editId="3E22C099">
                <wp:simplePos x="0" y="0"/>
                <wp:positionH relativeFrom="column">
                  <wp:posOffset>356235</wp:posOffset>
                </wp:positionH>
                <wp:positionV relativeFrom="paragraph">
                  <wp:posOffset>177165</wp:posOffset>
                </wp:positionV>
                <wp:extent cx="1417955" cy="0"/>
                <wp:effectExtent l="0" t="0" r="0" b="0"/>
                <wp:wrapNone/>
                <wp:docPr id="1" name="מחבר ישר 1"/>
                <wp:cNvGraphicFramePr/>
                <a:graphic xmlns:a="http://schemas.openxmlformats.org/drawingml/2006/main">
                  <a:graphicData uri="http://schemas.microsoft.com/office/word/2010/wordprocessingShape">
                    <wps:wsp>
                      <wps:cNvCnPr/>
                      <wps:spPr>
                        <a:xfrm>
                          <a:off x="0" y="0"/>
                          <a:ext cx="14179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98903D" id="מחבר ישר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05pt,13.95pt" to="139.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" strokecolor="#4579b8 [3044]"/>
            </w:pict>
          </mc:Fallback>
        </mc:AlternateContent>
      </w:r>
    </w:p>
    <w:p w14:paraId="2A6CB3A3" w14:textId="75926008" w:rsidR="009B5E2F" w:rsidRPr="00D641D5" w:rsidRDefault="009B5E2F" w:rsidP="00D641D5">
      <w:pPr>
        <w:pStyle w:val="a3"/>
        <w:ind w:left="5400" w:firstLine="360"/>
        <w:rPr>
          <w:rFonts w:ascii="David" w:hAnsi="David" w:cs="David"/>
          <w:b/>
          <w:bCs/>
          <w:rtl/>
        </w:rPr>
      </w:pPr>
      <w:r w:rsidRPr="00D641D5">
        <w:rPr>
          <w:rFonts w:ascii="David" w:hAnsi="David" w:cs="David"/>
          <w:b/>
          <w:bCs/>
          <w:rtl/>
        </w:rPr>
        <w:t xml:space="preserve">עו"ד יעקב </w:t>
      </w:r>
      <w:proofErr w:type="spellStart"/>
      <w:r w:rsidRPr="00D641D5">
        <w:rPr>
          <w:rFonts w:ascii="David" w:hAnsi="David" w:cs="David"/>
          <w:b/>
          <w:bCs/>
          <w:rtl/>
        </w:rPr>
        <w:t>חסדאי</w:t>
      </w:r>
      <w:proofErr w:type="spellEnd"/>
    </w:p>
    <w:p w14:paraId="273432C8" w14:textId="30C91C3E" w:rsidR="009B5E2F" w:rsidRPr="00D641D5" w:rsidRDefault="009B5E2F" w:rsidP="00D641D5">
      <w:pPr>
        <w:pStyle w:val="a3"/>
        <w:ind w:left="6120"/>
        <w:rPr>
          <w:rFonts w:ascii="David" w:hAnsi="David" w:cs="David"/>
          <w:b/>
          <w:bCs/>
          <w:rtl/>
        </w:rPr>
      </w:pPr>
      <w:r w:rsidRPr="00D641D5">
        <w:rPr>
          <w:rFonts w:ascii="David" w:hAnsi="David" w:cs="David"/>
          <w:b/>
          <w:bCs/>
          <w:rtl/>
        </w:rPr>
        <w:t>ב"כ התובע</w:t>
      </w:r>
    </w:p>
    <w:sectPr w:rsidR="009B5E2F" w:rsidRPr="00D641D5" w:rsidSect="004B773C">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100F3" w14:textId="77777777" w:rsidR="00A9466E" w:rsidRDefault="00A9466E" w:rsidP="00F25091">
      <w:pPr>
        <w:spacing w:after="0" w:line="240" w:lineRule="auto"/>
      </w:pPr>
      <w:r>
        <w:separator/>
      </w:r>
    </w:p>
  </w:endnote>
  <w:endnote w:type="continuationSeparator" w:id="0">
    <w:p w14:paraId="52C208C4" w14:textId="77777777" w:rsidR="00A9466E" w:rsidRDefault="00A9466E" w:rsidP="00F25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79842243"/>
      <w:docPartObj>
        <w:docPartGallery w:val="Page Numbers (Bottom of Page)"/>
        <w:docPartUnique/>
      </w:docPartObj>
    </w:sdtPr>
    <w:sdtContent>
      <w:p w14:paraId="7297BB3B" w14:textId="306D7CAD" w:rsidR="00F25091" w:rsidRDefault="00F25091">
        <w:pPr>
          <w:pStyle w:val="a6"/>
          <w:jc w:val="center"/>
        </w:pPr>
        <w:r>
          <w:fldChar w:fldCharType="begin"/>
        </w:r>
        <w:r>
          <w:instrText>PAGE   \* MERGEFORMAT</w:instrText>
        </w:r>
        <w:r>
          <w:fldChar w:fldCharType="separate"/>
        </w:r>
        <w:r>
          <w:rPr>
            <w:rtl/>
            <w:lang w:val="he-IL"/>
          </w:rPr>
          <w:t>2</w:t>
        </w:r>
        <w:r>
          <w:fldChar w:fldCharType="end"/>
        </w:r>
      </w:p>
    </w:sdtContent>
  </w:sdt>
  <w:p w14:paraId="29FB796B" w14:textId="77777777" w:rsidR="00F25091" w:rsidRDefault="00F250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752F5" w14:textId="77777777" w:rsidR="00A9466E" w:rsidRDefault="00A9466E" w:rsidP="00F25091">
      <w:pPr>
        <w:spacing w:after="0" w:line="240" w:lineRule="auto"/>
      </w:pPr>
      <w:r>
        <w:separator/>
      </w:r>
    </w:p>
  </w:footnote>
  <w:footnote w:type="continuationSeparator" w:id="0">
    <w:p w14:paraId="712FAA19" w14:textId="77777777" w:rsidR="00A9466E" w:rsidRDefault="00A9466E" w:rsidP="00F25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6650"/>
    <w:multiLevelType w:val="hybridMultilevel"/>
    <w:tmpl w:val="7FEE461C"/>
    <w:lvl w:ilvl="0" w:tplc="C078354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3E347F"/>
    <w:multiLevelType w:val="hybridMultilevel"/>
    <w:tmpl w:val="E076CE42"/>
    <w:lvl w:ilvl="0" w:tplc="F9C4A13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B610AF"/>
    <w:multiLevelType w:val="hybridMultilevel"/>
    <w:tmpl w:val="88C6A3C2"/>
    <w:lvl w:ilvl="0" w:tplc="DF8A65A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D81BA3"/>
    <w:multiLevelType w:val="hybridMultilevel"/>
    <w:tmpl w:val="CB109D00"/>
    <w:lvl w:ilvl="0" w:tplc="BC686248">
      <w:start w:val="1"/>
      <w:numFmt w:val="decimal"/>
      <w:lvlText w:val="%1."/>
      <w:lvlJc w:val="left"/>
      <w:pPr>
        <w:ind w:left="1153" w:hanging="360"/>
      </w:pPr>
      <w:rPr>
        <w:rFonts w:hint="default"/>
      </w:rPr>
    </w:lvl>
    <w:lvl w:ilvl="1" w:tplc="04090019" w:tentative="1">
      <w:start w:val="1"/>
      <w:numFmt w:val="lowerLetter"/>
      <w:lvlText w:val="%2."/>
      <w:lvlJc w:val="left"/>
      <w:pPr>
        <w:ind w:left="1873" w:hanging="360"/>
      </w:pPr>
    </w:lvl>
    <w:lvl w:ilvl="2" w:tplc="0409001B" w:tentative="1">
      <w:start w:val="1"/>
      <w:numFmt w:val="lowerRoman"/>
      <w:lvlText w:val="%3."/>
      <w:lvlJc w:val="right"/>
      <w:pPr>
        <w:ind w:left="2593" w:hanging="180"/>
      </w:pPr>
    </w:lvl>
    <w:lvl w:ilvl="3" w:tplc="0409000F" w:tentative="1">
      <w:start w:val="1"/>
      <w:numFmt w:val="decimal"/>
      <w:lvlText w:val="%4."/>
      <w:lvlJc w:val="left"/>
      <w:pPr>
        <w:ind w:left="3313" w:hanging="360"/>
      </w:pPr>
    </w:lvl>
    <w:lvl w:ilvl="4" w:tplc="04090019" w:tentative="1">
      <w:start w:val="1"/>
      <w:numFmt w:val="lowerLetter"/>
      <w:lvlText w:val="%5."/>
      <w:lvlJc w:val="left"/>
      <w:pPr>
        <w:ind w:left="4033" w:hanging="360"/>
      </w:pPr>
    </w:lvl>
    <w:lvl w:ilvl="5" w:tplc="0409001B" w:tentative="1">
      <w:start w:val="1"/>
      <w:numFmt w:val="lowerRoman"/>
      <w:lvlText w:val="%6."/>
      <w:lvlJc w:val="right"/>
      <w:pPr>
        <w:ind w:left="4753" w:hanging="180"/>
      </w:pPr>
    </w:lvl>
    <w:lvl w:ilvl="6" w:tplc="0409000F" w:tentative="1">
      <w:start w:val="1"/>
      <w:numFmt w:val="decimal"/>
      <w:lvlText w:val="%7."/>
      <w:lvlJc w:val="left"/>
      <w:pPr>
        <w:ind w:left="5473" w:hanging="360"/>
      </w:pPr>
    </w:lvl>
    <w:lvl w:ilvl="7" w:tplc="04090019" w:tentative="1">
      <w:start w:val="1"/>
      <w:numFmt w:val="lowerLetter"/>
      <w:lvlText w:val="%8."/>
      <w:lvlJc w:val="left"/>
      <w:pPr>
        <w:ind w:left="6193" w:hanging="360"/>
      </w:pPr>
    </w:lvl>
    <w:lvl w:ilvl="8" w:tplc="0409001B" w:tentative="1">
      <w:start w:val="1"/>
      <w:numFmt w:val="lowerRoman"/>
      <w:lvlText w:val="%9."/>
      <w:lvlJc w:val="right"/>
      <w:pPr>
        <w:ind w:left="6913" w:hanging="180"/>
      </w:pPr>
    </w:lvl>
  </w:abstractNum>
  <w:abstractNum w:abstractNumId="4" w15:restartNumberingAfterBreak="0">
    <w:nsid w:val="2F9A5EFF"/>
    <w:multiLevelType w:val="hybridMultilevel"/>
    <w:tmpl w:val="4BBCCFE2"/>
    <w:lvl w:ilvl="0" w:tplc="34B465EA">
      <w:start w:val="1"/>
      <w:numFmt w:val="decimal"/>
      <w:lvlText w:val="%1."/>
      <w:lvlJc w:val="left"/>
      <w:pPr>
        <w:ind w:left="1353"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5" w15:restartNumberingAfterBreak="0">
    <w:nsid w:val="33866C0D"/>
    <w:multiLevelType w:val="hybridMultilevel"/>
    <w:tmpl w:val="446444E8"/>
    <w:lvl w:ilvl="0" w:tplc="E6806578">
      <w:start w:val="1"/>
      <w:numFmt w:val="hebrew1"/>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6" w15:restartNumberingAfterBreak="0">
    <w:nsid w:val="3B35304C"/>
    <w:multiLevelType w:val="hybridMultilevel"/>
    <w:tmpl w:val="03A67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39044E"/>
    <w:multiLevelType w:val="hybridMultilevel"/>
    <w:tmpl w:val="F0B2762C"/>
    <w:lvl w:ilvl="0" w:tplc="164CE65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0D5C0D"/>
    <w:multiLevelType w:val="hybridMultilevel"/>
    <w:tmpl w:val="811229E0"/>
    <w:lvl w:ilvl="0" w:tplc="1B968BCC">
      <w:start w:val="1"/>
      <w:numFmt w:val="hebrew1"/>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9" w15:restartNumberingAfterBreak="0">
    <w:nsid w:val="516E2703"/>
    <w:multiLevelType w:val="hybridMultilevel"/>
    <w:tmpl w:val="18B678F8"/>
    <w:lvl w:ilvl="0" w:tplc="41524BA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1FD1F4D"/>
    <w:multiLevelType w:val="hybridMultilevel"/>
    <w:tmpl w:val="8D4E596C"/>
    <w:lvl w:ilvl="0" w:tplc="678CDCA0">
      <w:start w:val="1"/>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1" w15:restartNumberingAfterBreak="0">
    <w:nsid w:val="5C0626E9"/>
    <w:multiLevelType w:val="hybridMultilevel"/>
    <w:tmpl w:val="C9ECF0E2"/>
    <w:lvl w:ilvl="0" w:tplc="E9BEE03A">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2" w15:restartNumberingAfterBreak="0">
    <w:nsid w:val="5ECA3B96"/>
    <w:multiLevelType w:val="hybridMultilevel"/>
    <w:tmpl w:val="350C6E50"/>
    <w:lvl w:ilvl="0" w:tplc="60946CAC">
      <w:start w:val="1"/>
      <w:numFmt w:val="hebrew1"/>
      <w:lvlText w:val="%1."/>
      <w:lvlJc w:val="left"/>
      <w:pPr>
        <w:ind w:left="804" w:hanging="360"/>
      </w:pPr>
      <w:rPr>
        <w:rFonts w:hint="default"/>
        <w:b/>
        <w:bCs w:val="0"/>
        <w:u w:val="none"/>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3" w15:restartNumberingAfterBreak="0">
    <w:nsid w:val="6C222825"/>
    <w:multiLevelType w:val="hybridMultilevel"/>
    <w:tmpl w:val="F1F2809A"/>
    <w:lvl w:ilvl="0" w:tplc="5EDC74B6">
      <w:start w:val="1"/>
      <w:numFmt w:val="hebrew1"/>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4" w15:restartNumberingAfterBreak="0">
    <w:nsid w:val="6E017D80"/>
    <w:multiLevelType w:val="hybridMultilevel"/>
    <w:tmpl w:val="B35C7642"/>
    <w:lvl w:ilvl="0" w:tplc="4C7C8C08">
      <w:start w:val="1"/>
      <w:numFmt w:val="hebrew1"/>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5" w15:restartNumberingAfterBreak="0">
    <w:nsid w:val="722C6551"/>
    <w:multiLevelType w:val="hybridMultilevel"/>
    <w:tmpl w:val="23248FE8"/>
    <w:lvl w:ilvl="0" w:tplc="519085AE">
      <w:start w:val="1"/>
      <w:numFmt w:val="decimal"/>
      <w:lvlText w:val="%1."/>
      <w:lvlJc w:val="left"/>
      <w:pPr>
        <w:ind w:left="444" w:hanging="360"/>
      </w:pPr>
      <w:rPr>
        <w:rFonts w:hint="default"/>
        <w:b w:val="0"/>
        <w:bCs w:val="0"/>
      </w:rPr>
    </w:lvl>
    <w:lvl w:ilvl="1" w:tplc="04090019">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6" w15:restartNumberingAfterBreak="0">
    <w:nsid w:val="7254618F"/>
    <w:multiLevelType w:val="hybridMultilevel"/>
    <w:tmpl w:val="BBB49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E17589"/>
    <w:multiLevelType w:val="hybridMultilevel"/>
    <w:tmpl w:val="B14C2F30"/>
    <w:lvl w:ilvl="0" w:tplc="9F9C9F06">
      <w:start w:val="5"/>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7190669">
    <w:abstractNumId w:val="1"/>
  </w:num>
  <w:num w:numId="2" w16cid:durableId="71586552">
    <w:abstractNumId w:val="7"/>
  </w:num>
  <w:num w:numId="3" w16cid:durableId="1002471266">
    <w:abstractNumId w:val="2"/>
  </w:num>
  <w:num w:numId="4" w16cid:durableId="2104646365">
    <w:abstractNumId w:val="15"/>
  </w:num>
  <w:num w:numId="5" w16cid:durableId="1694263330">
    <w:abstractNumId w:val="14"/>
  </w:num>
  <w:num w:numId="6" w16cid:durableId="1905020892">
    <w:abstractNumId w:val="0"/>
  </w:num>
  <w:num w:numId="7" w16cid:durableId="1096900745">
    <w:abstractNumId w:val="13"/>
  </w:num>
  <w:num w:numId="8" w16cid:durableId="378941115">
    <w:abstractNumId w:val="10"/>
  </w:num>
  <w:num w:numId="9" w16cid:durableId="502862701">
    <w:abstractNumId w:val="8"/>
  </w:num>
  <w:num w:numId="10" w16cid:durableId="1701275721">
    <w:abstractNumId w:val="12"/>
  </w:num>
  <w:num w:numId="11" w16cid:durableId="1071152884">
    <w:abstractNumId w:val="3"/>
  </w:num>
  <w:num w:numId="12" w16cid:durableId="1455754251">
    <w:abstractNumId w:val="5"/>
  </w:num>
  <w:num w:numId="13" w16cid:durableId="140317571">
    <w:abstractNumId w:val="16"/>
  </w:num>
  <w:num w:numId="14" w16cid:durableId="953560872">
    <w:abstractNumId w:val="6"/>
  </w:num>
  <w:num w:numId="15" w16cid:durableId="2048867627">
    <w:abstractNumId w:val="9"/>
  </w:num>
  <w:num w:numId="16" w16cid:durableId="404306073">
    <w:abstractNumId w:val="11"/>
  </w:num>
  <w:num w:numId="17" w16cid:durableId="2087530322">
    <w:abstractNumId w:val="4"/>
  </w:num>
  <w:num w:numId="18" w16cid:durableId="7264155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3E"/>
    <w:rsid w:val="00001451"/>
    <w:rsid w:val="0000650B"/>
    <w:rsid w:val="00011138"/>
    <w:rsid w:val="00012508"/>
    <w:rsid w:val="00013A7A"/>
    <w:rsid w:val="0003627F"/>
    <w:rsid w:val="00036485"/>
    <w:rsid w:val="00046536"/>
    <w:rsid w:val="000A30D4"/>
    <w:rsid w:val="000B72BC"/>
    <w:rsid w:val="000C73E1"/>
    <w:rsid w:val="000E583A"/>
    <w:rsid w:val="000E68F4"/>
    <w:rsid w:val="000E7391"/>
    <w:rsid w:val="000F4B53"/>
    <w:rsid w:val="000F4D9F"/>
    <w:rsid w:val="00104DAA"/>
    <w:rsid w:val="0011087B"/>
    <w:rsid w:val="00112E04"/>
    <w:rsid w:val="001239C9"/>
    <w:rsid w:val="0014026F"/>
    <w:rsid w:val="0014718A"/>
    <w:rsid w:val="0016336B"/>
    <w:rsid w:val="00165ACF"/>
    <w:rsid w:val="00175725"/>
    <w:rsid w:val="001A1C3A"/>
    <w:rsid w:val="001B0264"/>
    <w:rsid w:val="001B479E"/>
    <w:rsid w:val="001C58CA"/>
    <w:rsid w:val="00202AA5"/>
    <w:rsid w:val="00205B1E"/>
    <w:rsid w:val="00214728"/>
    <w:rsid w:val="00225E70"/>
    <w:rsid w:val="00230A36"/>
    <w:rsid w:val="00241362"/>
    <w:rsid w:val="002443EF"/>
    <w:rsid w:val="00244EE7"/>
    <w:rsid w:val="00283E9F"/>
    <w:rsid w:val="002974AC"/>
    <w:rsid w:val="002A156A"/>
    <w:rsid w:val="002B254C"/>
    <w:rsid w:val="002D2EAB"/>
    <w:rsid w:val="002D73C3"/>
    <w:rsid w:val="002F02BF"/>
    <w:rsid w:val="00311F0C"/>
    <w:rsid w:val="00314E9F"/>
    <w:rsid w:val="00323B71"/>
    <w:rsid w:val="00334513"/>
    <w:rsid w:val="00342DE6"/>
    <w:rsid w:val="00352AF4"/>
    <w:rsid w:val="00355269"/>
    <w:rsid w:val="00364350"/>
    <w:rsid w:val="0037502D"/>
    <w:rsid w:val="00386BEA"/>
    <w:rsid w:val="003879CA"/>
    <w:rsid w:val="0039035D"/>
    <w:rsid w:val="003B2A8B"/>
    <w:rsid w:val="003E5F8F"/>
    <w:rsid w:val="003F326B"/>
    <w:rsid w:val="003F45E3"/>
    <w:rsid w:val="00403FC1"/>
    <w:rsid w:val="00421476"/>
    <w:rsid w:val="00421C83"/>
    <w:rsid w:val="00437C1F"/>
    <w:rsid w:val="00440070"/>
    <w:rsid w:val="00443EA4"/>
    <w:rsid w:val="004572B5"/>
    <w:rsid w:val="00471224"/>
    <w:rsid w:val="0047742B"/>
    <w:rsid w:val="0049088C"/>
    <w:rsid w:val="00491703"/>
    <w:rsid w:val="004924C6"/>
    <w:rsid w:val="004B773C"/>
    <w:rsid w:val="004B7D68"/>
    <w:rsid w:val="004D6319"/>
    <w:rsid w:val="004F210A"/>
    <w:rsid w:val="004F4AEB"/>
    <w:rsid w:val="0050464F"/>
    <w:rsid w:val="00512CA9"/>
    <w:rsid w:val="005244BC"/>
    <w:rsid w:val="00531878"/>
    <w:rsid w:val="00534EF5"/>
    <w:rsid w:val="005378D5"/>
    <w:rsid w:val="00540259"/>
    <w:rsid w:val="00543A4E"/>
    <w:rsid w:val="005454E0"/>
    <w:rsid w:val="0054698F"/>
    <w:rsid w:val="0056273E"/>
    <w:rsid w:val="00571B69"/>
    <w:rsid w:val="0057606C"/>
    <w:rsid w:val="005A18B6"/>
    <w:rsid w:val="005A3B35"/>
    <w:rsid w:val="005A74FE"/>
    <w:rsid w:val="005C16D1"/>
    <w:rsid w:val="005D3321"/>
    <w:rsid w:val="005D45EA"/>
    <w:rsid w:val="005E349F"/>
    <w:rsid w:val="00606CFF"/>
    <w:rsid w:val="00607DC9"/>
    <w:rsid w:val="0062350D"/>
    <w:rsid w:val="00623714"/>
    <w:rsid w:val="00634334"/>
    <w:rsid w:val="0064187A"/>
    <w:rsid w:val="006428F9"/>
    <w:rsid w:val="006607BD"/>
    <w:rsid w:val="00662F06"/>
    <w:rsid w:val="0068674C"/>
    <w:rsid w:val="006944C1"/>
    <w:rsid w:val="006A17A3"/>
    <w:rsid w:val="006A4DE7"/>
    <w:rsid w:val="006A6CAD"/>
    <w:rsid w:val="006C1520"/>
    <w:rsid w:val="006C245D"/>
    <w:rsid w:val="006C7DA4"/>
    <w:rsid w:val="006D7C24"/>
    <w:rsid w:val="006F6B77"/>
    <w:rsid w:val="006F72AB"/>
    <w:rsid w:val="0070050B"/>
    <w:rsid w:val="007074DC"/>
    <w:rsid w:val="00712427"/>
    <w:rsid w:val="00720FC7"/>
    <w:rsid w:val="0073695C"/>
    <w:rsid w:val="007525E3"/>
    <w:rsid w:val="00762786"/>
    <w:rsid w:val="00772B0B"/>
    <w:rsid w:val="00784266"/>
    <w:rsid w:val="00786356"/>
    <w:rsid w:val="00794F5D"/>
    <w:rsid w:val="007951DB"/>
    <w:rsid w:val="007A68E1"/>
    <w:rsid w:val="007B5E7F"/>
    <w:rsid w:val="007C4CCD"/>
    <w:rsid w:val="007D24DF"/>
    <w:rsid w:val="0083456A"/>
    <w:rsid w:val="00842FF7"/>
    <w:rsid w:val="00862D33"/>
    <w:rsid w:val="00864BDA"/>
    <w:rsid w:val="008B37AE"/>
    <w:rsid w:val="008D2398"/>
    <w:rsid w:val="008E0000"/>
    <w:rsid w:val="008E35F0"/>
    <w:rsid w:val="008E6DCD"/>
    <w:rsid w:val="00904E92"/>
    <w:rsid w:val="00905531"/>
    <w:rsid w:val="00914B97"/>
    <w:rsid w:val="00925330"/>
    <w:rsid w:val="0093522C"/>
    <w:rsid w:val="00952739"/>
    <w:rsid w:val="009630A3"/>
    <w:rsid w:val="009650D6"/>
    <w:rsid w:val="009925D4"/>
    <w:rsid w:val="009A6306"/>
    <w:rsid w:val="009B4EE2"/>
    <w:rsid w:val="009B5E2F"/>
    <w:rsid w:val="009C1C55"/>
    <w:rsid w:val="009C6F2F"/>
    <w:rsid w:val="009D2EE2"/>
    <w:rsid w:val="009E3BD7"/>
    <w:rsid w:val="00A011F9"/>
    <w:rsid w:val="00A050F5"/>
    <w:rsid w:val="00A15EB9"/>
    <w:rsid w:val="00A2294D"/>
    <w:rsid w:val="00A33011"/>
    <w:rsid w:val="00A47BD4"/>
    <w:rsid w:val="00A47DF9"/>
    <w:rsid w:val="00A504D7"/>
    <w:rsid w:val="00A55908"/>
    <w:rsid w:val="00A619F7"/>
    <w:rsid w:val="00A7499F"/>
    <w:rsid w:val="00A82BD7"/>
    <w:rsid w:val="00A90F4D"/>
    <w:rsid w:val="00A926C3"/>
    <w:rsid w:val="00A9466E"/>
    <w:rsid w:val="00AA18CB"/>
    <w:rsid w:val="00AB52B3"/>
    <w:rsid w:val="00AC3F97"/>
    <w:rsid w:val="00AD625D"/>
    <w:rsid w:val="00AD7D3E"/>
    <w:rsid w:val="00AE58BE"/>
    <w:rsid w:val="00AF16B8"/>
    <w:rsid w:val="00AF6E4E"/>
    <w:rsid w:val="00B02EB3"/>
    <w:rsid w:val="00B1404C"/>
    <w:rsid w:val="00B150AD"/>
    <w:rsid w:val="00B21BED"/>
    <w:rsid w:val="00B33883"/>
    <w:rsid w:val="00B42591"/>
    <w:rsid w:val="00B446F6"/>
    <w:rsid w:val="00B543C0"/>
    <w:rsid w:val="00B619A0"/>
    <w:rsid w:val="00B629CB"/>
    <w:rsid w:val="00B651FD"/>
    <w:rsid w:val="00B86F1E"/>
    <w:rsid w:val="00B873B0"/>
    <w:rsid w:val="00BA0193"/>
    <w:rsid w:val="00BB5170"/>
    <w:rsid w:val="00BC4459"/>
    <w:rsid w:val="00BD63EF"/>
    <w:rsid w:val="00BD79B1"/>
    <w:rsid w:val="00BE62B9"/>
    <w:rsid w:val="00BF4CD5"/>
    <w:rsid w:val="00BF63B0"/>
    <w:rsid w:val="00C20DA4"/>
    <w:rsid w:val="00C43F8F"/>
    <w:rsid w:val="00C47888"/>
    <w:rsid w:val="00C57BD0"/>
    <w:rsid w:val="00C602FF"/>
    <w:rsid w:val="00C6526E"/>
    <w:rsid w:val="00C65521"/>
    <w:rsid w:val="00C80962"/>
    <w:rsid w:val="00C87293"/>
    <w:rsid w:val="00CA4CF5"/>
    <w:rsid w:val="00CB3C5A"/>
    <w:rsid w:val="00CC1B79"/>
    <w:rsid w:val="00CC7AFA"/>
    <w:rsid w:val="00CE1B2E"/>
    <w:rsid w:val="00CF372B"/>
    <w:rsid w:val="00D05926"/>
    <w:rsid w:val="00D20088"/>
    <w:rsid w:val="00D21E91"/>
    <w:rsid w:val="00D361E0"/>
    <w:rsid w:val="00D529EC"/>
    <w:rsid w:val="00D53698"/>
    <w:rsid w:val="00D641D5"/>
    <w:rsid w:val="00D72ED9"/>
    <w:rsid w:val="00D751F2"/>
    <w:rsid w:val="00D849F8"/>
    <w:rsid w:val="00DA3892"/>
    <w:rsid w:val="00DA4C0B"/>
    <w:rsid w:val="00DB72EE"/>
    <w:rsid w:val="00DC095F"/>
    <w:rsid w:val="00DE2DB0"/>
    <w:rsid w:val="00E035B9"/>
    <w:rsid w:val="00E1676A"/>
    <w:rsid w:val="00E30100"/>
    <w:rsid w:val="00E4461E"/>
    <w:rsid w:val="00E46E88"/>
    <w:rsid w:val="00E60F25"/>
    <w:rsid w:val="00E67B8C"/>
    <w:rsid w:val="00E75DAD"/>
    <w:rsid w:val="00E80247"/>
    <w:rsid w:val="00E84755"/>
    <w:rsid w:val="00E90C8C"/>
    <w:rsid w:val="00E91402"/>
    <w:rsid w:val="00E93C5C"/>
    <w:rsid w:val="00EA16BC"/>
    <w:rsid w:val="00EB1AF8"/>
    <w:rsid w:val="00EB1E5E"/>
    <w:rsid w:val="00EB2DFE"/>
    <w:rsid w:val="00ED42CC"/>
    <w:rsid w:val="00EE0566"/>
    <w:rsid w:val="00EE3AD0"/>
    <w:rsid w:val="00EE6660"/>
    <w:rsid w:val="00EF5B93"/>
    <w:rsid w:val="00EF6047"/>
    <w:rsid w:val="00F005E7"/>
    <w:rsid w:val="00F1389C"/>
    <w:rsid w:val="00F21892"/>
    <w:rsid w:val="00F220B3"/>
    <w:rsid w:val="00F25091"/>
    <w:rsid w:val="00F258C4"/>
    <w:rsid w:val="00F30B9C"/>
    <w:rsid w:val="00F30D01"/>
    <w:rsid w:val="00F32277"/>
    <w:rsid w:val="00F36904"/>
    <w:rsid w:val="00F42345"/>
    <w:rsid w:val="00F51C60"/>
    <w:rsid w:val="00F8130E"/>
    <w:rsid w:val="00F87ACA"/>
    <w:rsid w:val="00F90EBA"/>
    <w:rsid w:val="00FB67D0"/>
    <w:rsid w:val="00FC3AA7"/>
    <w:rsid w:val="00FC445A"/>
    <w:rsid w:val="00FC7A24"/>
    <w:rsid w:val="00FD2896"/>
    <w:rsid w:val="00FE3F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1C784"/>
  <w15:chartTrackingRefBased/>
  <w15:docId w15:val="{2D143C6F-1E0D-404C-8753-D4A9E0EE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B4259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7D3E"/>
    <w:pPr>
      <w:ind w:left="720"/>
      <w:contextualSpacing/>
    </w:pPr>
  </w:style>
  <w:style w:type="character" w:styleId="Hyperlink">
    <w:name w:val="Hyperlink"/>
    <w:uiPriority w:val="99"/>
    <w:rsid w:val="00D72ED9"/>
    <w:rPr>
      <w:rFonts w:cs="Times New Roman"/>
      <w:color w:val="0000FF"/>
      <w:u w:val="single"/>
    </w:rPr>
  </w:style>
  <w:style w:type="paragraph" w:styleId="a4">
    <w:name w:val="header"/>
    <w:basedOn w:val="a"/>
    <w:link w:val="a5"/>
    <w:uiPriority w:val="99"/>
    <w:unhideWhenUsed/>
    <w:rsid w:val="00F25091"/>
    <w:pPr>
      <w:tabs>
        <w:tab w:val="center" w:pos="4153"/>
        <w:tab w:val="right" w:pos="8306"/>
      </w:tabs>
      <w:spacing w:after="0" w:line="240" w:lineRule="auto"/>
    </w:pPr>
  </w:style>
  <w:style w:type="character" w:customStyle="1" w:styleId="a5">
    <w:name w:val="כותרת עליונה תו"/>
    <w:basedOn w:val="a0"/>
    <w:link w:val="a4"/>
    <w:uiPriority w:val="99"/>
    <w:rsid w:val="00F25091"/>
  </w:style>
  <w:style w:type="paragraph" w:styleId="a6">
    <w:name w:val="footer"/>
    <w:basedOn w:val="a"/>
    <w:link w:val="a7"/>
    <w:uiPriority w:val="99"/>
    <w:unhideWhenUsed/>
    <w:rsid w:val="00F25091"/>
    <w:pPr>
      <w:tabs>
        <w:tab w:val="center" w:pos="4153"/>
        <w:tab w:val="right" w:pos="8306"/>
      </w:tabs>
      <w:spacing w:after="0" w:line="240" w:lineRule="auto"/>
    </w:pPr>
  </w:style>
  <w:style w:type="character" w:customStyle="1" w:styleId="a7">
    <w:name w:val="כותרת תחתונה תו"/>
    <w:basedOn w:val="a0"/>
    <w:link w:val="a6"/>
    <w:uiPriority w:val="99"/>
    <w:rsid w:val="00F25091"/>
  </w:style>
  <w:style w:type="character" w:customStyle="1" w:styleId="10">
    <w:name w:val="כותרת 1 תו"/>
    <w:basedOn w:val="a0"/>
    <w:link w:val="1"/>
    <w:uiPriority w:val="9"/>
    <w:rsid w:val="00B42591"/>
    <w:rPr>
      <w:rFonts w:asciiTheme="majorHAnsi" w:eastAsiaTheme="majorEastAsia" w:hAnsiTheme="majorHAnsi" w:cstheme="majorBidi"/>
      <w:color w:val="365F91" w:themeColor="accent1" w:themeShade="BF"/>
      <w:sz w:val="32"/>
      <w:szCs w:val="32"/>
    </w:rPr>
  </w:style>
  <w:style w:type="paragraph" w:styleId="a8">
    <w:name w:val="Revision"/>
    <w:hidden/>
    <w:uiPriority w:val="99"/>
    <w:semiHidden/>
    <w:rsid w:val="00C478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sda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35A51-816C-45DE-BB9F-82D995EFC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2</Pages>
  <Words>470</Words>
  <Characters>2350</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שמעון</cp:lastModifiedBy>
  <cp:revision>3</cp:revision>
  <cp:lastPrinted>2023-02-07T20:06:00Z</cp:lastPrinted>
  <dcterms:created xsi:type="dcterms:W3CDTF">2023-02-07T20:16:00Z</dcterms:created>
  <dcterms:modified xsi:type="dcterms:W3CDTF">2023-02-08T15:18:00Z</dcterms:modified>
</cp:coreProperties>
</file>