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F3BE" w14:textId="4B6804F8" w:rsidR="00D72ED9" w:rsidRPr="00D641D5" w:rsidRDefault="00D72ED9" w:rsidP="00D641D5">
      <w:pPr>
        <w:tabs>
          <w:tab w:val="left" w:pos="651"/>
        </w:tabs>
        <w:spacing w:after="0"/>
        <w:ind w:left="84"/>
        <w:rPr>
          <w:rFonts w:ascii="David" w:hAnsi="David" w:cs="David"/>
          <w:b/>
          <w:bCs/>
          <w:rtl/>
        </w:rPr>
      </w:pPr>
      <w:r w:rsidRPr="00D72ED9">
        <w:rPr>
          <w:rFonts w:ascii="David" w:hAnsi="David" w:cs="David"/>
          <w:b/>
          <w:bCs/>
          <w:rtl/>
        </w:rPr>
        <w:t>בבית הדין האזורי לעבודה בירושלים</w:t>
      </w:r>
      <w:r w:rsidRPr="00D72ED9">
        <w:rPr>
          <w:rFonts w:ascii="David" w:hAnsi="David" w:cs="David"/>
          <w:b/>
          <w:bCs/>
          <w:rtl/>
        </w:rPr>
        <w:tab/>
        <w:t xml:space="preserve">                                </w:t>
      </w:r>
      <w:r w:rsidRPr="00D72ED9">
        <w:rPr>
          <w:rFonts w:ascii="David" w:hAnsi="David" w:cs="David"/>
          <w:b/>
          <w:bCs/>
          <w:rtl/>
        </w:rPr>
        <w:tab/>
        <w:t xml:space="preserve">            </w:t>
      </w:r>
      <w:r w:rsidRPr="00D72ED9">
        <w:rPr>
          <w:rFonts w:ascii="David" w:hAnsi="David" w:cs="David"/>
          <w:b/>
          <w:bCs/>
          <w:rtl/>
        </w:rPr>
        <w:tab/>
        <w:t>סע</w:t>
      </w:r>
      <w:r>
        <w:rPr>
          <w:rFonts w:ascii="David" w:hAnsi="David" w:cs="David" w:hint="cs"/>
          <w:b/>
          <w:bCs/>
          <w:rtl/>
        </w:rPr>
        <w:t>"ש</w:t>
      </w:r>
      <w:r w:rsidRPr="00D72ED9">
        <w:rPr>
          <w:rFonts w:ascii="David" w:hAnsi="David" w:cs="David"/>
          <w:b/>
          <w:bCs/>
          <w:rtl/>
        </w:rPr>
        <w:t xml:space="preserve"> </w:t>
      </w:r>
      <w:r>
        <w:rPr>
          <w:rFonts w:ascii="David" w:hAnsi="David" w:cs="David" w:hint="cs"/>
          <w:b/>
          <w:bCs/>
          <w:rtl/>
        </w:rPr>
        <w:t>6928-10-1</w:t>
      </w:r>
      <w:r w:rsidRPr="00D72ED9">
        <w:rPr>
          <w:rFonts w:ascii="David" w:hAnsi="David" w:cs="David"/>
          <w:b/>
          <w:bCs/>
          <w:sz w:val="26"/>
          <w:szCs w:val="26"/>
          <w:rtl/>
        </w:rPr>
        <w:tab/>
      </w:r>
    </w:p>
    <w:p w14:paraId="6350B968" w14:textId="77777777" w:rsidR="00D72ED9" w:rsidRPr="00D72ED9" w:rsidRDefault="00D72ED9" w:rsidP="00D641D5">
      <w:pPr>
        <w:spacing w:after="0"/>
        <w:ind w:left="-58"/>
        <w:jc w:val="center"/>
        <w:rPr>
          <w:rFonts w:ascii="David" w:hAnsi="David" w:cs="David"/>
          <w:sz w:val="28"/>
          <w:szCs w:val="28"/>
          <w:rtl/>
        </w:rPr>
      </w:pPr>
      <w:r w:rsidRPr="00D72ED9">
        <w:rPr>
          <w:rFonts w:ascii="David" w:hAnsi="David" w:cs="David"/>
          <w:b/>
          <w:bCs/>
          <w:sz w:val="28"/>
          <w:szCs w:val="28"/>
          <w:u w:val="single"/>
          <w:rtl/>
        </w:rPr>
        <w:t>כתב תביעה</w:t>
      </w:r>
    </w:p>
    <w:p w14:paraId="2AE5AE83" w14:textId="1B3E87E6" w:rsidR="00D72ED9" w:rsidRPr="009B5E2F" w:rsidRDefault="00D72ED9" w:rsidP="00D641D5">
      <w:pPr>
        <w:spacing w:after="0"/>
        <w:ind w:firstLine="360"/>
        <w:rPr>
          <w:rFonts w:ascii="David" w:hAnsi="David" w:cs="David"/>
          <w:b/>
          <w:bCs/>
          <w:sz w:val="24"/>
          <w:szCs w:val="24"/>
          <w:rtl/>
        </w:rPr>
      </w:pPr>
      <w:r w:rsidRPr="009B5E2F">
        <w:rPr>
          <w:rFonts w:ascii="David" w:hAnsi="David" w:cs="David" w:hint="cs"/>
          <w:b/>
          <w:bCs/>
          <w:sz w:val="24"/>
          <w:szCs w:val="24"/>
          <w:rtl/>
        </w:rPr>
        <w:t>שמעון הכסטר</w:t>
      </w:r>
      <w:r w:rsidRPr="009B5E2F">
        <w:rPr>
          <w:rFonts w:ascii="David" w:hAnsi="David" w:cs="David"/>
          <w:b/>
          <w:bCs/>
          <w:sz w:val="24"/>
          <w:szCs w:val="24"/>
          <w:rtl/>
        </w:rPr>
        <w:t xml:space="preserve">, ת.ז. </w:t>
      </w:r>
    </w:p>
    <w:p w14:paraId="4864A85D"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ע"י ב"כ עו"ד יעקב חסדאי</w:t>
      </w:r>
    </w:p>
    <w:p w14:paraId="589BCA4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מרח' המלך ג'ורג' 41,</w:t>
      </w:r>
    </w:p>
    <w:p w14:paraId="6BAC057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ת.ד. 7655 ירושלים 9107601</w:t>
      </w:r>
    </w:p>
    <w:p w14:paraId="415ABA37"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טל': 02-6233153  פקס: 02-6244924</w:t>
      </w:r>
    </w:p>
    <w:p w14:paraId="50A69FEE" w14:textId="0DE71C4C" w:rsidR="00D72ED9" w:rsidRPr="00D72ED9" w:rsidRDefault="00D72ED9" w:rsidP="00D641D5">
      <w:pPr>
        <w:spacing w:after="0"/>
        <w:ind w:firstLine="360"/>
        <w:rPr>
          <w:rFonts w:ascii="David" w:hAnsi="David" w:cs="David"/>
          <w:rtl/>
        </w:rPr>
      </w:pPr>
      <w:r w:rsidRPr="009B5E2F">
        <w:rPr>
          <w:rFonts w:ascii="David" w:hAnsi="David" w:cs="David"/>
          <w:sz w:val="24"/>
          <w:szCs w:val="24"/>
          <w:rtl/>
        </w:rPr>
        <w:t xml:space="preserve">דוא"ל: </w:t>
      </w:r>
      <w:hyperlink r:id="rId8" w:history="1">
        <w:r w:rsidRPr="009B5E2F">
          <w:rPr>
            <w:rStyle w:val="Hyperlink"/>
            <w:rFonts w:ascii="David" w:hAnsi="David" w:cs="David"/>
            <w:sz w:val="24"/>
            <w:szCs w:val="24"/>
          </w:rPr>
          <w:t>chisdai@gmail.com</w:t>
        </w:r>
      </w:hyperlink>
      <w:r w:rsidRPr="009B5E2F">
        <w:rPr>
          <w:rFonts w:ascii="David" w:hAnsi="David" w:cs="David"/>
          <w:sz w:val="24"/>
          <w:szCs w:val="24"/>
          <w:rtl/>
        </w:rPr>
        <w:tab/>
      </w:r>
      <w:r w:rsidRPr="009B5E2F">
        <w:rPr>
          <w:rFonts w:ascii="David" w:hAnsi="David" w:cs="David"/>
          <w:sz w:val="24"/>
          <w:szCs w:val="24"/>
          <w:rtl/>
        </w:rPr>
        <w:tab/>
      </w:r>
      <w:r w:rsidRPr="00D72ED9">
        <w:rPr>
          <w:rFonts w:ascii="David" w:hAnsi="David" w:cs="David"/>
          <w:rtl/>
        </w:rPr>
        <w:tab/>
      </w:r>
      <w:r w:rsidRPr="00D72ED9">
        <w:rPr>
          <w:rFonts w:ascii="David" w:hAnsi="David" w:cs="David"/>
          <w:rtl/>
        </w:rPr>
        <w:tab/>
      </w:r>
      <w:r w:rsidRPr="007074DC">
        <w:rPr>
          <w:rFonts w:ascii="David" w:hAnsi="David" w:cs="David"/>
          <w:b/>
          <w:bCs/>
          <w:sz w:val="24"/>
          <w:szCs w:val="24"/>
          <w:u w:val="single"/>
          <w:rtl/>
        </w:rPr>
        <w:t>התובע</w:t>
      </w:r>
    </w:p>
    <w:p w14:paraId="23524009" w14:textId="77777777" w:rsidR="00D72ED9" w:rsidRPr="009B5E2F" w:rsidRDefault="00D72ED9" w:rsidP="00D641D5">
      <w:pPr>
        <w:spacing w:after="0"/>
        <w:ind w:firstLine="360"/>
        <w:rPr>
          <w:rFonts w:ascii="David" w:hAnsi="David" w:cs="David"/>
          <w:sz w:val="24"/>
          <w:szCs w:val="24"/>
          <w:rtl/>
        </w:rPr>
      </w:pPr>
    </w:p>
    <w:p w14:paraId="256F5331" w14:textId="77777777" w:rsidR="00D72ED9" w:rsidRPr="009B5E2F" w:rsidRDefault="00D72ED9" w:rsidP="00D641D5">
      <w:pPr>
        <w:spacing w:after="0"/>
        <w:ind w:firstLine="360"/>
        <w:rPr>
          <w:rFonts w:ascii="David" w:hAnsi="David" w:cs="David"/>
          <w:b/>
          <w:bCs/>
          <w:sz w:val="24"/>
          <w:szCs w:val="24"/>
          <w:rtl/>
        </w:rPr>
      </w:pPr>
      <w:r w:rsidRPr="009B5E2F">
        <w:rPr>
          <w:rFonts w:ascii="David" w:hAnsi="David" w:cs="David"/>
          <w:b/>
          <w:bCs/>
          <w:sz w:val="24"/>
          <w:szCs w:val="24"/>
          <w:rtl/>
        </w:rPr>
        <w:t>- נ ג ד -</w:t>
      </w:r>
    </w:p>
    <w:p w14:paraId="3AD741F0" w14:textId="77777777" w:rsidR="00D72ED9" w:rsidRPr="009B5E2F" w:rsidRDefault="00D72ED9" w:rsidP="00D641D5">
      <w:pPr>
        <w:spacing w:after="0"/>
        <w:ind w:firstLine="360"/>
        <w:rPr>
          <w:rFonts w:ascii="David" w:hAnsi="David" w:cs="David"/>
          <w:b/>
          <w:bCs/>
          <w:sz w:val="24"/>
          <w:szCs w:val="24"/>
          <w:rtl/>
        </w:rPr>
      </w:pPr>
    </w:p>
    <w:p w14:paraId="6F09646F" w14:textId="29A23525" w:rsidR="00D72ED9" w:rsidRPr="009B5E2F" w:rsidRDefault="00D72ED9" w:rsidP="00D641D5">
      <w:pPr>
        <w:spacing w:after="0"/>
        <w:ind w:firstLine="360"/>
        <w:rPr>
          <w:rFonts w:ascii="David" w:hAnsi="David" w:cs="David"/>
          <w:sz w:val="24"/>
          <w:szCs w:val="24"/>
          <w:rtl/>
        </w:rPr>
      </w:pPr>
      <w:r w:rsidRPr="009B5E2F">
        <w:rPr>
          <w:rFonts w:ascii="David" w:hAnsi="David" w:cs="David" w:hint="cs"/>
          <w:b/>
          <w:bCs/>
          <w:sz w:val="24"/>
          <w:szCs w:val="24"/>
          <w:rtl/>
        </w:rPr>
        <w:t>מדינת ישראל</w:t>
      </w:r>
    </w:p>
    <w:p w14:paraId="117B2985" w14:textId="1D794C02"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w:t>
      </w:r>
      <w:r w:rsidRPr="009B5E2F">
        <w:rPr>
          <w:rFonts w:ascii="David" w:hAnsi="David" w:cs="David" w:hint="cs"/>
          <w:sz w:val="24"/>
          <w:szCs w:val="24"/>
          <w:rtl/>
        </w:rPr>
        <w:t xml:space="preserve">פרקליטות </w:t>
      </w:r>
      <w:r w:rsidR="00D849F8">
        <w:rPr>
          <w:rFonts w:ascii="David" w:hAnsi="David" w:cs="David" w:hint="cs"/>
          <w:sz w:val="24"/>
          <w:szCs w:val="24"/>
          <w:rtl/>
        </w:rPr>
        <w:t>מחוז ירושלים</w:t>
      </w:r>
    </w:p>
    <w:p w14:paraId="6DA911E5" w14:textId="6B7CE387" w:rsidR="00D72ED9" w:rsidRPr="009B5E2F" w:rsidRDefault="00D72ED9" w:rsidP="00D641D5">
      <w:pPr>
        <w:shd w:val="clear" w:color="auto" w:fill="FFFFFF"/>
        <w:spacing w:after="0"/>
        <w:ind w:firstLine="360"/>
        <w:rPr>
          <w:rFonts w:ascii="David" w:hAnsi="David" w:cs="David"/>
          <w:sz w:val="24"/>
          <w:szCs w:val="24"/>
          <w:rtl/>
        </w:rPr>
      </w:pPr>
      <w:r w:rsidRPr="009B5E2F">
        <w:rPr>
          <w:rFonts w:ascii="David" w:hAnsi="David" w:cs="David"/>
          <w:color w:val="222222"/>
          <w:sz w:val="24"/>
          <w:szCs w:val="24"/>
          <w:rtl/>
        </w:rPr>
        <w:t xml:space="preserve">טל: </w:t>
      </w:r>
      <w:r w:rsidR="00D849F8">
        <w:rPr>
          <w:rFonts w:ascii="David" w:hAnsi="David" w:cs="David" w:hint="cs"/>
          <w:color w:val="222222"/>
          <w:sz w:val="24"/>
          <w:szCs w:val="24"/>
          <w:rtl/>
        </w:rPr>
        <w:t>073-920000</w:t>
      </w:r>
      <w:r w:rsidRPr="009B5E2F">
        <w:rPr>
          <w:rFonts w:ascii="David" w:hAnsi="David" w:cs="David" w:hint="cs"/>
          <w:color w:val="222222"/>
          <w:sz w:val="24"/>
          <w:szCs w:val="24"/>
          <w:rtl/>
        </w:rPr>
        <w:t xml:space="preserve"> </w:t>
      </w:r>
      <w:r w:rsidRPr="009B5E2F">
        <w:rPr>
          <w:rFonts w:ascii="David" w:hAnsi="David" w:cs="David"/>
          <w:color w:val="222222"/>
          <w:sz w:val="24"/>
          <w:szCs w:val="24"/>
          <w:rtl/>
        </w:rPr>
        <w:t>פקס:</w:t>
      </w:r>
      <w:r w:rsidRPr="009B5E2F">
        <w:rPr>
          <w:rFonts w:ascii="David" w:hAnsi="David" w:cs="David"/>
          <w:color w:val="222222"/>
          <w:sz w:val="24"/>
          <w:szCs w:val="24"/>
        </w:rPr>
        <w:t> </w:t>
      </w:r>
      <w:r w:rsidR="00D849F8">
        <w:rPr>
          <w:rFonts w:ascii="David" w:hAnsi="David" w:cs="David"/>
          <w:color w:val="222222"/>
          <w:sz w:val="24"/>
          <w:szCs w:val="24"/>
        </w:rPr>
        <w:t xml:space="preserve"> 02-62468053</w:t>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007074DC">
        <w:rPr>
          <w:rFonts w:ascii="David" w:hAnsi="David" w:cs="David" w:hint="cs"/>
          <w:b/>
          <w:bCs/>
          <w:sz w:val="24"/>
          <w:szCs w:val="24"/>
          <w:u w:val="single"/>
          <w:rtl/>
        </w:rPr>
        <w:t>הנתבעת</w:t>
      </w:r>
    </w:p>
    <w:p w14:paraId="0A206CB7" w14:textId="77777777" w:rsidR="00D72ED9" w:rsidRPr="009B5E2F" w:rsidRDefault="00D72ED9" w:rsidP="00D72ED9">
      <w:pPr>
        <w:spacing w:after="0"/>
        <w:rPr>
          <w:rFonts w:ascii="David" w:hAnsi="David" w:cs="David"/>
          <w:b/>
          <w:bCs/>
          <w:sz w:val="24"/>
          <w:szCs w:val="24"/>
          <w:rtl/>
        </w:rPr>
      </w:pPr>
    </w:p>
    <w:p w14:paraId="18F758F6" w14:textId="77777777" w:rsidR="00D72ED9" w:rsidRPr="009B5E2F" w:rsidRDefault="00D72ED9" w:rsidP="00D72ED9">
      <w:pPr>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ראשון</w:t>
      </w:r>
    </w:p>
    <w:p w14:paraId="641C9CD9" w14:textId="77777777" w:rsidR="00D72ED9" w:rsidRPr="009B5E2F" w:rsidRDefault="00D72ED9" w:rsidP="00D72ED9">
      <w:pPr>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מהות התביעה</w:t>
      </w:r>
    </w:p>
    <w:p w14:paraId="72F704B3" w14:textId="0C9CD2D5" w:rsidR="00D72ED9" w:rsidRPr="009B5E2F" w:rsidRDefault="00D72ED9" w:rsidP="00D72ED9">
      <w:pPr>
        <w:spacing w:after="0" w:line="360" w:lineRule="auto"/>
        <w:ind w:firstLine="84"/>
        <w:jc w:val="both"/>
        <w:rPr>
          <w:rFonts w:ascii="David" w:hAnsi="David" w:cs="David"/>
          <w:sz w:val="24"/>
          <w:szCs w:val="24"/>
        </w:rPr>
      </w:pPr>
      <w:r w:rsidRPr="009B5E2F">
        <w:rPr>
          <w:rFonts w:ascii="David" w:hAnsi="David" w:cs="David" w:hint="cs"/>
          <w:sz w:val="24"/>
          <w:szCs w:val="24"/>
          <w:rtl/>
        </w:rPr>
        <w:t xml:space="preserve">תביעה </w:t>
      </w:r>
      <w:r w:rsidR="00623714">
        <w:rPr>
          <w:rFonts w:ascii="David" w:hAnsi="David" w:cs="David" w:hint="cs"/>
          <w:sz w:val="24"/>
          <w:szCs w:val="24"/>
          <w:rtl/>
        </w:rPr>
        <w:t xml:space="preserve">לסעד הצהרתי בעניין </w:t>
      </w:r>
      <w:r w:rsidRPr="009B5E2F">
        <w:rPr>
          <w:rFonts w:ascii="David" w:hAnsi="David" w:cs="David" w:hint="cs"/>
          <w:sz w:val="24"/>
          <w:szCs w:val="24"/>
          <w:rtl/>
        </w:rPr>
        <w:t>תיקון חישוב זכויות גימלה לתשלום הפרשים ולתשלום פיצויים.</w:t>
      </w:r>
    </w:p>
    <w:p w14:paraId="55DBE746" w14:textId="019D77F3" w:rsidR="00D72ED9" w:rsidRPr="009B5E2F" w:rsidRDefault="00D72ED9" w:rsidP="00D72ED9">
      <w:pPr>
        <w:pStyle w:val="a3"/>
        <w:spacing w:after="0" w:line="360" w:lineRule="auto"/>
        <w:ind w:left="84"/>
        <w:rPr>
          <w:rFonts w:ascii="David" w:hAnsi="David" w:cs="David"/>
          <w:b/>
          <w:bCs/>
          <w:sz w:val="24"/>
          <w:szCs w:val="24"/>
          <w:rtl/>
        </w:rPr>
      </w:pPr>
      <w:r w:rsidRPr="009B5E2F">
        <w:rPr>
          <w:rFonts w:ascii="David" w:hAnsi="David" w:cs="David"/>
          <w:b/>
          <w:bCs/>
          <w:sz w:val="24"/>
          <w:szCs w:val="24"/>
          <w:u w:val="single"/>
          <w:rtl/>
        </w:rPr>
        <w:t>שווי נושא התובענה</w:t>
      </w:r>
      <w:r w:rsidRPr="009B5E2F">
        <w:rPr>
          <w:rFonts w:ascii="David" w:hAnsi="David" w:cs="David"/>
          <w:b/>
          <w:bCs/>
          <w:sz w:val="24"/>
          <w:szCs w:val="24"/>
          <w:rtl/>
        </w:rPr>
        <w:t xml:space="preserve"> – </w:t>
      </w:r>
      <w:r w:rsidR="00D849F8">
        <w:rPr>
          <w:rFonts w:ascii="David" w:hAnsi="David" w:cs="David" w:hint="cs"/>
          <w:b/>
          <w:bCs/>
          <w:sz w:val="24"/>
          <w:szCs w:val="24"/>
          <w:rtl/>
        </w:rPr>
        <w:t>150,000</w:t>
      </w:r>
      <w:r w:rsidR="00CB3C5A" w:rsidRPr="009B5E2F">
        <w:rPr>
          <w:rFonts w:ascii="David" w:hAnsi="David" w:cs="David" w:hint="cs"/>
          <w:b/>
          <w:bCs/>
          <w:sz w:val="24"/>
          <w:szCs w:val="24"/>
          <w:rtl/>
        </w:rPr>
        <w:t xml:space="preserve"> </w:t>
      </w:r>
      <w:r w:rsidRPr="009B5E2F">
        <w:rPr>
          <w:rFonts w:ascii="David" w:hAnsi="David" w:cs="David"/>
          <w:b/>
          <w:bCs/>
          <w:sz w:val="24"/>
          <w:szCs w:val="24"/>
          <w:rtl/>
        </w:rPr>
        <w:t xml:space="preserve">₪ </w:t>
      </w:r>
    </w:p>
    <w:p w14:paraId="70444DF4" w14:textId="58D56279" w:rsidR="00D72ED9" w:rsidRPr="009B5E2F" w:rsidRDefault="00D72ED9" w:rsidP="00D72ED9">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סכום אגרת בית הדין</w:t>
      </w:r>
      <w:r w:rsidRPr="009B5E2F">
        <w:rPr>
          <w:rFonts w:ascii="David" w:hAnsi="David" w:cs="David"/>
          <w:sz w:val="24"/>
          <w:szCs w:val="24"/>
          <w:rtl/>
        </w:rPr>
        <w:t xml:space="preserve"> –על פי תקנה 1 – 1% מסכום התביעה, סה"כ </w:t>
      </w:r>
      <w:r w:rsidR="00D849F8">
        <w:rPr>
          <w:rFonts w:ascii="David" w:hAnsi="David" w:cs="David" w:hint="cs"/>
          <w:sz w:val="24"/>
          <w:szCs w:val="24"/>
          <w:rtl/>
        </w:rPr>
        <w:t>1,500</w:t>
      </w:r>
      <w:r w:rsidR="00CB3C5A" w:rsidRPr="009B5E2F">
        <w:rPr>
          <w:rFonts w:ascii="David" w:hAnsi="David" w:cs="David" w:hint="cs"/>
          <w:sz w:val="24"/>
          <w:szCs w:val="24"/>
          <w:rtl/>
        </w:rPr>
        <w:t xml:space="preserve"> </w:t>
      </w:r>
      <w:r w:rsidRPr="009B5E2F">
        <w:rPr>
          <w:rFonts w:ascii="David" w:hAnsi="David" w:cs="David"/>
          <w:sz w:val="24"/>
          <w:szCs w:val="24"/>
          <w:rtl/>
        </w:rPr>
        <w:t xml:space="preserve">₪. </w:t>
      </w:r>
    </w:p>
    <w:p w14:paraId="076F8E91" w14:textId="12277C14" w:rsidR="00D72ED9" w:rsidRPr="009B5E2F" w:rsidRDefault="00D72ED9" w:rsidP="00CB3C5A">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הליך בעניין קשור</w:t>
      </w:r>
      <w:r w:rsidRPr="009B5E2F">
        <w:rPr>
          <w:rFonts w:ascii="David" w:hAnsi="David" w:cs="David"/>
          <w:sz w:val="24"/>
          <w:szCs w:val="24"/>
          <w:rtl/>
        </w:rPr>
        <w:t xml:space="preserve">: </w:t>
      </w:r>
      <w:r w:rsidR="00202AA5">
        <w:rPr>
          <w:rFonts w:ascii="David" w:hAnsi="David" w:cs="David" w:hint="cs"/>
          <w:sz w:val="24"/>
          <w:szCs w:val="24"/>
          <w:rtl/>
        </w:rPr>
        <w:t>ע"ע 2514-07-20 הכסטר נ. מדינת ישראל</w:t>
      </w:r>
    </w:p>
    <w:p w14:paraId="5DBD0D24" w14:textId="77777777" w:rsidR="00D72ED9" w:rsidRPr="009B5E2F" w:rsidRDefault="00D72ED9" w:rsidP="00D72ED9">
      <w:pPr>
        <w:pStyle w:val="a3"/>
        <w:spacing w:after="0" w:line="360" w:lineRule="auto"/>
        <w:ind w:left="84"/>
        <w:rPr>
          <w:rFonts w:ascii="David" w:hAnsi="David" w:cs="David"/>
          <w:b/>
          <w:bCs/>
          <w:sz w:val="24"/>
          <w:szCs w:val="24"/>
          <w:u w:val="single"/>
          <w:rtl/>
        </w:rPr>
      </w:pPr>
    </w:p>
    <w:p w14:paraId="38AE0E52" w14:textId="77777777" w:rsidR="00D72ED9" w:rsidRPr="009B5E2F" w:rsidRDefault="00D72ED9" w:rsidP="00D72ED9">
      <w:pPr>
        <w:pStyle w:val="a3"/>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שני</w:t>
      </w:r>
    </w:p>
    <w:p w14:paraId="08683D61"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הצדדים להליך</w:t>
      </w:r>
    </w:p>
    <w:p w14:paraId="220760B2" w14:textId="5071EE5B" w:rsidR="00D72ED9" w:rsidRPr="009B5E2F" w:rsidRDefault="00CB3C5A" w:rsidP="00D72ED9">
      <w:pPr>
        <w:pStyle w:val="a3"/>
        <w:numPr>
          <w:ilvl w:val="0"/>
          <w:numId w:val="4"/>
        </w:numPr>
        <w:spacing w:after="0" w:line="360" w:lineRule="auto"/>
        <w:jc w:val="both"/>
        <w:rPr>
          <w:rFonts w:ascii="David" w:hAnsi="David" w:cs="David"/>
          <w:sz w:val="24"/>
          <w:szCs w:val="24"/>
          <w:rtl/>
        </w:rPr>
      </w:pPr>
      <w:r w:rsidRPr="009B5E2F">
        <w:rPr>
          <w:rFonts w:ascii="David" w:hAnsi="David" w:cs="David" w:hint="cs"/>
          <w:sz w:val="24"/>
          <w:szCs w:val="24"/>
          <w:rtl/>
        </w:rPr>
        <w:t>התובע הוא גימלאי של שירות המדינה שפרש לאחר 42 שנות שירות בתפקיד חשב בכיר.</w:t>
      </w:r>
    </w:p>
    <w:p w14:paraId="1DD6CDE3" w14:textId="7786186C" w:rsidR="00D72ED9" w:rsidRDefault="00CB3C5A" w:rsidP="00CB3C5A">
      <w:pPr>
        <w:pStyle w:val="a3"/>
        <w:numPr>
          <w:ilvl w:val="0"/>
          <w:numId w:val="4"/>
        </w:numPr>
        <w:spacing w:after="0" w:line="360" w:lineRule="auto"/>
        <w:rPr>
          <w:rFonts w:ascii="David" w:hAnsi="David" w:cs="David"/>
          <w:sz w:val="24"/>
          <w:szCs w:val="24"/>
        </w:rPr>
      </w:pPr>
      <w:r w:rsidRPr="009B5E2F">
        <w:rPr>
          <w:rFonts w:ascii="David" w:hAnsi="David" w:cs="David" w:hint="cs"/>
          <w:sz w:val="24"/>
          <w:szCs w:val="24"/>
          <w:rtl/>
        </w:rPr>
        <w:t>הנתבעת היא מדינת ישראל, ע"י נציבות שירות המדינה והממונה על הגמלאות.</w:t>
      </w:r>
    </w:p>
    <w:p w14:paraId="24C6DB6E" w14:textId="77777777" w:rsidR="00CB3C5A" w:rsidRPr="009B5E2F" w:rsidRDefault="00CB3C5A" w:rsidP="00CB3C5A">
      <w:pPr>
        <w:pStyle w:val="a3"/>
        <w:spacing w:after="0" w:line="360" w:lineRule="auto"/>
        <w:ind w:left="444"/>
        <w:rPr>
          <w:rFonts w:ascii="David" w:hAnsi="David" w:cs="David"/>
          <w:sz w:val="24"/>
          <w:szCs w:val="24"/>
          <w:rtl/>
        </w:rPr>
      </w:pPr>
    </w:p>
    <w:p w14:paraId="54A53297"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הסעד</w:t>
      </w:r>
    </w:p>
    <w:p w14:paraId="60929C60" w14:textId="41747E3C" w:rsidR="00D72ED9" w:rsidRPr="009B5E2F" w:rsidRDefault="00CB3C5A" w:rsidP="00D72ED9">
      <w:pPr>
        <w:pStyle w:val="a3"/>
        <w:numPr>
          <w:ilvl w:val="0"/>
          <w:numId w:val="4"/>
        </w:numPr>
        <w:spacing w:after="0" w:line="360" w:lineRule="auto"/>
        <w:jc w:val="both"/>
        <w:rPr>
          <w:rFonts w:ascii="David" w:hAnsi="David" w:cs="David"/>
          <w:sz w:val="24"/>
          <w:szCs w:val="24"/>
        </w:rPr>
      </w:pPr>
      <w:r w:rsidRPr="009B5E2F">
        <w:rPr>
          <w:rFonts w:ascii="David" w:hAnsi="David" w:cs="David" w:hint="cs"/>
          <w:sz w:val="24"/>
          <w:szCs w:val="24"/>
          <w:rtl/>
        </w:rPr>
        <w:t>התובע מבקש:</w:t>
      </w:r>
    </w:p>
    <w:p w14:paraId="2D1B8B5B" w14:textId="3595233B" w:rsidR="00CB3C5A" w:rsidRPr="009B5E2F"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סעד הצהרתי בדבר הדרך לחישוב גימלתו ובדבר חישוב ההפרש המגיע לו.</w:t>
      </w:r>
    </w:p>
    <w:p w14:paraId="357553E5" w14:textId="2A7ABC5B" w:rsidR="00CB3C5A"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פיצוי כספי על אופן הטיפול בפניות המערער במשך שנים רבות.</w:t>
      </w:r>
    </w:p>
    <w:p w14:paraId="1B6EA79A" w14:textId="77777777" w:rsidR="004F210A" w:rsidRPr="009B5E2F" w:rsidRDefault="004F210A" w:rsidP="004F210A">
      <w:pPr>
        <w:pStyle w:val="a3"/>
        <w:numPr>
          <w:ilvl w:val="0"/>
          <w:numId w:val="5"/>
        </w:numPr>
        <w:spacing w:after="0" w:line="360" w:lineRule="auto"/>
        <w:rPr>
          <w:rFonts w:ascii="David" w:hAnsi="David" w:cs="David"/>
          <w:sz w:val="24"/>
          <w:szCs w:val="24"/>
        </w:rPr>
      </w:pPr>
      <w:r>
        <w:rPr>
          <w:rFonts w:ascii="David" w:hAnsi="David" w:cs="David" w:hint="cs"/>
          <w:sz w:val="24"/>
          <w:szCs w:val="24"/>
          <w:rtl/>
        </w:rPr>
        <w:t>קביעה כי לא חלה התיישנות על תביעה זו.</w:t>
      </w:r>
    </w:p>
    <w:p w14:paraId="2B44BFDB" w14:textId="77777777" w:rsidR="00D72ED9" w:rsidRPr="009B5E2F" w:rsidRDefault="00D72ED9" w:rsidP="00CB3C5A">
      <w:pPr>
        <w:spacing w:after="0" w:line="360" w:lineRule="auto"/>
        <w:rPr>
          <w:rFonts w:ascii="David" w:hAnsi="David" w:cs="David"/>
          <w:b/>
          <w:bCs/>
          <w:sz w:val="24"/>
          <w:szCs w:val="24"/>
          <w:u w:val="single"/>
          <w:rtl/>
        </w:rPr>
      </w:pPr>
    </w:p>
    <w:p w14:paraId="5DA24823" w14:textId="35B63CBC" w:rsidR="00D72ED9" w:rsidRPr="009B5E2F" w:rsidRDefault="00D72ED9" w:rsidP="00CB3C5A">
      <w:pPr>
        <w:spacing w:after="0" w:line="360" w:lineRule="auto"/>
        <w:rPr>
          <w:rFonts w:ascii="David" w:hAnsi="David" w:cs="David"/>
          <w:b/>
          <w:bCs/>
          <w:sz w:val="24"/>
          <w:szCs w:val="24"/>
          <w:u w:val="single"/>
          <w:rtl/>
        </w:rPr>
      </w:pPr>
      <w:r w:rsidRPr="009B5E2F">
        <w:rPr>
          <w:rFonts w:ascii="David" w:hAnsi="David" w:cs="David"/>
          <w:b/>
          <w:bCs/>
          <w:sz w:val="24"/>
          <w:szCs w:val="24"/>
          <w:u w:val="single"/>
          <w:rtl/>
        </w:rPr>
        <w:t>העובדות</w:t>
      </w:r>
    </w:p>
    <w:p w14:paraId="63CACC11" w14:textId="0A171017" w:rsidR="00AD7D3E" w:rsidRDefault="005378D5" w:rsidP="00914B97">
      <w:pPr>
        <w:pStyle w:val="a3"/>
        <w:numPr>
          <w:ilvl w:val="0"/>
          <w:numId w:val="4"/>
        </w:numPr>
        <w:spacing w:after="0" w:line="360" w:lineRule="auto"/>
        <w:jc w:val="both"/>
        <w:rPr>
          <w:rFonts w:ascii="David" w:hAnsi="David" w:cs="David"/>
          <w:sz w:val="24"/>
          <w:szCs w:val="24"/>
        </w:rPr>
      </w:pPr>
      <w:r w:rsidRPr="00914B97">
        <w:rPr>
          <w:rFonts w:ascii="David" w:hAnsi="David" w:cs="David"/>
          <w:sz w:val="24"/>
          <w:szCs w:val="24"/>
          <w:rtl/>
        </w:rPr>
        <w:t>התובע הועסק בשירות המדינה משנת 1970 עד שנת 1990 כעובד קבוע על פי כתב מינוי. בשנת 1990 שונה מעמדו והוא החל לעבוד על פי חוזה אישי (הסכם הבכירים</w:t>
      </w:r>
      <w:r w:rsidR="00F25091">
        <w:rPr>
          <w:rFonts w:ascii="David" w:hAnsi="David" w:cs="David" w:hint="cs"/>
          <w:sz w:val="24"/>
          <w:szCs w:val="24"/>
          <w:rtl/>
        </w:rPr>
        <w:t xml:space="preserve">- </w:t>
      </w:r>
      <w:r w:rsidR="00F25091">
        <w:rPr>
          <w:rFonts w:ascii="David" w:hAnsi="David" w:cs="David" w:hint="cs"/>
          <w:b/>
          <w:bCs/>
          <w:sz w:val="24"/>
          <w:szCs w:val="24"/>
          <w:rtl/>
        </w:rPr>
        <w:t>נספח 1</w:t>
      </w:r>
      <w:r w:rsidRPr="00914B97">
        <w:rPr>
          <w:rFonts w:ascii="David" w:hAnsi="David" w:cs="David"/>
          <w:sz w:val="24"/>
          <w:szCs w:val="24"/>
          <w:rtl/>
        </w:rPr>
        <w:t>). על פי חוזה זה המשיך בעבודתו עד תאריך 31.7.2012 ואז פרש לגימלאות.</w:t>
      </w:r>
      <w:r w:rsidR="00D05926">
        <w:rPr>
          <w:rFonts w:ascii="David" w:hAnsi="David" w:cs="David" w:hint="cs"/>
          <w:sz w:val="24"/>
          <w:szCs w:val="24"/>
          <w:rtl/>
        </w:rPr>
        <w:t xml:space="preserve"> כיון שזכות לגימלה מוגבלת ל-35 שנות עבודה,</w:t>
      </w:r>
      <w:r w:rsidR="00F25091">
        <w:rPr>
          <w:rFonts w:ascii="David" w:hAnsi="David" w:cs="David" w:hint="cs"/>
          <w:sz w:val="24"/>
          <w:szCs w:val="24"/>
          <w:rtl/>
        </w:rPr>
        <w:t xml:space="preserve"> בשנת </w:t>
      </w:r>
      <w:r w:rsidR="00D05926">
        <w:rPr>
          <w:rFonts w:ascii="David" w:hAnsi="David" w:cs="David" w:hint="cs"/>
          <w:sz w:val="24"/>
          <w:szCs w:val="24"/>
          <w:rtl/>
        </w:rPr>
        <w:t xml:space="preserve">2012 </w:t>
      </w:r>
      <w:r w:rsidR="00F25091">
        <w:rPr>
          <w:rFonts w:ascii="David" w:hAnsi="David" w:cs="David" w:hint="cs"/>
          <w:sz w:val="24"/>
          <w:szCs w:val="24"/>
          <w:rtl/>
        </w:rPr>
        <w:t xml:space="preserve">קיבל פיצויים עבור </w:t>
      </w:r>
      <w:r w:rsidR="00D05926">
        <w:rPr>
          <w:rFonts w:ascii="David" w:hAnsi="David" w:cs="David" w:hint="cs"/>
          <w:sz w:val="24"/>
          <w:szCs w:val="24"/>
          <w:rtl/>
        </w:rPr>
        <w:t xml:space="preserve">7.66 </w:t>
      </w:r>
      <w:r w:rsidR="00F25091">
        <w:rPr>
          <w:rFonts w:ascii="David" w:hAnsi="David" w:cs="David" w:hint="cs"/>
          <w:sz w:val="24"/>
          <w:szCs w:val="24"/>
          <w:rtl/>
        </w:rPr>
        <w:t xml:space="preserve">שנות עבודה </w:t>
      </w:r>
      <w:r w:rsidR="00D05926">
        <w:rPr>
          <w:rFonts w:ascii="David" w:hAnsi="David" w:cs="David" w:hint="cs"/>
          <w:sz w:val="24"/>
          <w:szCs w:val="24"/>
          <w:rtl/>
        </w:rPr>
        <w:t xml:space="preserve">עודפות </w:t>
      </w:r>
      <w:r w:rsidR="00F25091">
        <w:rPr>
          <w:rFonts w:ascii="David" w:hAnsi="David" w:cs="David" w:hint="cs"/>
          <w:sz w:val="24"/>
          <w:szCs w:val="24"/>
          <w:rtl/>
        </w:rPr>
        <w:t xml:space="preserve">לפי הסכם הבכירים באופן שנותרו לו זכויות גימלה </w:t>
      </w:r>
      <w:r w:rsidR="00D05926">
        <w:rPr>
          <w:rFonts w:ascii="David" w:hAnsi="David" w:cs="David" w:hint="cs"/>
          <w:sz w:val="24"/>
          <w:szCs w:val="24"/>
          <w:rtl/>
        </w:rPr>
        <w:t>עבור 35 שנות עבודה על פי חישוב של 2% לכל שנה. השאלה כמה מתוך שנים אלה תחושבנה כשנים על פי כתב מינוי וכמה על פי הסכם הבכירים היא אחת משאלות המחלוקת בתיק זה</w:t>
      </w:r>
      <w:r w:rsidR="00F25091">
        <w:rPr>
          <w:rFonts w:ascii="David" w:hAnsi="David" w:cs="David" w:hint="cs"/>
          <w:sz w:val="24"/>
          <w:szCs w:val="24"/>
          <w:rtl/>
        </w:rPr>
        <w:t>.</w:t>
      </w:r>
    </w:p>
    <w:p w14:paraId="1B79DCCA" w14:textId="0E8651D2" w:rsidR="00F25091" w:rsidRDefault="00F25091" w:rsidP="00F25091">
      <w:pPr>
        <w:pStyle w:val="a3"/>
        <w:numPr>
          <w:ilvl w:val="0"/>
          <w:numId w:val="4"/>
        </w:numPr>
        <w:spacing w:after="0" w:line="360" w:lineRule="auto"/>
        <w:jc w:val="both"/>
        <w:rPr>
          <w:rFonts w:ascii="David" w:hAnsi="David" w:cs="David"/>
          <w:sz w:val="24"/>
          <w:szCs w:val="24"/>
          <w:rtl/>
        </w:rPr>
      </w:pPr>
      <w:r>
        <w:rPr>
          <w:rFonts w:ascii="David" w:hAnsi="David" w:cs="David" w:hint="cs"/>
          <w:sz w:val="24"/>
          <w:szCs w:val="24"/>
          <w:rtl/>
        </w:rPr>
        <w:t>במשך כחצי שנה לא קיבל התובע כל גימלה ולאחר שפנה בכתב ובע"פ אל נש"מ ואל הממונה על הגמלאות ק</w:t>
      </w:r>
      <w:r w:rsidR="00E46E88">
        <w:rPr>
          <w:rFonts w:ascii="David" w:hAnsi="David" w:cs="David" w:hint="cs"/>
          <w:sz w:val="24"/>
          <w:szCs w:val="24"/>
          <w:rtl/>
        </w:rPr>
        <w:t>י</w:t>
      </w:r>
      <w:r>
        <w:rPr>
          <w:rFonts w:ascii="David" w:hAnsi="David" w:cs="David" w:hint="cs"/>
          <w:sz w:val="24"/>
          <w:szCs w:val="24"/>
          <w:rtl/>
        </w:rPr>
        <w:t xml:space="preserve">בל גימלה החל מחודש </w:t>
      </w:r>
      <w:r w:rsidR="00EA16BC">
        <w:rPr>
          <w:rFonts w:ascii="David" w:hAnsi="David" w:cs="David" w:hint="cs"/>
          <w:sz w:val="24"/>
          <w:szCs w:val="24"/>
          <w:rtl/>
        </w:rPr>
        <w:t>ינואר 2013, רטרואקטיבית מחודש אוגוסט 2012.</w:t>
      </w:r>
    </w:p>
    <w:p w14:paraId="6B260D45" w14:textId="717B89EE" w:rsidR="00036485" w:rsidRDefault="00036485" w:rsidP="002443E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lastRenderedPageBreak/>
        <w:t>בחודש דצמבר 2012 קיבל התובע הודעה מנש"מ על הפסקת עבודתו ובעקבות זאת אישור על גובה גימלתו מהגב' חנה שוורץ, הממונה על הגמלאות.</w:t>
      </w:r>
    </w:p>
    <w:p w14:paraId="2B675E82" w14:textId="04C14CEB" w:rsidR="00036485" w:rsidRPr="00036485" w:rsidRDefault="00036485" w:rsidP="00036485">
      <w:pPr>
        <w:pStyle w:val="a3"/>
        <w:spacing w:after="0" w:line="360" w:lineRule="auto"/>
        <w:ind w:left="444"/>
        <w:jc w:val="both"/>
        <w:rPr>
          <w:rFonts w:ascii="David" w:hAnsi="David" w:cs="David"/>
          <w:sz w:val="24"/>
          <w:szCs w:val="24"/>
        </w:rPr>
      </w:pPr>
      <w:r>
        <w:rPr>
          <w:rFonts w:ascii="David" w:hAnsi="David" w:cs="David" w:hint="cs"/>
          <w:sz w:val="24"/>
          <w:szCs w:val="24"/>
          <w:rtl/>
        </w:rPr>
        <w:t>הגב' שוורץ ציינה במכתבה כי "</w:t>
      </w:r>
      <w:r>
        <w:rPr>
          <w:rFonts w:ascii="David" w:hAnsi="David" w:cs="David" w:hint="cs"/>
          <w:b/>
          <w:bCs/>
          <w:sz w:val="24"/>
          <w:szCs w:val="24"/>
          <w:rtl/>
        </w:rPr>
        <w:t>אושרה גימלה בשיעור של 70% מחוזה בכירים בהתאם לאישור נש"מ מ-21.8.2012"</w:t>
      </w:r>
      <w:r>
        <w:rPr>
          <w:rFonts w:ascii="David" w:hAnsi="David" w:cs="David" w:hint="cs"/>
          <w:sz w:val="24"/>
          <w:szCs w:val="24"/>
          <w:rtl/>
        </w:rPr>
        <w:t>. כיון שתלוש המשכורת לא תאם את האמור במכתבה, פנה התובע לגב' שוורץ וביקש הסברים. בשיחתם הציגה הגב' שוורץ בפני התובע את מכתבו של מר אהרונוב מנש"מ אליה, מתאריך 21.8.2012, המסביר את הנחויתיו לחישוב גימלתו של התובע. בפגישה זו, בתחילת ינואר 2013, ראה התובע לראשונה את מכתב ההנחיות של מר אהרונוב (</w:t>
      </w:r>
      <w:r>
        <w:rPr>
          <w:rFonts w:ascii="David" w:hAnsi="David" w:cs="David" w:hint="cs"/>
          <w:b/>
          <w:bCs/>
          <w:sz w:val="24"/>
          <w:szCs w:val="24"/>
          <w:rtl/>
        </w:rPr>
        <w:t>נספח 2</w:t>
      </w:r>
      <w:r>
        <w:rPr>
          <w:rFonts w:ascii="David" w:hAnsi="David" w:cs="David" w:hint="cs"/>
          <w:sz w:val="24"/>
          <w:szCs w:val="24"/>
          <w:rtl/>
        </w:rPr>
        <w:t>).</w:t>
      </w:r>
    </w:p>
    <w:p w14:paraId="24A7FF9D" w14:textId="2609CEAC" w:rsidR="006A4DE7"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מכאן ואילך ועד לשנת 2019 פנה התובע פעמים רבות אל נש"מ ואל הממונה על הגימלאות אך כל פניותיו נענו בהתחמקות או בה</w:t>
      </w:r>
      <w:r w:rsidR="001A1C3A">
        <w:rPr>
          <w:rFonts w:ascii="David" w:hAnsi="David" w:cs="David" w:hint="cs"/>
          <w:sz w:val="24"/>
          <w:szCs w:val="24"/>
          <w:rtl/>
        </w:rPr>
        <w:t>ב</w:t>
      </w:r>
      <w:r>
        <w:rPr>
          <w:rFonts w:ascii="David" w:hAnsi="David" w:cs="David" w:hint="cs"/>
          <w:sz w:val="24"/>
          <w:szCs w:val="24"/>
          <w:rtl/>
        </w:rPr>
        <w:t>טחות "לבדוק את הנושא".</w:t>
      </w:r>
    </w:p>
    <w:p w14:paraId="6FB77D07" w14:textId="4C0A5D1E" w:rsidR="005378D5" w:rsidRPr="00D72ED9" w:rsidRDefault="005378D5" w:rsidP="002443EF">
      <w:pPr>
        <w:pStyle w:val="a3"/>
        <w:numPr>
          <w:ilvl w:val="0"/>
          <w:numId w:val="4"/>
        </w:numPr>
        <w:spacing w:after="0" w:line="360" w:lineRule="auto"/>
        <w:jc w:val="both"/>
        <w:rPr>
          <w:rFonts w:ascii="David" w:hAnsi="David" w:cs="David"/>
          <w:sz w:val="24"/>
          <w:szCs w:val="24"/>
          <w:rtl/>
        </w:rPr>
      </w:pPr>
      <w:r w:rsidRPr="00D72ED9">
        <w:rPr>
          <w:rFonts w:ascii="David" w:hAnsi="David" w:cs="David"/>
          <w:sz w:val="24"/>
          <w:szCs w:val="24"/>
          <w:rtl/>
        </w:rPr>
        <w:t xml:space="preserve">בתאריך 3.10.2019 הגיש התובע תביעה לבית הדין האיזורי לעבודה בירושלים </w:t>
      </w:r>
      <w:r w:rsidR="002443EF">
        <w:rPr>
          <w:rFonts w:ascii="David" w:hAnsi="David" w:cs="David" w:hint="cs"/>
          <w:sz w:val="24"/>
          <w:szCs w:val="24"/>
          <w:rtl/>
        </w:rPr>
        <w:t xml:space="preserve">בתיק זה </w:t>
      </w:r>
      <w:r w:rsidRPr="00D72ED9">
        <w:rPr>
          <w:rFonts w:ascii="David" w:hAnsi="David" w:cs="David"/>
          <w:sz w:val="24"/>
          <w:szCs w:val="24"/>
          <w:rtl/>
        </w:rPr>
        <w:t>בנושאים שונים הקשורים לסדרי פרישתו ולתנאי הפרישה. כל סעיפי התביעה נדחו בעיקר מטעמי התיישנות.</w:t>
      </w:r>
    </w:p>
    <w:p w14:paraId="47929653" w14:textId="001A3B3B" w:rsidR="005378D5" w:rsidRPr="00D72ED9" w:rsidRDefault="005378D5" w:rsidP="002443EF">
      <w:pPr>
        <w:spacing w:after="0" w:line="360" w:lineRule="auto"/>
        <w:ind w:left="444"/>
        <w:jc w:val="both"/>
        <w:rPr>
          <w:rFonts w:ascii="David" w:hAnsi="David" w:cs="David"/>
          <w:sz w:val="24"/>
          <w:szCs w:val="24"/>
          <w:rtl/>
        </w:rPr>
      </w:pPr>
      <w:r w:rsidRPr="00D72ED9">
        <w:rPr>
          <w:rFonts w:ascii="David" w:hAnsi="David" w:cs="David"/>
          <w:sz w:val="24"/>
          <w:szCs w:val="24"/>
          <w:rtl/>
        </w:rPr>
        <w:t>התובע הגיש ערעור לבית הדין הארצי ובפסק הדין של בית הדין הארצי מיום 12.10.2021 נקבע כי חלקים מערעורו נדחים ואילו חלקים אחרים יחזרו לדיון בבית הדין האיזורי</w:t>
      </w:r>
      <w:r w:rsidR="006A4DE7">
        <w:rPr>
          <w:rFonts w:ascii="David" w:hAnsi="David" w:cs="David" w:hint="cs"/>
          <w:sz w:val="24"/>
          <w:szCs w:val="24"/>
          <w:rtl/>
        </w:rPr>
        <w:t xml:space="preserve"> (</w:t>
      </w:r>
      <w:r w:rsidR="006A4DE7" w:rsidRPr="006A4DE7">
        <w:rPr>
          <w:rFonts w:ascii="David" w:hAnsi="David" w:cs="David" w:hint="cs"/>
          <w:b/>
          <w:bCs/>
          <w:sz w:val="24"/>
          <w:szCs w:val="24"/>
          <w:rtl/>
        </w:rPr>
        <w:t xml:space="preserve">נספח </w:t>
      </w:r>
      <w:r w:rsidR="00F25091">
        <w:rPr>
          <w:rFonts w:ascii="David" w:hAnsi="David" w:cs="David" w:hint="cs"/>
          <w:b/>
          <w:bCs/>
          <w:sz w:val="24"/>
          <w:szCs w:val="24"/>
          <w:rtl/>
        </w:rPr>
        <w:t>3</w:t>
      </w:r>
      <w:r w:rsidR="006A4DE7">
        <w:rPr>
          <w:rFonts w:ascii="David" w:hAnsi="David" w:cs="David" w:hint="cs"/>
          <w:sz w:val="24"/>
          <w:szCs w:val="24"/>
          <w:rtl/>
        </w:rPr>
        <w:t>)</w:t>
      </w:r>
      <w:r w:rsidRPr="00D72ED9">
        <w:rPr>
          <w:rFonts w:ascii="David" w:hAnsi="David" w:cs="David"/>
          <w:sz w:val="24"/>
          <w:szCs w:val="24"/>
          <w:rtl/>
        </w:rPr>
        <w:t>.</w:t>
      </w:r>
    </w:p>
    <w:p w14:paraId="1F6FBA89" w14:textId="1547C751" w:rsidR="005378D5" w:rsidRPr="00D72ED9" w:rsidRDefault="005378D5" w:rsidP="00914B97">
      <w:pPr>
        <w:pStyle w:val="a3"/>
        <w:numPr>
          <w:ilvl w:val="0"/>
          <w:numId w:val="4"/>
        </w:numPr>
        <w:spacing w:after="0" w:line="360" w:lineRule="auto"/>
        <w:ind w:left="368"/>
        <w:jc w:val="both"/>
        <w:rPr>
          <w:rFonts w:ascii="David" w:hAnsi="David" w:cs="David"/>
          <w:sz w:val="24"/>
          <w:szCs w:val="24"/>
          <w:rtl/>
        </w:rPr>
      </w:pPr>
      <w:r w:rsidRPr="00D72ED9">
        <w:rPr>
          <w:rFonts w:ascii="David" w:hAnsi="David" w:cs="David"/>
          <w:sz w:val="24"/>
          <w:szCs w:val="24"/>
          <w:rtl/>
        </w:rPr>
        <w:t xml:space="preserve">הנושאים שהוחזרו לדיון והכרעה בבית הדין האיזורי </w:t>
      </w:r>
      <w:r w:rsidR="00A7499F" w:rsidRPr="00D72ED9">
        <w:rPr>
          <w:rFonts w:ascii="David" w:hAnsi="David" w:cs="David"/>
          <w:sz w:val="24"/>
          <w:szCs w:val="24"/>
          <w:rtl/>
        </w:rPr>
        <w:t>הם:</w:t>
      </w:r>
    </w:p>
    <w:p w14:paraId="5EB11ADF" w14:textId="751CC7A2"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הנוסחה לחישוב המשכורת הקובעת לפי הסכם הבכירים.</w:t>
      </w:r>
    </w:p>
    <w:p w14:paraId="7C206131" w14:textId="13F225C5"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זכאות המערער לדרגת פרישה (ס' 33 של פסה"ד).</w:t>
      </w:r>
    </w:p>
    <w:p w14:paraId="4454DFB6" w14:textId="6ED85507" w:rsidR="00A7499F" w:rsidRPr="00D72ED9" w:rsidRDefault="00A7499F" w:rsidP="00914B97">
      <w:pPr>
        <w:spacing w:after="0" w:line="360" w:lineRule="auto"/>
        <w:ind w:left="368"/>
        <w:jc w:val="both"/>
        <w:rPr>
          <w:rFonts w:ascii="David" w:hAnsi="David" w:cs="David"/>
          <w:sz w:val="24"/>
          <w:szCs w:val="24"/>
          <w:rtl/>
        </w:rPr>
      </w:pPr>
      <w:r w:rsidRPr="00D72ED9">
        <w:rPr>
          <w:rFonts w:ascii="David" w:hAnsi="David" w:cs="David"/>
          <w:sz w:val="24"/>
          <w:szCs w:val="24"/>
          <w:rtl/>
        </w:rPr>
        <w:t xml:space="preserve">בית הדין הארצי הוסיף כי בבירור שאלות אלה יש לבחון האם ההחלטות בנושא זה נתקבלו ע"י הממונה על הגמלאות על פי סמכותו בדין וכפופות להתיישנות שבחוק או שהן בסמכות נציב שירות המדינה וההתיישנות עליהן </w:t>
      </w:r>
      <w:r w:rsidR="00421C83">
        <w:rPr>
          <w:rFonts w:ascii="David" w:hAnsi="David" w:cs="David" w:hint="cs"/>
          <w:sz w:val="24"/>
          <w:szCs w:val="24"/>
          <w:rtl/>
        </w:rPr>
        <w:t xml:space="preserve">היא </w:t>
      </w:r>
      <w:r w:rsidRPr="00D72ED9">
        <w:rPr>
          <w:rFonts w:ascii="David" w:hAnsi="David" w:cs="David"/>
          <w:sz w:val="24"/>
          <w:szCs w:val="24"/>
          <w:rtl/>
        </w:rPr>
        <w:t>על פי חוק ההתיישנות.</w:t>
      </w:r>
    </w:p>
    <w:p w14:paraId="7F49DED7" w14:textId="13118DFF" w:rsidR="00E91402" w:rsidRPr="006A4DE7" w:rsidRDefault="00E91402" w:rsidP="006A4DE7">
      <w:pPr>
        <w:pStyle w:val="a3"/>
        <w:numPr>
          <w:ilvl w:val="0"/>
          <w:numId w:val="4"/>
        </w:numPr>
        <w:spacing w:after="0" w:line="360" w:lineRule="auto"/>
        <w:jc w:val="both"/>
        <w:rPr>
          <w:rFonts w:ascii="David" w:hAnsi="David" w:cs="David"/>
          <w:sz w:val="24"/>
          <w:szCs w:val="24"/>
          <w:rtl/>
        </w:rPr>
      </w:pPr>
      <w:r w:rsidRPr="006A4DE7">
        <w:rPr>
          <w:rFonts w:ascii="David" w:hAnsi="David" w:cs="David"/>
          <w:sz w:val="24"/>
          <w:szCs w:val="24"/>
          <w:rtl/>
        </w:rPr>
        <w:t>בנוסף לנושאים אלה החזיר בית הדין הארצי לכב' בית דין זה גם סמכות לדון בתביעה לפיצוי כספי בעניין אופן הטיפול בפניותיו של התובע לרשויות השונות בנושא תנאי פרישתו (ס' 50 של פס' הדין הארצי).</w:t>
      </w:r>
    </w:p>
    <w:p w14:paraId="6421248F" w14:textId="665FEED4" w:rsidR="00A7499F" w:rsidRDefault="00A7499F" w:rsidP="006A4DE7">
      <w:pPr>
        <w:pStyle w:val="a3"/>
        <w:numPr>
          <w:ilvl w:val="0"/>
          <w:numId w:val="4"/>
        </w:numPr>
        <w:spacing w:after="0" w:line="360" w:lineRule="auto"/>
        <w:ind w:left="368"/>
        <w:jc w:val="both"/>
        <w:rPr>
          <w:rFonts w:ascii="David" w:hAnsi="David" w:cs="David"/>
          <w:sz w:val="24"/>
          <w:szCs w:val="24"/>
        </w:rPr>
      </w:pPr>
      <w:r w:rsidRPr="00E91402">
        <w:rPr>
          <w:rFonts w:ascii="David" w:hAnsi="David" w:cs="David"/>
          <w:sz w:val="24"/>
          <w:szCs w:val="24"/>
          <w:rtl/>
        </w:rPr>
        <w:t xml:space="preserve">על יסוד פסק דין זה חוזר התובע אל בית הדין </w:t>
      </w:r>
      <w:r w:rsidR="006A4DE7">
        <w:rPr>
          <w:rFonts w:ascii="David" w:hAnsi="David" w:cs="David" w:hint="cs"/>
          <w:sz w:val="24"/>
          <w:szCs w:val="24"/>
          <w:rtl/>
        </w:rPr>
        <w:t>נכבד זה</w:t>
      </w:r>
      <w:r w:rsidRPr="00E91402">
        <w:rPr>
          <w:rFonts w:ascii="David" w:hAnsi="David" w:cs="David"/>
          <w:sz w:val="24"/>
          <w:szCs w:val="24"/>
          <w:rtl/>
        </w:rPr>
        <w:t xml:space="preserve"> ומבקש להכריע בשאלות שקבע בית הדין הארצי.</w:t>
      </w:r>
    </w:p>
    <w:p w14:paraId="65FFDB22" w14:textId="77777777" w:rsidR="001B0264" w:rsidRDefault="001B0264" w:rsidP="001B0264">
      <w:pPr>
        <w:pStyle w:val="a3"/>
        <w:spacing w:after="0" w:line="360" w:lineRule="auto"/>
        <w:jc w:val="both"/>
        <w:rPr>
          <w:rFonts w:ascii="David" w:hAnsi="David" w:cs="David"/>
          <w:sz w:val="24"/>
          <w:szCs w:val="24"/>
        </w:rPr>
      </w:pPr>
    </w:p>
    <w:p w14:paraId="017C5649" w14:textId="79A4C21D" w:rsidR="00E91402" w:rsidRPr="001B0264" w:rsidRDefault="001B0264" w:rsidP="00E91402">
      <w:pPr>
        <w:spacing w:after="0" w:line="360" w:lineRule="auto"/>
        <w:ind w:left="360"/>
        <w:jc w:val="both"/>
        <w:rPr>
          <w:rFonts w:ascii="David" w:hAnsi="David" w:cs="David"/>
          <w:b/>
          <w:bCs/>
          <w:sz w:val="24"/>
          <w:szCs w:val="24"/>
          <w:u w:val="single"/>
          <w:rtl/>
        </w:rPr>
      </w:pPr>
      <w:r w:rsidRPr="001B0264">
        <w:rPr>
          <w:rFonts w:ascii="David" w:hAnsi="David" w:cs="David" w:hint="cs"/>
          <w:b/>
          <w:bCs/>
          <w:sz w:val="24"/>
          <w:szCs w:val="24"/>
          <w:u w:val="single"/>
          <w:rtl/>
        </w:rPr>
        <w:t>הטיעונים המשפטיים</w:t>
      </w:r>
    </w:p>
    <w:p w14:paraId="3FFA22AD" w14:textId="458E140D" w:rsidR="000F4D9F" w:rsidRDefault="000F4D9F"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כאמור, הנתונים הקובעים את שיעור גימלתו של התובע נקבעו לראשונה במכתבו של מר אהרונוב</w:t>
      </w:r>
      <w:r w:rsidR="00C20DA4">
        <w:rPr>
          <w:rFonts w:ascii="David" w:hAnsi="David" w:cs="David" w:hint="cs"/>
          <w:sz w:val="24"/>
          <w:szCs w:val="24"/>
          <w:rtl/>
        </w:rPr>
        <w:t xml:space="preserve"> מנש"מ</w:t>
      </w:r>
      <w:r>
        <w:rPr>
          <w:rFonts w:ascii="David" w:hAnsi="David" w:cs="David" w:hint="cs"/>
          <w:sz w:val="24"/>
          <w:szCs w:val="24"/>
          <w:rtl/>
        </w:rPr>
        <w:t xml:space="preserve"> אל </w:t>
      </w:r>
      <w:r w:rsidR="005454E0">
        <w:rPr>
          <w:rFonts w:ascii="David" w:hAnsi="David" w:cs="David" w:hint="cs"/>
          <w:sz w:val="24"/>
          <w:szCs w:val="24"/>
          <w:rtl/>
        </w:rPr>
        <w:t xml:space="preserve">הגב' שוורץ הממונה על הגימלאות </w:t>
      </w:r>
      <w:r>
        <w:rPr>
          <w:rFonts w:ascii="David" w:hAnsi="David" w:cs="David" w:hint="cs"/>
          <w:sz w:val="24"/>
          <w:szCs w:val="24"/>
          <w:rtl/>
        </w:rPr>
        <w:t>ביום 21.8.12</w:t>
      </w:r>
      <w:r w:rsidR="00C20DA4">
        <w:rPr>
          <w:rFonts w:ascii="David" w:hAnsi="David" w:cs="David" w:hint="cs"/>
          <w:sz w:val="24"/>
          <w:szCs w:val="24"/>
          <w:rtl/>
        </w:rPr>
        <w:t xml:space="preserve"> (</w:t>
      </w:r>
      <w:r w:rsidR="00C20DA4">
        <w:rPr>
          <w:rFonts w:ascii="David" w:hAnsi="David" w:cs="David" w:hint="cs"/>
          <w:b/>
          <w:bCs/>
          <w:sz w:val="24"/>
          <w:szCs w:val="24"/>
          <w:rtl/>
        </w:rPr>
        <w:t>נספח 2</w:t>
      </w:r>
      <w:r w:rsidR="00C20DA4">
        <w:rPr>
          <w:rFonts w:ascii="David" w:hAnsi="David" w:cs="David" w:hint="cs"/>
          <w:sz w:val="24"/>
          <w:szCs w:val="24"/>
          <w:rtl/>
        </w:rPr>
        <w:t>)</w:t>
      </w:r>
      <w:r>
        <w:rPr>
          <w:rFonts w:ascii="David" w:hAnsi="David" w:cs="David" w:hint="cs"/>
          <w:sz w:val="24"/>
          <w:szCs w:val="24"/>
          <w:rtl/>
        </w:rPr>
        <w:t>.</w:t>
      </w:r>
    </w:p>
    <w:p w14:paraId="5D1B2B39" w14:textId="37A0ADD8" w:rsidR="000F4D9F" w:rsidRDefault="000F4D9F"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מכתב זה היה הבסיס והיסוד לכל ההחלטות </w:t>
      </w:r>
      <w:r w:rsidR="00C20DA4">
        <w:rPr>
          <w:rFonts w:ascii="David" w:hAnsi="David" w:cs="David" w:hint="cs"/>
          <w:sz w:val="24"/>
          <w:szCs w:val="24"/>
          <w:rtl/>
        </w:rPr>
        <w:t xml:space="preserve">והחישובים שקבע </w:t>
      </w:r>
      <w:r>
        <w:rPr>
          <w:rFonts w:ascii="David" w:hAnsi="David" w:cs="David" w:hint="cs"/>
          <w:sz w:val="24"/>
          <w:szCs w:val="24"/>
          <w:rtl/>
        </w:rPr>
        <w:t>בהמשך הממונה על הגימלאות ובהתאם לנתוני</w:t>
      </w:r>
      <w:r w:rsidR="00C20DA4">
        <w:rPr>
          <w:rFonts w:ascii="David" w:hAnsi="David" w:cs="David" w:hint="cs"/>
          <w:sz w:val="24"/>
          <w:szCs w:val="24"/>
          <w:rtl/>
        </w:rPr>
        <w:t xml:space="preserve"> נש"מ</w:t>
      </w:r>
      <w:r>
        <w:rPr>
          <w:rFonts w:ascii="David" w:hAnsi="David" w:cs="David" w:hint="cs"/>
          <w:sz w:val="24"/>
          <w:szCs w:val="24"/>
          <w:rtl/>
        </w:rPr>
        <w:t xml:space="preserve"> חושבה ושולמה מאז גימלתו.</w:t>
      </w:r>
    </w:p>
    <w:p w14:paraId="2A3A0DA3" w14:textId="5D56F035" w:rsidR="00C20DA4" w:rsidRDefault="00C20DA4"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מכתבו של מר אהרונוב הוא גם מוקד השגותיו של התובע על דרך חישוב גימלתו. התובע חולק על קביעתו (ס' 3) כי המשכורת הקובעת תהיה עפ"י דרגה 44+ וכן על נוסחת החישוב שנרשמה בס' 4.</w:t>
      </w:r>
    </w:p>
    <w:p w14:paraId="6822AA03" w14:textId="43B54076" w:rsidR="000F4D9F" w:rsidRDefault="000F4D9F" w:rsidP="00C20D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למכתב </w:t>
      </w:r>
      <w:r w:rsidR="0011087B">
        <w:rPr>
          <w:rFonts w:ascii="David" w:hAnsi="David" w:cs="David" w:hint="cs"/>
          <w:sz w:val="24"/>
          <w:szCs w:val="24"/>
          <w:rtl/>
        </w:rPr>
        <w:t xml:space="preserve">זה </w:t>
      </w:r>
      <w:r w:rsidR="00C20DA4">
        <w:rPr>
          <w:rFonts w:ascii="David" w:hAnsi="David" w:cs="David" w:hint="cs"/>
          <w:sz w:val="24"/>
          <w:szCs w:val="24"/>
          <w:rtl/>
        </w:rPr>
        <w:t xml:space="preserve">גם </w:t>
      </w:r>
      <w:r w:rsidR="0011087B">
        <w:rPr>
          <w:rFonts w:ascii="David" w:hAnsi="David" w:cs="David" w:hint="cs"/>
          <w:sz w:val="24"/>
          <w:szCs w:val="24"/>
          <w:rtl/>
        </w:rPr>
        <w:t xml:space="preserve">משמעות לשאלת התיישנות תביעתו. מן המכתב ומהצעדים וההתכתבויות בעקבותיו עולה בבירור כי </w:t>
      </w:r>
      <w:r w:rsidR="00CC7AFA">
        <w:rPr>
          <w:rFonts w:ascii="David" w:hAnsi="David" w:cs="David" w:hint="cs"/>
          <w:sz w:val="24"/>
          <w:szCs w:val="24"/>
          <w:rtl/>
        </w:rPr>
        <w:t xml:space="preserve">חישובי </w:t>
      </w:r>
      <w:r w:rsidR="0011087B">
        <w:rPr>
          <w:rFonts w:ascii="David" w:hAnsi="David" w:cs="David" w:hint="cs"/>
          <w:sz w:val="24"/>
          <w:szCs w:val="24"/>
          <w:rtl/>
        </w:rPr>
        <w:t xml:space="preserve">זכויות התובע </w:t>
      </w:r>
      <w:r w:rsidR="00CC7AFA">
        <w:rPr>
          <w:rFonts w:ascii="David" w:hAnsi="David" w:cs="David" w:hint="cs"/>
          <w:sz w:val="24"/>
          <w:szCs w:val="24"/>
          <w:rtl/>
        </w:rPr>
        <w:t xml:space="preserve">לגימלה </w:t>
      </w:r>
      <w:r w:rsidR="0011087B">
        <w:rPr>
          <w:rFonts w:ascii="David" w:hAnsi="David" w:cs="David" w:hint="cs"/>
          <w:sz w:val="24"/>
          <w:szCs w:val="24"/>
          <w:rtl/>
        </w:rPr>
        <w:t>נקבעו ונוסחו על ידי נציב</w:t>
      </w:r>
      <w:r w:rsidR="00CC7AFA">
        <w:rPr>
          <w:rFonts w:ascii="David" w:hAnsi="David" w:cs="David" w:hint="cs"/>
          <w:sz w:val="24"/>
          <w:szCs w:val="24"/>
          <w:rtl/>
        </w:rPr>
        <w:t>ות</w:t>
      </w:r>
      <w:r w:rsidR="0011087B">
        <w:rPr>
          <w:rFonts w:ascii="David" w:hAnsi="David" w:cs="David" w:hint="cs"/>
          <w:sz w:val="24"/>
          <w:szCs w:val="24"/>
          <w:rtl/>
        </w:rPr>
        <w:t xml:space="preserve"> שירות המדינה וכי תקופת ההתיישנות של תביעתו צרכה להיקבע על פי נתון ראשוני זה.</w:t>
      </w:r>
    </w:p>
    <w:p w14:paraId="70647F28" w14:textId="4EF40D24" w:rsidR="00443EA4" w:rsidRDefault="00443EA4" w:rsidP="00443E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lastRenderedPageBreak/>
        <w:t>מסקנה זו מתאשרת גם במכתבה של הגב' חנה שוורץ, מנהלת תחום הגימלאות בחשב הכללי, מיום 10 דצמבר</w:t>
      </w:r>
      <w:r w:rsidR="004572B5">
        <w:rPr>
          <w:rFonts w:ascii="David" w:hAnsi="David" w:cs="David" w:hint="cs"/>
          <w:sz w:val="24"/>
          <w:szCs w:val="24"/>
          <w:rtl/>
        </w:rPr>
        <w:t xml:space="preserve"> </w:t>
      </w:r>
      <w:r>
        <w:rPr>
          <w:rFonts w:ascii="David" w:hAnsi="David" w:cs="David" w:hint="cs"/>
          <w:sz w:val="24"/>
          <w:szCs w:val="24"/>
          <w:rtl/>
        </w:rPr>
        <w:t>2012</w:t>
      </w:r>
      <w:r w:rsidR="00F8130E">
        <w:rPr>
          <w:rFonts w:ascii="David" w:hAnsi="David" w:cs="David" w:hint="cs"/>
          <w:sz w:val="24"/>
          <w:szCs w:val="24"/>
          <w:rtl/>
        </w:rPr>
        <w:t xml:space="preserve"> (</w:t>
      </w:r>
      <w:r w:rsidR="00F8130E">
        <w:rPr>
          <w:rFonts w:ascii="David" w:hAnsi="David" w:cs="David" w:hint="cs"/>
          <w:b/>
          <w:bCs/>
          <w:sz w:val="24"/>
          <w:szCs w:val="24"/>
          <w:rtl/>
        </w:rPr>
        <w:t>נספח 4</w:t>
      </w:r>
      <w:r w:rsidR="00F8130E">
        <w:rPr>
          <w:rFonts w:ascii="David" w:hAnsi="David" w:cs="David" w:hint="cs"/>
          <w:sz w:val="24"/>
          <w:szCs w:val="24"/>
          <w:rtl/>
        </w:rPr>
        <w:t>)</w:t>
      </w:r>
      <w:r>
        <w:rPr>
          <w:rFonts w:ascii="David" w:hAnsi="David" w:cs="David" w:hint="cs"/>
          <w:sz w:val="24"/>
          <w:szCs w:val="24"/>
          <w:rtl/>
        </w:rPr>
        <w:t>, שבו היא מציינת בס' 1 ואף מדגישה כי קיצבת הפרישה עפ"י ס' 20 לחוק, בשיעור של 70% מהמשכורת הקובעת של חוזה בכירים, בהתאם לאישור נש"מ מיום 21.8.2012 (</w:t>
      </w:r>
      <w:r w:rsidRPr="00C80962">
        <w:rPr>
          <w:rFonts w:ascii="David" w:hAnsi="David" w:cs="David" w:hint="cs"/>
          <w:b/>
          <w:bCs/>
          <w:sz w:val="24"/>
          <w:szCs w:val="24"/>
          <w:rtl/>
        </w:rPr>
        <w:t xml:space="preserve">נספח </w:t>
      </w:r>
      <w:r w:rsidR="006C1520">
        <w:rPr>
          <w:rFonts w:ascii="David" w:hAnsi="David" w:cs="David" w:hint="cs"/>
          <w:b/>
          <w:bCs/>
          <w:sz w:val="24"/>
          <w:szCs w:val="24"/>
          <w:rtl/>
        </w:rPr>
        <w:t>2</w:t>
      </w:r>
      <w:r>
        <w:rPr>
          <w:rFonts w:ascii="David" w:hAnsi="David" w:cs="David" w:hint="cs"/>
          <w:sz w:val="24"/>
          <w:szCs w:val="24"/>
          <w:rtl/>
        </w:rPr>
        <w:t>)</w:t>
      </w:r>
      <w:r w:rsidR="002B254C">
        <w:rPr>
          <w:rFonts w:ascii="David" w:hAnsi="David" w:cs="David" w:hint="cs"/>
          <w:sz w:val="24"/>
          <w:szCs w:val="24"/>
          <w:rtl/>
        </w:rPr>
        <w:t>.</w:t>
      </w:r>
      <w:r>
        <w:rPr>
          <w:rFonts w:ascii="David" w:hAnsi="David" w:cs="David" w:hint="cs"/>
          <w:sz w:val="24"/>
          <w:szCs w:val="24"/>
          <w:rtl/>
        </w:rPr>
        <w:t xml:space="preserve"> כלומר</w:t>
      </w:r>
      <w:r w:rsidR="002B254C">
        <w:rPr>
          <w:rFonts w:ascii="David" w:hAnsi="David" w:cs="David" w:hint="cs"/>
          <w:sz w:val="24"/>
          <w:szCs w:val="24"/>
          <w:rtl/>
        </w:rPr>
        <w:t>,</w:t>
      </w:r>
      <w:r>
        <w:rPr>
          <w:rFonts w:ascii="David" w:hAnsi="David" w:cs="David" w:hint="cs"/>
          <w:sz w:val="24"/>
          <w:szCs w:val="24"/>
          <w:rtl/>
        </w:rPr>
        <w:t xml:space="preserve"> מכתבו של מר אהרונוב הוא הבסיס </w:t>
      </w:r>
      <w:r w:rsidR="002B254C">
        <w:rPr>
          <w:rFonts w:ascii="David" w:hAnsi="David" w:cs="David" w:hint="cs"/>
          <w:sz w:val="24"/>
          <w:szCs w:val="24"/>
          <w:rtl/>
        </w:rPr>
        <w:t xml:space="preserve">להוראות התשלום שביצעה מינהלת </w:t>
      </w:r>
      <w:r>
        <w:rPr>
          <w:rFonts w:ascii="David" w:hAnsi="David" w:cs="David" w:hint="cs"/>
          <w:sz w:val="24"/>
          <w:szCs w:val="24"/>
          <w:rtl/>
        </w:rPr>
        <w:t>הגימלאות.</w:t>
      </w:r>
    </w:p>
    <w:p w14:paraId="65E425AE" w14:textId="7CB9748D" w:rsidR="001B0264" w:rsidRDefault="001B0264" w:rsidP="001B0264">
      <w:pPr>
        <w:pStyle w:val="a3"/>
        <w:numPr>
          <w:ilvl w:val="0"/>
          <w:numId w:val="4"/>
        </w:numPr>
        <w:spacing w:after="0" w:line="360" w:lineRule="auto"/>
        <w:jc w:val="both"/>
        <w:rPr>
          <w:rFonts w:ascii="David" w:hAnsi="David" w:cs="David"/>
          <w:sz w:val="24"/>
          <w:szCs w:val="24"/>
        </w:rPr>
      </w:pPr>
      <w:r w:rsidRPr="0011087B">
        <w:rPr>
          <w:rFonts w:ascii="David" w:hAnsi="David" w:cs="David" w:hint="cs"/>
          <w:sz w:val="24"/>
          <w:szCs w:val="24"/>
          <w:rtl/>
        </w:rPr>
        <w:t xml:space="preserve">התובע חולק על האמור בס' 3 של מכתב </w:t>
      </w:r>
      <w:r w:rsidR="002B254C">
        <w:rPr>
          <w:rFonts w:ascii="David" w:hAnsi="David" w:cs="David" w:hint="cs"/>
          <w:sz w:val="24"/>
          <w:szCs w:val="24"/>
          <w:rtl/>
        </w:rPr>
        <w:t xml:space="preserve">אהרונוב, </w:t>
      </w:r>
      <w:r w:rsidRPr="0011087B">
        <w:rPr>
          <w:rFonts w:ascii="David" w:hAnsi="David" w:cs="David" w:hint="cs"/>
          <w:sz w:val="24"/>
          <w:szCs w:val="24"/>
          <w:rtl/>
        </w:rPr>
        <w:t xml:space="preserve">שקבע כי </w:t>
      </w:r>
      <w:r w:rsidR="002B254C">
        <w:rPr>
          <w:rFonts w:ascii="David" w:hAnsi="David" w:cs="David" w:hint="cs"/>
          <w:sz w:val="24"/>
          <w:szCs w:val="24"/>
          <w:rtl/>
        </w:rPr>
        <w:t>ה</w:t>
      </w:r>
      <w:r w:rsidRPr="0011087B">
        <w:rPr>
          <w:rFonts w:ascii="David" w:hAnsi="David" w:cs="David" w:hint="cs"/>
          <w:sz w:val="24"/>
          <w:szCs w:val="24"/>
          <w:rtl/>
        </w:rPr>
        <w:t>משכורת</w:t>
      </w:r>
      <w:r w:rsidR="002B254C">
        <w:rPr>
          <w:rFonts w:ascii="David" w:hAnsi="David" w:cs="David" w:hint="cs"/>
          <w:sz w:val="24"/>
          <w:szCs w:val="24"/>
          <w:rtl/>
        </w:rPr>
        <w:t xml:space="preserve"> הקובעת לגימלה על תקופת המינוי </w:t>
      </w:r>
      <w:r w:rsidRPr="0011087B">
        <w:rPr>
          <w:rFonts w:ascii="David" w:hAnsi="David" w:cs="David" w:hint="cs"/>
          <w:sz w:val="24"/>
          <w:szCs w:val="24"/>
          <w:rtl/>
        </w:rPr>
        <w:t xml:space="preserve">תהיה עפ"י דרגה 44+. התובע סבור כי היה צורך לקבוע שדרגת הפרישה </w:t>
      </w:r>
      <w:r w:rsidR="002B254C">
        <w:rPr>
          <w:rFonts w:ascii="David" w:hAnsi="David" w:cs="David" w:hint="cs"/>
          <w:sz w:val="24"/>
          <w:szCs w:val="24"/>
          <w:rtl/>
        </w:rPr>
        <w:t xml:space="preserve">לתקופת המינוי </w:t>
      </w:r>
      <w:r w:rsidRPr="0011087B">
        <w:rPr>
          <w:rFonts w:ascii="David" w:hAnsi="David" w:cs="David" w:hint="cs"/>
          <w:sz w:val="24"/>
          <w:szCs w:val="24"/>
          <w:rtl/>
        </w:rPr>
        <w:t>היא 4</w:t>
      </w:r>
      <w:r w:rsidR="00772B0B">
        <w:rPr>
          <w:rFonts w:ascii="David" w:hAnsi="David" w:cs="David" w:hint="cs"/>
          <w:sz w:val="24"/>
          <w:szCs w:val="24"/>
          <w:rtl/>
        </w:rPr>
        <w:t>5</w:t>
      </w:r>
      <w:r w:rsidRPr="0011087B">
        <w:rPr>
          <w:rFonts w:ascii="David" w:hAnsi="David" w:cs="David" w:hint="cs"/>
          <w:sz w:val="24"/>
          <w:szCs w:val="24"/>
          <w:rtl/>
        </w:rPr>
        <w:t>+.</w:t>
      </w:r>
    </w:p>
    <w:p w14:paraId="10360C4A" w14:textId="1A856809" w:rsidR="00EF6047" w:rsidRPr="00F258C4" w:rsidRDefault="00EF6047" w:rsidP="00EF6047">
      <w:pPr>
        <w:spacing w:after="0" w:line="360" w:lineRule="auto"/>
        <w:jc w:val="both"/>
        <w:rPr>
          <w:rFonts w:ascii="David" w:hAnsi="David" w:cs="David"/>
          <w:sz w:val="24"/>
          <w:szCs w:val="24"/>
          <w:rtl/>
        </w:rPr>
      </w:pPr>
    </w:p>
    <w:p w14:paraId="6CD1DDB9" w14:textId="48782ACD" w:rsidR="00EF6047" w:rsidRDefault="00EF6047" w:rsidP="00EF6047">
      <w:pPr>
        <w:pStyle w:val="a3"/>
        <w:spacing w:after="0" w:line="360" w:lineRule="auto"/>
        <w:ind w:left="444"/>
        <w:jc w:val="both"/>
        <w:rPr>
          <w:rFonts w:ascii="David" w:hAnsi="David" w:cs="David"/>
          <w:b/>
          <w:bCs/>
          <w:sz w:val="24"/>
          <w:szCs w:val="24"/>
          <w:u w:val="single"/>
          <w:rtl/>
        </w:rPr>
      </w:pPr>
      <w:r>
        <w:rPr>
          <w:rFonts w:ascii="David" w:hAnsi="David" w:cs="David" w:hint="cs"/>
          <w:b/>
          <w:bCs/>
          <w:sz w:val="24"/>
          <w:szCs w:val="24"/>
          <w:u w:val="single"/>
          <w:rtl/>
        </w:rPr>
        <w:t>ואלה נימוקי התביעה:</w:t>
      </w:r>
    </w:p>
    <w:p w14:paraId="450ECE64" w14:textId="43391101" w:rsidR="00F258C4" w:rsidRPr="007A68E1" w:rsidRDefault="00F258C4" w:rsidP="00F258C4">
      <w:pPr>
        <w:pStyle w:val="a3"/>
        <w:numPr>
          <w:ilvl w:val="0"/>
          <w:numId w:val="4"/>
        </w:numPr>
        <w:spacing w:after="0" w:line="360" w:lineRule="auto"/>
        <w:jc w:val="both"/>
        <w:rPr>
          <w:rFonts w:ascii="David" w:hAnsi="David" w:cs="David"/>
          <w:b/>
          <w:bCs/>
          <w:sz w:val="24"/>
          <w:szCs w:val="24"/>
          <w:u w:val="single"/>
        </w:rPr>
      </w:pPr>
      <w:r>
        <w:rPr>
          <w:rFonts w:ascii="David" w:hAnsi="David" w:cs="David" w:hint="cs"/>
          <w:sz w:val="24"/>
          <w:szCs w:val="24"/>
          <w:rtl/>
        </w:rPr>
        <w:t>לאחר שהתובע קיבל פיצויים על יתר</w:t>
      </w:r>
      <w:r w:rsidRPr="007A68E1">
        <w:rPr>
          <w:rFonts w:ascii="David" w:hAnsi="David" w:cs="David" w:hint="cs"/>
          <w:sz w:val="24"/>
          <w:szCs w:val="24"/>
          <w:rtl/>
        </w:rPr>
        <w:t xml:space="preserve">ת שנות עבודתו </w:t>
      </w:r>
      <w:r w:rsidR="007A68E1" w:rsidRPr="007A68E1">
        <w:rPr>
          <w:rFonts w:ascii="David" w:hAnsi="David" w:cs="David" w:hint="cs"/>
          <w:sz w:val="24"/>
          <w:szCs w:val="24"/>
          <w:rtl/>
        </w:rPr>
        <w:t>מעבר ל-35 שנים, נותרה השאלה כיצ</w:t>
      </w:r>
      <w:r w:rsidR="007A68E1">
        <w:rPr>
          <w:rFonts w:ascii="David" w:hAnsi="David" w:cs="David" w:hint="cs"/>
          <w:sz w:val="24"/>
          <w:szCs w:val="24"/>
          <w:rtl/>
        </w:rPr>
        <w:t>ד</w:t>
      </w:r>
      <w:r w:rsidR="007A68E1" w:rsidRPr="007A68E1">
        <w:rPr>
          <w:rFonts w:ascii="David" w:hAnsi="David" w:cs="David" w:hint="cs"/>
          <w:sz w:val="24"/>
          <w:szCs w:val="24"/>
          <w:rtl/>
        </w:rPr>
        <w:t xml:space="preserve"> תחושב גימלתו ב-35 השנים שנותרו</w:t>
      </w:r>
      <w:r w:rsidR="007A68E1">
        <w:rPr>
          <w:rFonts w:ascii="David" w:hAnsi="David" w:cs="David" w:hint="cs"/>
          <w:sz w:val="24"/>
          <w:szCs w:val="24"/>
          <w:rtl/>
        </w:rPr>
        <w:t>.</w:t>
      </w:r>
    </w:p>
    <w:p w14:paraId="7F4E18BE" w14:textId="5EA31D7B" w:rsidR="007A68E1" w:rsidRDefault="007A68E1" w:rsidP="007A68E1">
      <w:pPr>
        <w:pStyle w:val="a3"/>
        <w:spacing w:after="0" w:line="360" w:lineRule="auto"/>
        <w:ind w:left="444"/>
        <w:jc w:val="both"/>
        <w:rPr>
          <w:rFonts w:ascii="David" w:hAnsi="David" w:cs="David"/>
          <w:sz w:val="24"/>
          <w:szCs w:val="24"/>
          <w:rtl/>
        </w:rPr>
      </w:pPr>
      <w:r>
        <w:rPr>
          <w:rFonts w:ascii="David" w:hAnsi="David" w:cs="David" w:hint="cs"/>
          <w:sz w:val="24"/>
          <w:szCs w:val="24"/>
          <w:rtl/>
        </w:rPr>
        <w:t>שאלה זו מתחלקת לשתי שאלות משנה:</w:t>
      </w:r>
    </w:p>
    <w:p w14:paraId="32AED5B8" w14:textId="01414835" w:rsidR="007A68E1" w:rsidRPr="00E1676A" w:rsidRDefault="007A68E1" w:rsidP="007A68E1">
      <w:pPr>
        <w:pStyle w:val="a3"/>
        <w:numPr>
          <w:ilvl w:val="0"/>
          <w:numId w:val="10"/>
        </w:numPr>
        <w:spacing w:after="0" w:line="360" w:lineRule="auto"/>
        <w:jc w:val="both"/>
        <w:rPr>
          <w:rFonts w:ascii="David" w:hAnsi="David" w:cs="David"/>
          <w:b/>
          <w:bCs/>
          <w:sz w:val="24"/>
          <w:szCs w:val="24"/>
          <w:u w:val="single"/>
        </w:rPr>
      </w:pPr>
      <w:r>
        <w:rPr>
          <w:rFonts w:ascii="David" w:hAnsi="David" w:cs="David" w:hint="cs"/>
          <w:sz w:val="24"/>
          <w:szCs w:val="24"/>
          <w:rtl/>
        </w:rPr>
        <w:t xml:space="preserve">כמה שנים משנות עבודתו הנותרות </w:t>
      </w:r>
      <w:r w:rsidR="00E1676A">
        <w:rPr>
          <w:rFonts w:ascii="David" w:hAnsi="David" w:cs="David" w:hint="cs"/>
          <w:sz w:val="24"/>
          <w:szCs w:val="24"/>
          <w:rtl/>
        </w:rPr>
        <w:t>יש לייחס לעבודתו על פי כתב מינוי וכמה על פי חוזה הבכירים.</w:t>
      </w:r>
    </w:p>
    <w:p w14:paraId="407BDCC4" w14:textId="4F3E5032" w:rsidR="00E1676A" w:rsidRDefault="00E1676A" w:rsidP="007A68E1">
      <w:pPr>
        <w:pStyle w:val="a3"/>
        <w:numPr>
          <w:ilvl w:val="0"/>
          <w:numId w:val="10"/>
        </w:numPr>
        <w:spacing w:after="0" w:line="360" w:lineRule="auto"/>
        <w:jc w:val="both"/>
        <w:rPr>
          <w:rFonts w:ascii="David" w:hAnsi="David" w:cs="David"/>
          <w:sz w:val="24"/>
          <w:szCs w:val="24"/>
        </w:rPr>
      </w:pPr>
      <w:r w:rsidRPr="008E35F0">
        <w:rPr>
          <w:rFonts w:ascii="David" w:hAnsi="David" w:cs="David" w:hint="cs"/>
          <w:sz w:val="24"/>
          <w:szCs w:val="24"/>
          <w:rtl/>
        </w:rPr>
        <w:t xml:space="preserve">בכל אחת מתקופות העבודה </w:t>
      </w:r>
      <w:r w:rsidR="008E35F0" w:rsidRPr="008E35F0">
        <w:rPr>
          <w:rFonts w:ascii="David" w:hAnsi="David" w:cs="David" w:hint="cs"/>
          <w:sz w:val="24"/>
          <w:szCs w:val="24"/>
          <w:rtl/>
        </w:rPr>
        <w:t>מה צריך להיות שיעור גימלתו.</w:t>
      </w:r>
    </w:p>
    <w:p w14:paraId="2497750B" w14:textId="59AC1FD1"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תחילה לשאלה הראשונה.</w:t>
      </w:r>
    </w:p>
    <w:p w14:paraId="5B2D98A3" w14:textId="3B015AB7" w:rsidR="009B5E2F" w:rsidRDefault="000C73E1" w:rsidP="00213DD3">
      <w:pPr>
        <w:spacing w:after="0" w:line="360" w:lineRule="auto"/>
        <w:ind w:left="444"/>
        <w:jc w:val="both"/>
      </w:pPr>
      <w:r>
        <w:rPr>
          <w:rFonts w:ascii="David" w:hAnsi="David" w:cs="David" w:hint="cs"/>
          <w:sz w:val="24"/>
          <w:szCs w:val="24"/>
          <w:rtl/>
        </w:rPr>
        <w:t xml:space="preserve">מכתבו של מר אהרונוב כולל בס' 4 טבלה המפרטת כיצד יש לחשב את החלקים השונים של הגימלה ולקבוע את "תקופת החוזה", ביחס לכלל תקופת השירות ואת "תקופת כתב המינוי" ביחס ל"כלל תקופת השירות", קובעת כי שיטת חישוב הגימלה של התובע </w:t>
      </w:r>
      <w:r w:rsidR="00244EE7">
        <w:rPr>
          <w:rFonts w:ascii="David" w:hAnsi="David" w:cs="David" w:hint="cs"/>
          <w:sz w:val="24"/>
          <w:szCs w:val="24"/>
          <w:rtl/>
        </w:rPr>
        <w:t xml:space="preserve">תיעשה </w:t>
      </w:r>
      <w:r>
        <w:rPr>
          <w:rFonts w:ascii="David" w:hAnsi="David" w:cs="David" w:hint="cs"/>
          <w:sz w:val="24"/>
          <w:szCs w:val="24"/>
          <w:rtl/>
        </w:rPr>
        <w:t>"</w:t>
      </w:r>
      <w:r>
        <w:rPr>
          <w:rFonts w:ascii="David" w:hAnsi="David" w:cs="David" w:hint="cs"/>
          <w:b/>
          <w:bCs/>
          <w:sz w:val="24"/>
          <w:szCs w:val="24"/>
          <w:rtl/>
        </w:rPr>
        <w:t>עפ"י ממוצע חשבוני משוקלל שבין המשכורת הקובעת בס' 2 לעיל",</w:t>
      </w:r>
      <w:r>
        <w:rPr>
          <w:rFonts w:ascii="David" w:hAnsi="David" w:cs="David" w:hint="cs"/>
          <w:sz w:val="24"/>
          <w:szCs w:val="24"/>
          <w:rtl/>
        </w:rPr>
        <w:t xml:space="preserve"> כלומר מחושב ממוצע בין </w:t>
      </w:r>
      <w:r w:rsidR="00213DD3">
        <w:rPr>
          <w:rFonts w:ascii="David" w:hAnsi="David" w:cs="David" w:hint="cs"/>
          <w:sz w:val="24"/>
          <w:szCs w:val="24"/>
          <w:rtl/>
        </w:rPr>
        <w:t>ט</w:t>
      </w:r>
      <w:r w:rsidR="009B5E2F" w:rsidRPr="00F90EBA">
        <w:rPr>
          <w:rFonts w:ascii="David" w:hAnsi="David" w:cs="David" w:hint="cs"/>
          <w:sz w:val="24"/>
          <w:szCs w:val="24"/>
          <w:rtl/>
        </w:rPr>
        <w:t xml:space="preserve"> כי אגרת בית הדין ששולמה בתביעה הראשונה בסך 13,000 ₪ תחושב במסגרת האגרה של תביעה זו ובמידת הצורך יושב לתובע הפרש התשלום.</w:t>
      </w:r>
    </w:p>
    <w:p w14:paraId="48634DC3" w14:textId="1A4F5A0F"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11436226" w:rsidR="00B02EB3" w:rsidRPr="00F90EBA" w:rsidRDefault="001A6FFC" w:rsidP="00B02EB3">
      <w:pPr>
        <w:spacing w:after="0" w:line="360" w:lineRule="auto"/>
        <w:jc w:val="both"/>
        <w:rPr>
          <w:rtl/>
        </w:rPr>
      </w:pPr>
      <w:r>
        <w:rPr>
          <w:noProof/>
        </w:rPr>
        <w:pict w14:anchorId="792811E4">
          <v:line id="מחבר ישר 1" o:spid="_x0000_s2050"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" strokecolor="#4579b8 [3044]"/>
        </w:pic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t>עו"ד יעקב חסדאי</w:t>
      </w:r>
    </w:p>
    <w:p w14:paraId="273432C8" w14:textId="30C91C3E" w:rsidR="009B5E2F" w:rsidRPr="00D641D5" w:rsidRDefault="009B5E2F" w:rsidP="00D641D5">
      <w:pPr>
        <w:pStyle w:val="a3"/>
        <w:ind w:left="6120"/>
        <w:rPr>
          <w:rFonts w:ascii="David" w:hAnsi="David" w:cs="David"/>
          <w:b/>
          <w:bCs/>
          <w:rtl/>
        </w:rPr>
      </w:pPr>
      <w:r w:rsidRPr="00D641D5">
        <w:rPr>
          <w:rFonts w:ascii="David" w:hAnsi="David" w:cs="David"/>
          <w:b/>
          <w:bCs/>
          <w:rtl/>
        </w:rPr>
        <w:t>ב"כ התובע</w:t>
      </w:r>
    </w:p>
    <w:sectPr w:rsidR="009B5E2F" w:rsidRPr="00D641D5" w:rsidSect="004B773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61B4" w14:textId="77777777" w:rsidR="00253C85" w:rsidRDefault="00253C85" w:rsidP="00F25091">
      <w:pPr>
        <w:spacing w:after="0" w:line="240" w:lineRule="auto"/>
      </w:pPr>
      <w:r>
        <w:separator/>
      </w:r>
    </w:p>
  </w:endnote>
  <w:endnote w:type="continuationSeparator" w:id="0">
    <w:p w14:paraId="544ACAF4" w14:textId="77777777" w:rsidR="00253C85" w:rsidRDefault="00253C85"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9842243"/>
      <w:docPartObj>
        <w:docPartGallery w:val="Page Numbers (Bottom of Page)"/>
        <w:docPartUnique/>
      </w:docPartObj>
    </w:sdtPr>
    <w:sdtContent>
      <w:p w14:paraId="7297BB3B" w14:textId="306D7CAD" w:rsidR="00F25091" w:rsidRDefault="00F25091">
        <w:pPr>
          <w:pStyle w:val="a6"/>
          <w:jc w:val="center"/>
        </w:pPr>
        <w:r>
          <w:fldChar w:fldCharType="begin"/>
        </w:r>
        <w:r>
          <w:instrText>PAGE   \* MERGEFORMAT</w:instrText>
        </w:r>
        <w:r>
          <w:fldChar w:fldCharType="separate"/>
        </w:r>
        <w:r>
          <w:rPr>
            <w:rtl/>
            <w:lang w:val="he-IL"/>
          </w:rPr>
          <w:t>2</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407D" w14:textId="77777777" w:rsidR="00253C85" w:rsidRDefault="00253C85" w:rsidP="00F25091">
      <w:pPr>
        <w:spacing w:after="0" w:line="240" w:lineRule="auto"/>
      </w:pPr>
      <w:r>
        <w:separator/>
      </w:r>
    </w:p>
  </w:footnote>
  <w:footnote w:type="continuationSeparator" w:id="0">
    <w:p w14:paraId="458ADF98" w14:textId="77777777" w:rsidR="00253C85" w:rsidRDefault="00253C85" w:rsidP="00F2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5"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6" w15:restartNumberingAfterBreak="0">
    <w:nsid w:val="5ECA3B96"/>
    <w:multiLevelType w:val="hybridMultilevel"/>
    <w:tmpl w:val="350C6E50"/>
    <w:lvl w:ilvl="0" w:tplc="60946CAC">
      <w:start w:val="1"/>
      <w:numFmt w:val="hebrew1"/>
      <w:lvlText w:val="%1."/>
      <w:lvlJc w:val="left"/>
      <w:pPr>
        <w:ind w:left="804" w:hanging="360"/>
      </w:pPr>
      <w:rPr>
        <w:rFonts w:hint="default"/>
        <w:b/>
        <w:bCs w:val="0"/>
        <w:u w:val="none"/>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8"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9" w15:restartNumberingAfterBreak="0">
    <w:nsid w:val="722C6551"/>
    <w:multiLevelType w:val="hybridMultilevel"/>
    <w:tmpl w:val="23248FE8"/>
    <w:lvl w:ilvl="0" w:tplc="519085AE">
      <w:start w:val="1"/>
      <w:numFmt w:val="decimal"/>
      <w:lvlText w:val="%1."/>
      <w:lvlJc w:val="left"/>
      <w:pPr>
        <w:ind w:left="444" w:hanging="360"/>
      </w:pPr>
      <w:rPr>
        <w:rFonts w:hint="default"/>
        <w:b w:val="0"/>
        <w:bCs w:val="0"/>
      </w:rPr>
    </w:lvl>
    <w:lvl w:ilvl="1" w:tplc="04090019">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135371017">
    <w:abstractNumId w:val="1"/>
  </w:num>
  <w:num w:numId="2" w16cid:durableId="1780561672">
    <w:abstractNumId w:val="3"/>
  </w:num>
  <w:num w:numId="3" w16cid:durableId="1428965026">
    <w:abstractNumId w:val="2"/>
  </w:num>
  <w:num w:numId="4" w16cid:durableId="1724019476">
    <w:abstractNumId w:val="9"/>
  </w:num>
  <w:num w:numId="5" w16cid:durableId="1956525256">
    <w:abstractNumId w:val="8"/>
  </w:num>
  <w:num w:numId="6" w16cid:durableId="1803813834">
    <w:abstractNumId w:val="0"/>
  </w:num>
  <w:num w:numId="7" w16cid:durableId="1630470354">
    <w:abstractNumId w:val="7"/>
  </w:num>
  <w:num w:numId="8" w16cid:durableId="844979299">
    <w:abstractNumId w:val="5"/>
  </w:num>
  <w:num w:numId="9" w16cid:durableId="396629030">
    <w:abstractNumId w:val="4"/>
  </w:num>
  <w:num w:numId="10" w16cid:durableId="683869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D7D3E"/>
    <w:rsid w:val="0003627F"/>
    <w:rsid w:val="00036485"/>
    <w:rsid w:val="00040D16"/>
    <w:rsid w:val="00070EB9"/>
    <w:rsid w:val="0007439C"/>
    <w:rsid w:val="00094C01"/>
    <w:rsid w:val="000A6AB1"/>
    <w:rsid w:val="000B09A3"/>
    <w:rsid w:val="000C176B"/>
    <w:rsid w:val="000C73E1"/>
    <w:rsid w:val="000D3DF0"/>
    <w:rsid w:val="000E7391"/>
    <w:rsid w:val="000F4B53"/>
    <w:rsid w:val="000F4D9F"/>
    <w:rsid w:val="0011087B"/>
    <w:rsid w:val="00110E09"/>
    <w:rsid w:val="0011244E"/>
    <w:rsid w:val="00122D27"/>
    <w:rsid w:val="001633BD"/>
    <w:rsid w:val="00164A63"/>
    <w:rsid w:val="00171EAD"/>
    <w:rsid w:val="00196469"/>
    <w:rsid w:val="001A1C3A"/>
    <w:rsid w:val="001A6FFC"/>
    <w:rsid w:val="001B0264"/>
    <w:rsid w:val="001D7AC7"/>
    <w:rsid w:val="001E008D"/>
    <w:rsid w:val="001F7EA6"/>
    <w:rsid w:val="00202AA5"/>
    <w:rsid w:val="00213DD3"/>
    <w:rsid w:val="00215630"/>
    <w:rsid w:val="00220184"/>
    <w:rsid w:val="00222F31"/>
    <w:rsid w:val="002302A5"/>
    <w:rsid w:val="00230A36"/>
    <w:rsid w:val="002443EF"/>
    <w:rsid w:val="00244EE7"/>
    <w:rsid w:val="00251CC2"/>
    <w:rsid w:val="00253C85"/>
    <w:rsid w:val="002A156A"/>
    <w:rsid w:val="002A7756"/>
    <w:rsid w:val="002B254C"/>
    <w:rsid w:val="002D73C3"/>
    <w:rsid w:val="002E37DC"/>
    <w:rsid w:val="00364350"/>
    <w:rsid w:val="0037502D"/>
    <w:rsid w:val="003840AB"/>
    <w:rsid w:val="003879CA"/>
    <w:rsid w:val="0039759D"/>
    <w:rsid w:val="003C3A93"/>
    <w:rsid w:val="003C6F1D"/>
    <w:rsid w:val="003D7689"/>
    <w:rsid w:val="00401E09"/>
    <w:rsid w:val="00412547"/>
    <w:rsid w:val="00421C83"/>
    <w:rsid w:val="00437C1F"/>
    <w:rsid w:val="00440070"/>
    <w:rsid w:val="00443EA4"/>
    <w:rsid w:val="004572B5"/>
    <w:rsid w:val="00482142"/>
    <w:rsid w:val="004A4AF3"/>
    <w:rsid w:val="004B161A"/>
    <w:rsid w:val="004B773C"/>
    <w:rsid w:val="004E4DBB"/>
    <w:rsid w:val="004E5F9F"/>
    <w:rsid w:val="004F210A"/>
    <w:rsid w:val="004F4AEB"/>
    <w:rsid w:val="004F7A4E"/>
    <w:rsid w:val="004F7A6B"/>
    <w:rsid w:val="0050464F"/>
    <w:rsid w:val="00512CA9"/>
    <w:rsid w:val="005336DD"/>
    <w:rsid w:val="005378D5"/>
    <w:rsid w:val="005454E0"/>
    <w:rsid w:val="005539C4"/>
    <w:rsid w:val="005670AA"/>
    <w:rsid w:val="0057606C"/>
    <w:rsid w:val="005814AD"/>
    <w:rsid w:val="005945BC"/>
    <w:rsid w:val="00596A74"/>
    <w:rsid w:val="005A74FE"/>
    <w:rsid w:val="005C5890"/>
    <w:rsid w:val="005E60D5"/>
    <w:rsid w:val="006072EB"/>
    <w:rsid w:val="0062047F"/>
    <w:rsid w:val="00623714"/>
    <w:rsid w:val="00645C4D"/>
    <w:rsid w:val="006607BD"/>
    <w:rsid w:val="00667F91"/>
    <w:rsid w:val="0068674C"/>
    <w:rsid w:val="006A17A3"/>
    <w:rsid w:val="006A4DE7"/>
    <w:rsid w:val="006C146F"/>
    <w:rsid w:val="006C1520"/>
    <w:rsid w:val="007074DC"/>
    <w:rsid w:val="007245C2"/>
    <w:rsid w:val="00762786"/>
    <w:rsid w:val="00772B0B"/>
    <w:rsid w:val="00784266"/>
    <w:rsid w:val="00797CAD"/>
    <w:rsid w:val="007A68E1"/>
    <w:rsid w:val="007A7CDD"/>
    <w:rsid w:val="007C5DEE"/>
    <w:rsid w:val="007C7950"/>
    <w:rsid w:val="007D0A0D"/>
    <w:rsid w:val="007D2CF5"/>
    <w:rsid w:val="007E0411"/>
    <w:rsid w:val="007F062A"/>
    <w:rsid w:val="008227D5"/>
    <w:rsid w:val="008638B8"/>
    <w:rsid w:val="00864669"/>
    <w:rsid w:val="0087722D"/>
    <w:rsid w:val="00884CEA"/>
    <w:rsid w:val="008A3692"/>
    <w:rsid w:val="008A58B3"/>
    <w:rsid w:val="008B64A9"/>
    <w:rsid w:val="008D0965"/>
    <w:rsid w:val="008D2398"/>
    <w:rsid w:val="008D41C9"/>
    <w:rsid w:val="008D49AC"/>
    <w:rsid w:val="008E0000"/>
    <w:rsid w:val="008E35F0"/>
    <w:rsid w:val="00914B97"/>
    <w:rsid w:val="00915407"/>
    <w:rsid w:val="009458E8"/>
    <w:rsid w:val="00950196"/>
    <w:rsid w:val="009925D4"/>
    <w:rsid w:val="009971B5"/>
    <w:rsid w:val="009A27B9"/>
    <w:rsid w:val="009B5E2F"/>
    <w:rsid w:val="009D2B47"/>
    <w:rsid w:val="009E23CC"/>
    <w:rsid w:val="009E28C2"/>
    <w:rsid w:val="00A011F9"/>
    <w:rsid w:val="00A07C7A"/>
    <w:rsid w:val="00A27552"/>
    <w:rsid w:val="00A5028C"/>
    <w:rsid w:val="00A619F7"/>
    <w:rsid w:val="00A65B79"/>
    <w:rsid w:val="00A716C3"/>
    <w:rsid w:val="00A7499F"/>
    <w:rsid w:val="00AB70DA"/>
    <w:rsid w:val="00AD08F2"/>
    <w:rsid w:val="00AD7D3E"/>
    <w:rsid w:val="00AF16B8"/>
    <w:rsid w:val="00B02162"/>
    <w:rsid w:val="00B02EB3"/>
    <w:rsid w:val="00B472D2"/>
    <w:rsid w:val="00B543C0"/>
    <w:rsid w:val="00B673F5"/>
    <w:rsid w:val="00B94A0E"/>
    <w:rsid w:val="00B95EBF"/>
    <w:rsid w:val="00B968BC"/>
    <w:rsid w:val="00BA0193"/>
    <w:rsid w:val="00BB7ADB"/>
    <w:rsid w:val="00BC5879"/>
    <w:rsid w:val="00BD28C7"/>
    <w:rsid w:val="00BD42AF"/>
    <w:rsid w:val="00BD79B1"/>
    <w:rsid w:val="00BF4CD5"/>
    <w:rsid w:val="00BF6438"/>
    <w:rsid w:val="00C20DA4"/>
    <w:rsid w:val="00C42594"/>
    <w:rsid w:val="00C447EA"/>
    <w:rsid w:val="00C626F3"/>
    <w:rsid w:val="00C67F98"/>
    <w:rsid w:val="00C80962"/>
    <w:rsid w:val="00C87293"/>
    <w:rsid w:val="00C972AC"/>
    <w:rsid w:val="00CA2869"/>
    <w:rsid w:val="00CA72AF"/>
    <w:rsid w:val="00CB0512"/>
    <w:rsid w:val="00CB3C5A"/>
    <w:rsid w:val="00CC7AFA"/>
    <w:rsid w:val="00CF255F"/>
    <w:rsid w:val="00D01FAC"/>
    <w:rsid w:val="00D05926"/>
    <w:rsid w:val="00D34569"/>
    <w:rsid w:val="00D529EC"/>
    <w:rsid w:val="00D641D5"/>
    <w:rsid w:val="00D72ED9"/>
    <w:rsid w:val="00D777B4"/>
    <w:rsid w:val="00D849F8"/>
    <w:rsid w:val="00DA1689"/>
    <w:rsid w:val="00DB6544"/>
    <w:rsid w:val="00DB72EE"/>
    <w:rsid w:val="00DD17CE"/>
    <w:rsid w:val="00DF0037"/>
    <w:rsid w:val="00DF6A6D"/>
    <w:rsid w:val="00E035B9"/>
    <w:rsid w:val="00E052AC"/>
    <w:rsid w:val="00E06200"/>
    <w:rsid w:val="00E1676A"/>
    <w:rsid w:val="00E24908"/>
    <w:rsid w:val="00E254D0"/>
    <w:rsid w:val="00E36A64"/>
    <w:rsid w:val="00E46E88"/>
    <w:rsid w:val="00E80247"/>
    <w:rsid w:val="00E91402"/>
    <w:rsid w:val="00EA16BC"/>
    <w:rsid w:val="00EB2DFE"/>
    <w:rsid w:val="00EB506F"/>
    <w:rsid w:val="00EC709E"/>
    <w:rsid w:val="00ED7388"/>
    <w:rsid w:val="00EE6660"/>
    <w:rsid w:val="00EE6F20"/>
    <w:rsid w:val="00EF6047"/>
    <w:rsid w:val="00F0611B"/>
    <w:rsid w:val="00F06272"/>
    <w:rsid w:val="00F21892"/>
    <w:rsid w:val="00F25091"/>
    <w:rsid w:val="00F258C4"/>
    <w:rsid w:val="00F30B9C"/>
    <w:rsid w:val="00F8130E"/>
    <w:rsid w:val="00F90EBA"/>
    <w:rsid w:val="00FB4AD5"/>
    <w:rsid w:val="00FB67D0"/>
    <w:rsid w:val="00FC7A24"/>
    <w:rsid w:val="00FD18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51C784"/>
  <w15:docId w15:val="{2AB20885-B02A-4841-85FD-0099004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isda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0C9FB-5C1D-42B2-A986-A93361FA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3</Pages>
  <Words>876</Words>
  <Characters>4380</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cp:lastModifiedBy>
  <cp:revision>1</cp:revision>
  <cp:lastPrinted>2022-05-26T06:52:00Z</cp:lastPrinted>
  <dcterms:created xsi:type="dcterms:W3CDTF">2022-05-25T03:00:00Z</dcterms:created>
  <dcterms:modified xsi:type="dcterms:W3CDTF">2022-06-16T13:54:00Z</dcterms:modified>
</cp:coreProperties>
</file>