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D641D5" w:rsidRDefault="00D72ED9" w:rsidP="00D641D5">
      <w:pPr>
        <w:tabs>
          <w:tab w:val="left" w:pos="651"/>
        </w:tabs>
        <w:spacing w:after="0"/>
        <w:ind w:left="84"/>
        <w:rPr>
          <w:rFonts w:ascii="David" w:hAnsi="David" w:cs="David"/>
          <w:b/>
          <w:bCs/>
          <w:rtl/>
        </w:rPr>
      </w:pPr>
      <w:r w:rsidRPr="00D72ED9">
        <w:rPr>
          <w:rFonts w:ascii="David" w:hAnsi="David" w:cs="David"/>
          <w:b/>
          <w:bCs/>
          <w:rtl/>
        </w:rPr>
        <w:t>בבית הדין האזורי לעבודה בירושלים</w:t>
      </w:r>
      <w:r w:rsidRPr="00D72ED9">
        <w:rPr>
          <w:rFonts w:ascii="David" w:hAnsi="David" w:cs="David"/>
          <w:b/>
          <w:bCs/>
          <w:rtl/>
        </w:rPr>
        <w:tab/>
        <w:t xml:space="preserve">                                </w:t>
      </w:r>
      <w:r w:rsidRPr="00D72ED9">
        <w:rPr>
          <w:rFonts w:ascii="David" w:hAnsi="David" w:cs="David"/>
          <w:b/>
          <w:bCs/>
          <w:rtl/>
        </w:rPr>
        <w:tab/>
        <w:t xml:space="preserve">            </w:t>
      </w:r>
      <w:r w:rsidRPr="00D72ED9">
        <w:rPr>
          <w:rFonts w:ascii="David" w:hAnsi="David" w:cs="David"/>
          <w:b/>
          <w:bCs/>
          <w:rtl/>
        </w:rPr>
        <w:tab/>
        <w:t>סע</w:t>
      </w:r>
      <w:r>
        <w:rPr>
          <w:rFonts w:ascii="David" w:hAnsi="David" w:cs="David" w:hint="cs"/>
          <w:b/>
          <w:bCs/>
          <w:rtl/>
        </w:rPr>
        <w:t>"ש</w:t>
      </w:r>
      <w:r w:rsidRPr="00D72ED9">
        <w:rPr>
          <w:rFonts w:ascii="David" w:hAnsi="David" w:cs="David"/>
          <w:b/>
          <w:bCs/>
          <w:rtl/>
        </w:rPr>
        <w:t xml:space="preserve"> </w:t>
      </w:r>
      <w:r>
        <w:rPr>
          <w:rFonts w:ascii="David" w:hAnsi="David" w:cs="David" w:hint="cs"/>
          <w:b/>
          <w:bCs/>
          <w:rtl/>
        </w:rPr>
        <w:t>6928-10-1</w:t>
      </w:r>
      <w:r w:rsidRPr="00D72ED9">
        <w:rPr>
          <w:rFonts w:ascii="David" w:hAnsi="David" w:cs="David"/>
          <w:b/>
          <w:bCs/>
          <w:sz w:val="26"/>
          <w:szCs w:val="26"/>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1B3E87E6"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שמעון הכסטר</w:t>
      </w:r>
      <w:r w:rsidRPr="009B5E2F">
        <w:rPr>
          <w:rFonts w:ascii="David" w:hAnsi="David" w:cs="David"/>
          <w:b/>
          <w:bCs/>
          <w:sz w:val="24"/>
          <w:szCs w:val="24"/>
          <w:rtl/>
        </w:rPr>
        <w:t xml:space="preserve">, ת.ז. </w:t>
      </w:r>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ע"י ב"כ עו"ד יעקב חסדאי</w:t>
      </w:r>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8"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תיקון חישוב זכויות גימלה לתשלום הפרשים ולתשלום פיצויים.</w:t>
      </w:r>
    </w:p>
    <w:p w14:paraId="127711FC" w14:textId="77777777" w:rsidR="00370682" w:rsidRDefault="00D72ED9" w:rsidP="0084491B">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r w:rsidR="0084491B" w:rsidRPr="00DF3A9A">
        <w:rPr>
          <w:rFonts w:ascii="David" w:hAnsi="David" w:cs="David" w:hint="cs"/>
          <w:b/>
          <w:bCs/>
          <w:sz w:val="24"/>
          <w:szCs w:val="24"/>
          <w:rtl/>
        </w:rPr>
        <w:t xml:space="preserve"> </w:t>
      </w:r>
    </w:p>
    <w:p w14:paraId="7EF3EE13" w14:textId="535C2EAA" w:rsidR="0084491B" w:rsidRPr="00DF3A9A" w:rsidRDefault="0084491B" w:rsidP="0084491B">
      <w:pPr>
        <w:pStyle w:val="a3"/>
        <w:spacing w:after="0" w:line="360" w:lineRule="auto"/>
        <w:ind w:left="84"/>
        <w:rPr>
          <w:rFonts w:ascii="David" w:hAnsi="David" w:cs="David"/>
          <w:sz w:val="24"/>
          <w:szCs w:val="24"/>
          <w:highlight w:val="yellow"/>
          <w:rtl/>
        </w:rPr>
      </w:pPr>
      <w:r w:rsidRPr="00DF3A9A">
        <w:rPr>
          <w:rFonts w:ascii="David" w:hAnsi="David" w:cs="David" w:hint="cs"/>
          <w:sz w:val="24"/>
          <w:szCs w:val="24"/>
          <w:rtl/>
        </w:rPr>
        <w:t xml:space="preserve"> </w:t>
      </w:r>
      <w:r w:rsidRPr="0084491B">
        <w:rPr>
          <w:rFonts w:ascii="David" w:hAnsi="David" w:cs="David" w:hint="cs"/>
          <w:sz w:val="24"/>
          <w:szCs w:val="24"/>
          <w:highlight w:val="yellow"/>
          <w:rtl/>
        </w:rPr>
        <w:t>האם לא צריך להיות:</w:t>
      </w:r>
      <w:r>
        <w:rPr>
          <w:rFonts w:ascii="David" w:hAnsi="David" w:cs="David" w:hint="cs"/>
          <w:sz w:val="24"/>
          <w:szCs w:val="24"/>
          <w:rtl/>
        </w:rPr>
        <w:t xml:space="preserve">   </w:t>
      </w:r>
      <w:r w:rsidRPr="00DF3A9A">
        <w:rPr>
          <w:rFonts w:ascii="David" w:hAnsi="David" w:cs="David" w:hint="cs"/>
          <w:sz w:val="24"/>
          <w:szCs w:val="24"/>
          <w:highlight w:val="yellow"/>
          <w:rtl/>
        </w:rPr>
        <w:t xml:space="preserve">הפרשי גימלה .........(פטור מאגרה)  </w:t>
      </w:r>
    </w:p>
    <w:p w14:paraId="287F6954" w14:textId="52808ACA" w:rsidR="0084491B" w:rsidRDefault="0084491B" w:rsidP="0084491B">
      <w:pPr>
        <w:pStyle w:val="a3"/>
        <w:spacing w:after="0" w:line="360" w:lineRule="auto"/>
        <w:ind w:left="84"/>
        <w:rPr>
          <w:rFonts w:ascii="David" w:hAnsi="David" w:cs="David"/>
          <w:sz w:val="24"/>
          <w:szCs w:val="24"/>
          <w:rtl/>
        </w:rPr>
      </w:pPr>
      <w:r w:rsidRPr="00DF3A9A">
        <w:rPr>
          <w:rFonts w:ascii="David" w:hAnsi="David" w:cs="David" w:hint="cs"/>
          <w:b/>
          <w:bCs/>
          <w:sz w:val="24"/>
          <w:szCs w:val="24"/>
          <w:rtl/>
        </w:rPr>
        <w:t xml:space="preserve">                                   </w:t>
      </w:r>
      <w:r w:rsidR="00370682">
        <w:rPr>
          <w:rFonts w:ascii="David" w:hAnsi="David" w:cs="David" w:hint="cs"/>
          <w:sz w:val="24"/>
          <w:szCs w:val="24"/>
          <w:rtl/>
        </w:rPr>
        <w:t xml:space="preserve"> </w:t>
      </w:r>
      <w:r w:rsidRPr="00DF3A9A">
        <w:rPr>
          <w:rFonts w:ascii="David" w:hAnsi="David" w:cs="David" w:hint="cs"/>
          <w:sz w:val="24"/>
          <w:szCs w:val="24"/>
          <w:rtl/>
        </w:rPr>
        <w:t xml:space="preserve">   </w:t>
      </w:r>
      <w:r w:rsidRPr="00DF3A9A">
        <w:rPr>
          <w:rFonts w:ascii="David" w:hAnsi="David" w:cs="David" w:hint="cs"/>
          <w:sz w:val="24"/>
          <w:szCs w:val="24"/>
          <w:highlight w:val="yellow"/>
          <w:rtl/>
        </w:rPr>
        <w:t>פיצויים: 150.000ש"ח</w:t>
      </w:r>
      <w:r>
        <w:rPr>
          <w:rFonts w:ascii="David" w:hAnsi="David" w:cs="David" w:hint="cs"/>
          <w:sz w:val="24"/>
          <w:szCs w:val="24"/>
          <w:rtl/>
        </w:rPr>
        <w:t xml:space="preserve">                           </w:t>
      </w:r>
    </w:p>
    <w:p w14:paraId="70444DF4" w14:textId="11AB1B1F" w:rsidR="00D72ED9" w:rsidRDefault="00D72ED9" w:rsidP="0084491B">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אגרת בית הדין</w:t>
      </w:r>
      <w:r w:rsidRPr="009B5E2F">
        <w:rPr>
          <w:rFonts w:ascii="David" w:hAnsi="David" w:cs="David"/>
          <w:sz w:val="24"/>
          <w:szCs w:val="24"/>
          <w:rtl/>
        </w:rPr>
        <w:t xml:space="preserve"> –על פי תקנה 1 – 1% מסכום תביע</w:t>
      </w:r>
      <w:r w:rsidR="00DF3A9A">
        <w:rPr>
          <w:rFonts w:ascii="David" w:hAnsi="David" w:cs="David" w:hint="cs"/>
          <w:sz w:val="24"/>
          <w:szCs w:val="24"/>
          <w:rtl/>
        </w:rPr>
        <w:t xml:space="preserve">ת </w:t>
      </w:r>
      <w:r w:rsidR="00DF3A9A" w:rsidRPr="00DF3A9A">
        <w:rPr>
          <w:rFonts w:ascii="David" w:hAnsi="David" w:cs="David" w:hint="cs"/>
          <w:sz w:val="24"/>
          <w:szCs w:val="24"/>
          <w:highlight w:val="yellow"/>
          <w:rtl/>
        </w:rPr>
        <w:t>הפיצויים</w:t>
      </w:r>
      <w:r w:rsidR="00DF3A9A">
        <w:rPr>
          <w:rFonts w:ascii="David" w:hAnsi="David" w:cs="David" w:hint="cs"/>
          <w:sz w:val="24"/>
          <w:szCs w:val="24"/>
          <w:rtl/>
        </w:rPr>
        <w:t>:</w:t>
      </w:r>
      <w:r w:rsidRPr="009B5E2F">
        <w:rPr>
          <w:rFonts w:ascii="David" w:hAnsi="David" w:cs="David"/>
          <w:sz w:val="24"/>
          <w:szCs w:val="24"/>
          <w:rtl/>
        </w:rPr>
        <w:t xml:space="preserve">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r w:rsidR="00DF3A9A" w:rsidRPr="00DF3A9A">
        <w:rPr>
          <w:rFonts w:ascii="David" w:hAnsi="David" w:cs="David" w:hint="cs"/>
          <w:sz w:val="24"/>
          <w:szCs w:val="24"/>
          <w:highlight w:val="yellow"/>
          <w:rtl/>
        </w:rPr>
        <w:t>(שולם 3,000ש"ח</w:t>
      </w:r>
      <w:r w:rsidR="00DF3A9A">
        <w:rPr>
          <w:rFonts w:ascii="David" w:hAnsi="David" w:cs="David" w:hint="cs"/>
          <w:sz w:val="24"/>
          <w:szCs w:val="24"/>
          <w:rtl/>
        </w:rPr>
        <w:t>) ביתר)</w:t>
      </w:r>
    </w:p>
    <w:p w14:paraId="22CC790E" w14:textId="2F910475" w:rsidR="0084491B" w:rsidRPr="009B5E2F" w:rsidRDefault="0084491B" w:rsidP="00D72ED9">
      <w:pPr>
        <w:pStyle w:val="a3"/>
        <w:spacing w:after="0" w:line="360" w:lineRule="auto"/>
        <w:ind w:left="84"/>
        <w:rPr>
          <w:rFonts w:ascii="David" w:hAnsi="David" w:cs="David"/>
          <w:sz w:val="24"/>
          <w:szCs w:val="24"/>
          <w:rtl/>
        </w:rPr>
      </w:pP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ע"ע 2514-07-20 הכסטר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2A5D6F42"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התובע הוא גימלאי של שירות המדינה שפרש לאחר 42</w:t>
      </w:r>
      <w:r w:rsidR="00370682" w:rsidRPr="00370682">
        <w:rPr>
          <w:rFonts w:ascii="David" w:hAnsi="David" w:cs="David" w:hint="cs"/>
          <w:sz w:val="24"/>
          <w:szCs w:val="24"/>
          <w:highlight w:val="yellow"/>
          <w:rtl/>
        </w:rPr>
        <w:t>.66</w:t>
      </w:r>
      <w:r w:rsidRPr="009B5E2F">
        <w:rPr>
          <w:rFonts w:ascii="David" w:hAnsi="David" w:cs="David" w:hint="cs"/>
          <w:sz w:val="24"/>
          <w:szCs w:val="24"/>
          <w:rtl/>
        </w:rPr>
        <w:t xml:space="preserve"> שנות שירות</w:t>
      </w:r>
      <w:r w:rsidR="0091417D">
        <w:rPr>
          <w:rFonts w:ascii="David" w:hAnsi="David" w:cs="David" w:hint="cs"/>
          <w:sz w:val="24"/>
          <w:szCs w:val="24"/>
          <w:rtl/>
        </w:rPr>
        <w:t>,</w:t>
      </w:r>
      <w:r w:rsidRPr="009B5E2F">
        <w:rPr>
          <w:rFonts w:ascii="David" w:hAnsi="David" w:cs="David" w:hint="cs"/>
          <w:sz w:val="24"/>
          <w:szCs w:val="24"/>
          <w:rtl/>
        </w:rPr>
        <w:t xml:space="preserve"> </w:t>
      </w:r>
      <w:r w:rsidR="00370682" w:rsidRPr="00370682">
        <w:rPr>
          <w:rFonts w:ascii="David" w:hAnsi="David" w:cs="David" w:hint="cs"/>
          <w:sz w:val="24"/>
          <w:szCs w:val="24"/>
          <w:highlight w:val="yellow"/>
          <w:rtl/>
        </w:rPr>
        <w:t>רובם</w:t>
      </w:r>
      <w:r w:rsidR="00370682">
        <w:rPr>
          <w:rFonts w:ascii="David" w:hAnsi="David" w:cs="David" w:hint="cs"/>
          <w:sz w:val="24"/>
          <w:szCs w:val="24"/>
          <w:rtl/>
        </w:rPr>
        <w:t xml:space="preserve"> כ</w:t>
      </w:r>
      <w:r w:rsidRPr="009B5E2F">
        <w:rPr>
          <w:rFonts w:ascii="David" w:hAnsi="David" w:cs="David" w:hint="cs"/>
          <w:sz w:val="24"/>
          <w:szCs w:val="24"/>
          <w:rtl/>
        </w:rPr>
        <w:t>חשב בכיר.</w:t>
      </w:r>
    </w:p>
    <w:p w14:paraId="1DD6CDE3" w14:textId="41D611D0"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w:t>
      </w:r>
      <w:r w:rsidR="00370682">
        <w:rPr>
          <w:rFonts w:ascii="David" w:hAnsi="David" w:cs="David" w:hint="cs"/>
          <w:sz w:val="24"/>
          <w:szCs w:val="24"/>
          <w:rtl/>
        </w:rPr>
        <w:t xml:space="preserve">, </w:t>
      </w:r>
      <w:r w:rsidR="00370682" w:rsidRPr="00370682">
        <w:rPr>
          <w:rFonts w:ascii="David" w:hAnsi="David" w:cs="David" w:hint="cs"/>
          <w:sz w:val="24"/>
          <w:szCs w:val="24"/>
          <w:highlight w:val="yellow"/>
          <w:rtl/>
        </w:rPr>
        <w:t>משרד האוצר</w:t>
      </w:r>
      <w:r w:rsidRPr="009B5E2F">
        <w:rPr>
          <w:rFonts w:ascii="David" w:hAnsi="David" w:cs="David" w:hint="cs"/>
          <w:sz w:val="24"/>
          <w:szCs w:val="24"/>
          <w:rtl/>
        </w:rPr>
        <w:t xml:space="preserve">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1ABA8C07" w14:textId="77777777" w:rsidR="0091417D" w:rsidRPr="0091417D" w:rsidRDefault="00CB3C5A" w:rsidP="00CB3C5A">
      <w:pPr>
        <w:pStyle w:val="a3"/>
        <w:numPr>
          <w:ilvl w:val="0"/>
          <w:numId w:val="5"/>
        </w:numPr>
        <w:spacing w:after="0" w:line="360" w:lineRule="auto"/>
        <w:jc w:val="both"/>
        <w:rPr>
          <w:rFonts w:ascii="David" w:hAnsi="David" w:cs="David"/>
          <w:sz w:val="24"/>
          <w:szCs w:val="24"/>
          <w:highlight w:val="yellow"/>
        </w:rPr>
      </w:pPr>
      <w:r w:rsidRPr="0091417D">
        <w:rPr>
          <w:rFonts w:ascii="David" w:hAnsi="David" w:cs="David" w:hint="cs"/>
          <w:sz w:val="24"/>
          <w:szCs w:val="24"/>
          <w:highlight w:val="yellow"/>
          <w:rtl/>
        </w:rPr>
        <w:t xml:space="preserve">סעד הצהרתי בדבר </w:t>
      </w:r>
      <w:r w:rsidR="0091417D" w:rsidRPr="0091417D">
        <w:rPr>
          <w:rFonts w:ascii="David" w:hAnsi="David" w:cs="David" w:hint="cs"/>
          <w:sz w:val="24"/>
          <w:szCs w:val="24"/>
          <w:highlight w:val="yellow"/>
          <w:rtl/>
        </w:rPr>
        <w:t xml:space="preserve">המשכורת הקובעת לגימלה </w:t>
      </w:r>
    </w:p>
    <w:p w14:paraId="2D1B8B5B" w14:textId="2E8761AA"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 xml:space="preserve">הדרך לחישוב גימלתו ובדבר חישוב </w:t>
      </w:r>
      <w:r w:rsidRPr="00F928A6">
        <w:rPr>
          <w:rFonts w:ascii="David" w:hAnsi="David" w:cs="David" w:hint="cs"/>
          <w:sz w:val="24"/>
          <w:szCs w:val="24"/>
          <w:highlight w:val="yellow"/>
          <w:rtl/>
        </w:rPr>
        <w:t>ההפרש</w:t>
      </w:r>
      <w:r w:rsidR="00F928A6" w:rsidRPr="00F928A6">
        <w:rPr>
          <w:rFonts w:ascii="David" w:hAnsi="David" w:cs="David" w:hint="cs"/>
          <w:sz w:val="24"/>
          <w:szCs w:val="24"/>
          <w:highlight w:val="yellow"/>
          <w:rtl/>
        </w:rPr>
        <w:t xml:space="preserve">ים </w:t>
      </w:r>
      <w:r w:rsidRPr="00F928A6">
        <w:rPr>
          <w:rFonts w:ascii="David" w:hAnsi="David" w:cs="David" w:hint="cs"/>
          <w:sz w:val="24"/>
          <w:szCs w:val="24"/>
          <w:highlight w:val="yellow"/>
          <w:rtl/>
        </w:rPr>
        <w:t>המגיע</w:t>
      </w:r>
      <w:r w:rsidR="00F928A6" w:rsidRPr="00F928A6">
        <w:rPr>
          <w:rFonts w:ascii="David" w:hAnsi="David" w:cs="David" w:hint="cs"/>
          <w:sz w:val="24"/>
          <w:szCs w:val="24"/>
          <w:highlight w:val="yellow"/>
          <w:rtl/>
        </w:rPr>
        <w:t>ים</w:t>
      </w:r>
      <w:r w:rsidRPr="00F928A6">
        <w:rPr>
          <w:rFonts w:ascii="David" w:hAnsi="David" w:cs="David" w:hint="cs"/>
          <w:sz w:val="24"/>
          <w:szCs w:val="24"/>
          <w:highlight w:val="yellow"/>
          <w:rtl/>
        </w:rPr>
        <w:t xml:space="preserve"> לו</w:t>
      </w:r>
      <w:r w:rsidRPr="009B5E2F">
        <w:rPr>
          <w:rFonts w:ascii="David" w:hAnsi="David" w:cs="David" w:hint="cs"/>
          <w:sz w:val="24"/>
          <w:szCs w:val="24"/>
          <w:rtl/>
        </w:rPr>
        <w:t>.</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6A47130" w:rsidR="004F210A" w:rsidRDefault="004F210A" w:rsidP="004F210A">
      <w:pPr>
        <w:pStyle w:val="a3"/>
        <w:numPr>
          <w:ilvl w:val="0"/>
          <w:numId w:val="5"/>
        </w:numPr>
        <w:spacing w:after="0" w:line="360" w:lineRule="auto"/>
        <w:rPr>
          <w:rFonts w:ascii="David" w:hAnsi="David" w:cs="David"/>
          <w:sz w:val="24"/>
          <w:szCs w:val="24"/>
          <w:highlight w:val="yellow"/>
        </w:rPr>
      </w:pPr>
      <w:r>
        <w:rPr>
          <w:rFonts w:ascii="David" w:hAnsi="David" w:cs="David" w:hint="cs"/>
          <w:sz w:val="24"/>
          <w:szCs w:val="24"/>
          <w:rtl/>
        </w:rPr>
        <w:t>קביעה כי לא חלה התיישנות על תביעה זו.</w:t>
      </w:r>
      <w:r w:rsidR="00370682">
        <w:rPr>
          <w:rFonts w:ascii="David" w:hAnsi="David" w:cs="David" w:hint="cs"/>
          <w:sz w:val="24"/>
          <w:szCs w:val="24"/>
          <w:rtl/>
        </w:rPr>
        <w:t xml:space="preserve"> </w:t>
      </w:r>
      <w:r w:rsidR="00370682" w:rsidRPr="00F928A6">
        <w:rPr>
          <w:rFonts w:ascii="David" w:hAnsi="David" w:cs="David" w:hint="cs"/>
          <w:sz w:val="24"/>
          <w:szCs w:val="24"/>
          <w:highlight w:val="yellow"/>
          <w:rtl/>
        </w:rPr>
        <w:t>זה מה שאני מבקש</w:t>
      </w:r>
      <w:r w:rsidR="00F928A6" w:rsidRPr="00F928A6">
        <w:rPr>
          <w:rFonts w:ascii="David" w:hAnsi="David" w:cs="David" w:hint="cs"/>
          <w:sz w:val="24"/>
          <w:szCs w:val="24"/>
          <w:highlight w:val="yellow"/>
          <w:rtl/>
        </w:rPr>
        <w:t>? ואם לא יטענו להתישנות?</w:t>
      </w:r>
      <w:r w:rsidR="0091417D">
        <w:rPr>
          <w:rFonts w:ascii="David" w:hAnsi="David" w:cs="David" w:hint="cs"/>
          <w:sz w:val="24"/>
          <w:szCs w:val="24"/>
          <w:highlight w:val="yellow"/>
          <w:rtl/>
        </w:rPr>
        <w:t xml:space="preserve"> ר' גם פס"ד ארצי סעיף</w:t>
      </w:r>
    </w:p>
    <w:p w14:paraId="1D9735F3" w14:textId="53720572" w:rsidR="001B718B" w:rsidRPr="00F928A6" w:rsidRDefault="001B718B" w:rsidP="001B718B">
      <w:pPr>
        <w:pStyle w:val="a3"/>
        <w:spacing w:after="0" w:line="360" w:lineRule="auto"/>
        <w:ind w:left="804"/>
        <w:rPr>
          <w:rFonts w:ascii="David" w:hAnsi="David" w:cs="David"/>
          <w:sz w:val="24"/>
          <w:szCs w:val="24"/>
          <w:highlight w:val="yellow"/>
        </w:rPr>
      </w:pPr>
      <w:r>
        <w:rPr>
          <w:rFonts w:ascii="David" w:hAnsi="David" w:cs="David" w:hint="cs"/>
          <w:sz w:val="24"/>
          <w:szCs w:val="24"/>
          <w:highlight w:val="yellow"/>
          <w:rtl/>
        </w:rPr>
        <w:t>כ"כ ר' סעיף 46 לפסה"ד בארצי (הארכת מועד העירעור על החלטת הממונה.</w:t>
      </w: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3DCF28E2" w14:textId="7BDE65EB" w:rsidR="00F928A6"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 xml:space="preserve">התובע הועסק בשירות המדינה </w:t>
      </w:r>
      <w:r w:rsidR="00F928A6" w:rsidRPr="00F928A6">
        <w:rPr>
          <w:rFonts w:ascii="David" w:hAnsi="David" w:cs="David" w:hint="cs"/>
          <w:sz w:val="24"/>
          <w:szCs w:val="24"/>
          <w:highlight w:val="yellow"/>
          <w:rtl/>
        </w:rPr>
        <w:t>8 חודשים בשנת 1964</w:t>
      </w:r>
      <w:r w:rsidR="00F928A6">
        <w:rPr>
          <w:rFonts w:ascii="David" w:hAnsi="David" w:cs="David" w:hint="cs"/>
          <w:sz w:val="24"/>
          <w:szCs w:val="24"/>
          <w:rtl/>
        </w:rPr>
        <w:t xml:space="preserve"> ו</w:t>
      </w:r>
      <w:r w:rsidRPr="00914B97">
        <w:rPr>
          <w:rFonts w:ascii="David" w:hAnsi="David" w:cs="David"/>
          <w:sz w:val="24"/>
          <w:szCs w:val="24"/>
          <w:rtl/>
        </w:rPr>
        <w:t>משנת 1970 עד שנת 1990</w:t>
      </w:r>
      <w:r w:rsidR="00E21155">
        <w:rPr>
          <w:rFonts w:ascii="David" w:hAnsi="David" w:cs="David" w:hint="cs"/>
          <w:sz w:val="24"/>
          <w:szCs w:val="24"/>
          <w:rtl/>
        </w:rPr>
        <w:t>,</w:t>
      </w:r>
      <w:r w:rsidRPr="00914B97">
        <w:rPr>
          <w:rFonts w:ascii="David" w:hAnsi="David" w:cs="David"/>
          <w:sz w:val="24"/>
          <w:szCs w:val="24"/>
          <w:rtl/>
        </w:rPr>
        <w:t xml:space="preserve"> כעובד קבוע על פי כתב מינוי. בשנת 1990 שונה מעמדו</w:t>
      </w:r>
      <w:r w:rsidR="00314809">
        <w:rPr>
          <w:rFonts w:ascii="David" w:hAnsi="David" w:cs="David" w:hint="cs"/>
          <w:sz w:val="24"/>
          <w:szCs w:val="24"/>
          <w:rtl/>
        </w:rPr>
        <w:t xml:space="preserve"> </w:t>
      </w:r>
      <w:r w:rsidR="004E02DF">
        <w:rPr>
          <w:rFonts w:ascii="David" w:hAnsi="David" w:cs="David" w:hint="cs"/>
          <w:sz w:val="24"/>
          <w:szCs w:val="24"/>
          <w:rtl/>
        </w:rPr>
        <w:t>ביוזמת המדינה</w:t>
      </w:r>
      <w:r w:rsidR="002369FF">
        <w:rPr>
          <w:rFonts w:ascii="David" w:hAnsi="David" w:cs="David" w:hint="cs"/>
          <w:sz w:val="24"/>
          <w:szCs w:val="24"/>
          <w:rtl/>
        </w:rPr>
        <w:t xml:space="preserve">: </w:t>
      </w:r>
      <w:r w:rsidR="004E02DF">
        <w:rPr>
          <w:rFonts w:ascii="David" w:hAnsi="David" w:cs="David" w:hint="cs"/>
          <w:sz w:val="24"/>
          <w:szCs w:val="24"/>
          <w:rtl/>
        </w:rPr>
        <w:t xml:space="preserve">התובע הסכים לוותר על כתב </w:t>
      </w:r>
      <w:r w:rsidR="004E02DF">
        <w:rPr>
          <w:rFonts w:ascii="David" w:hAnsi="David" w:cs="David" w:hint="cs"/>
          <w:sz w:val="24"/>
          <w:szCs w:val="24"/>
          <w:rtl/>
        </w:rPr>
        <w:lastRenderedPageBreak/>
        <w:t xml:space="preserve">המינוי והקביעות הנילווית, </w:t>
      </w:r>
      <w:r w:rsidRPr="00914B97">
        <w:rPr>
          <w:rFonts w:ascii="David" w:hAnsi="David" w:cs="David"/>
          <w:sz w:val="24"/>
          <w:szCs w:val="24"/>
          <w:rtl/>
        </w:rPr>
        <w:t>והחל לעבוד על פי חוזה אישי (הסכם הבכירים</w:t>
      </w:r>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w:t>
      </w:r>
      <w:r w:rsidR="004E02DF">
        <w:rPr>
          <w:rFonts w:ascii="David" w:hAnsi="David" w:cs="David" w:hint="cs"/>
          <w:sz w:val="24"/>
          <w:szCs w:val="24"/>
          <w:rtl/>
        </w:rPr>
        <w:t xml:space="preserve"> בתנאי שכר וגימלאות משופרים (ר' מבוא לחוזה)</w:t>
      </w:r>
      <w:r w:rsidRPr="00914B97">
        <w:rPr>
          <w:rFonts w:ascii="David" w:hAnsi="David" w:cs="David"/>
          <w:sz w:val="24"/>
          <w:szCs w:val="24"/>
          <w:rtl/>
        </w:rPr>
        <w:t xml:space="preserve">. על פי חוזה זה המשיך בעבודתו עד תאריך </w:t>
      </w:r>
      <w:r w:rsidR="00F928A6" w:rsidRPr="00F928A6">
        <w:rPr>
          <w:rFonts w:ascii="David" w:hAnsi="David" w:cs="David" w:hint="cs"/>
          <w:sz w:val="24"/>
          <w:szCs w:val="24"/>
          <w:highlight w:val="yellow"/>
          <w:rtl/>
        </w:rPr>
        <w:t>5</w:t>
      </w:r>
      <w:r w:rsidRPr="00F928A6">
        <w:rPr>
          <w:rFonts w:ascii="David" w:hAnsi="David" w:cs="David"/>
          <w:sz w:val="24"/>
          <w:szCs w:val="24"/>
          <w:highlight w:val="yellow"/>
          <w:rtl/>
        </w:rPr>
        <w:t>.</w:t>
      </w:r>
      <w:r w:rsidR="00F928A6" w:rsidRPr="00F928A6">
        <w:rPr>
          <w:rFonts w:ascii="David" w:hAnsi="David" w:cs="David" w:hint="cs"/>
          <w:sz w:val="24"/>
          <w:szCs w:val="24"/>
          <w:highlight w:val="yellow"/>
          <w:rtl/>
        </w:rPr>
        <w:t>8</w:t>
      </w:r>
      <w:r w:rsidRPr="00914B97">
        <w:rPr>
          <w:rFonts w:ascii="David" w:hAnsi="David" w:cs="David"/>
          <w:sz w:val="24"/>
          <w:szCs w:val="24"/>
          <w:rtl/>
        </w:rPr>
        <w:t xml:space="preserve">.2012 </w:t>
      </w:r>
      <w:r w:rsidRPr="00F928A6">
        <w:rPr>
          <w:rFonts w:ascii="David" w:hAnsi="David" w:cs="David"/>
          <w:sz w:val="20"/>
          <w:szCs w:val="20"/>
          <w:highlight w:val="darkYellow"/>
          <w:rtl/>
        </w:rPr>
        <w:t>ואז פרש לגימלאות.</w:t>
      </w:r>
    </w:p>
    <w:p w14:paraId="7F483BE1" w14:textId="5E076D2D" w:rsidR="008A1352" w:rsidRDefault="00D05926" w:rsidP="00914B9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 כיון שזכות לגימלה מוגבלת ל-35 שנות עבודה,</w:t>
      </w:r>
      <w:r w:rsidR="00F25091">
        <w:rPr>
          <w:rFonts w:ascii="David" w:hAnsi="David" w:cs="David" w:hint="cs"/>
          <w:sz w:val="24"/>
          <w:szCs w:val="24"/>
          <w:rtl/>
        </w:rPr>
        <w:t xml:space="preserve"> קיבל </w:t>
      </w:r>
      <w:r w:rsidR="00E21155">
        <w:rPr>
          <w:rFonts w:ascii="David" w:hAnsi="David" w:cs="David" w:hint="cs"/>
          <w:sz w:val="24"/>
          <w:szCs w:val="24"/>
          <w:rtl/>
        </w:rPr>
        <w:t xml:space="preserve">התובע </w:t>
      </w:r>
      <w:r w:rsidR="004E02DF">
        <w:rPr>
          <w:rFonts w:ascii="David" w:hAnsi="David" w:cs="David" w:hint="cs"/>
          <w:sz w:val="24"/>
          <w:szCs w:val="24"/>
          <w:rtl/>
        </w:rPr>
        <w:t xml:space="preserve">בשנת 2012 </w:t>
      </w:r>
      <w:r w:rsidR="00F25091">
        <w:rPr>
          <w:rFonts w:ascii="David" w:hAnsi="David" w:cs="David" w:hint="cs"/>
          <w:sz w:val="24"/>
          <w:szCs w:val="24"/>
          <w:rtl/>
        </w:rPr>
        <w:t xml:space="preserve">פיצויים עבור </w:t>
      </w:r>
      <w:r>
        <w:rPr>
          <w:rFonts w:ascii="David" w:hAnsi="David" w:cs="David" w:hint="cs"/>
          <w:sz w:val="24"/>
          <w:szCs w:val="24"/>
          <w:rtl/>
        </w:rPr>
        <w:t xml:space="preserve">7.66 </w:t>
      </w:r>
      <w:r w:rsidR="00F25091">
        <w:rPr>
          <w:rFonts w:ascii="David" w:hAnsi="David" w:cs="David" w:hint="cs"/>
          <w:sz w:val="24"/>
          <w:szCs w:val="24"/>
          <w:rtl/>
        </w:rPr>
        <w:t xml:space="preserve">שנות עבודה </w:t>
      </w:r>
      <w:r>
        <w:rPr>
          <w:rFonts w:ascii="David" w:hAnsi="David" w:cs="David" w:hint="cs"/>
          <w:sz w:val="24"/>
          <w:szCs w:val="24"/>
          <w:rtl/>
        </w:rPr>
        <w:t xml:space="preserve">עודפות </w:t>
      </w:r>
      <w:r w:rsidR="00F25091">
        <w:rPr>
          <w:rFonts w:ascii="David" w:hAnsi="David" w:cs="David" w:hint="cs"/>
          <w:sz w:val="24"/>
          <w:szCs w:val="24"/>
          <w:rtl/>
        </w:rPr>
        <w:t xml:space="preserve">לפי הסכם הבכירים </w:t>
      </w:r>
      <w:r w:rsidR="00F928A6" w:rsidRPr="00F928A6">
        <w:rPr>
          <w:rFonts w:ascii="David" w:hAnsi="David" w:cs="David" w:hint="cs"/>
          <w:sz w:val="24"/>
          <w:szCs w:val="24"/>
          <w:highlight w:val="yellow"/>
          <w:rtl/>
        </w:rPr>
        <w:t>(סעיף 12ה)</w:t>
      </w:r>
      <w:r w:rsidR="00F928A6">
        <w:rPr>
          <w:rFonts w:ascii="David" w:hAnsi="David" w:cs="David" w:hint="cs"/>
          <w:sz w:val="24"/>
          <w:szCs w:val="24"/>
          <w:rtl/>
        </w:rPr>
        <w:t xml:space="preserve"> </w:t>
      </w:r>
      <w:r w:rsidR="00F25091">
        <w:rPr>
          <w:rFonts w:ascii="David" w:hAnsi="David" w:cs="David" w:hint="cs"/>
          <w:sz w:val="24"/>
          <w:szCs w:val="24"/>
          <w:rtl/>
        </w:rPr>
        <w:t xml:space="preserve">באופן שנותרו לו זכויות גימלה </w:t>
      </w:r>
      <w:r>
        <w:rPr>
          <w:rFonts w:ascii="David" w:hAnsi="David" w:cs="David" w:hint="cs"/>
          <w:sz w:val="24"/>
          <w:szCs w:val="24"/>
          <w:rtl/>
        </w:rPr>
        <w:t>עבור 35 שנות עבודה של 2% לכל שנה</w:t>
      </w:r>
      <w:r w:rsidR="004E02DF">
        <w:rPr>
          <w:rFonts w:ascii="David" w:hAnsi="David" w:cs="David" w:hint="cs"/>
          <w:sz w:val="24"/>
          <w:szCs w:val="24"/>
          <w:rtl/>
        </w:rPr>
        <w:t>,</w:t>
      </w:r>
      <w:r w:rsidR="008A1352">
        <w:rPr>
          <w:rFonts w:ascii="David" w:hAnsi="David" w:cs="David" w:hint="cs"/>
          <w:sz w:val="24"/>
          <w:szCs w:val="24"/>
          <w:rtl/>
        </w:rPr>
        <w:t xml:space="preserve"> מהמשכורת הקובעת לגימלה עבור </w:t>
      </w:r>
      <w:r w:rsidR="004E02DF">
        <w:rPr>
          <w:rFonts w:ascii="David" w:hAnsi="David" w:cs="David" w:hint="cs"/>
          <w:sz w:val="24"/>
          <w:szCs w:val="24"/>
          <w:rtl/>
        </w:rPr>
        <w:t xml:space="preserve">מלוא </w:t>
      </w:r>
      <w:r w:rsidR="008A1352">
        <w:rPr>
          <w:rFonts w:ascii="David" w:hAnsi="David" w:cs="David" w:hint="cs"/>
          <w:sz w:val="24"/>
          <w:szCs w:val="24"/>
          <w:rtl/>
        </w:rPr>
        <w:t xml:space="preserve">תקופת העבודה בחוזה </w:t>
      </w:r>
      <w:r w:rsidR="008A1352" w:rsidRPr="0068598F">
        <w:rPr>
          <w:rFonts w:ascii="David" w:hAnsi="David" w:cs="David" w:hint="cs"/>
          <w:sz w:val="24"/>
          <w:szCs w:val="24"/>
          <w:highlight w:val="yellow"/>
          <w:rtl/>
        </w:rPr>
        <w:t>ו</w:t>
      </w:r>
      <w:r w:rsidR="004E02DF" w:rsidRPr="0068598F">
        <w:rPr>
          <w:rFonts w:ascii="David" w:hAnsi="David" w:cs="David" w:hint="cs"/>
          <w:sz w:val="24"/>
          <w:szCs w:val="24"/>
          <w:highlight w:val="yellow"/>
          <w:rtl/>
        </w:rPr>
        <w:t>היתרה</w:t>
      </w:r>
      <w:r w:rsidR="0068598F">
        <w:rPr>
          <w:rFonts w:ascii="David" w:hAnsi="David" w:cs="David" w:hint="cs"/>
          <w:sz w:val="24"/>
          <w:szCs w:val="24"/>
          <w:rtl/>
        </w:rPr>
        <w:t xml:space="preserve">, לפי </w:t>
      </w:r>
      <w:r w:rsidR="008A1352">
        <w:rPr>
          <w:rFonts w:ascii="David" w:hAnsi="David" w:cs="David" w:hint="cs"/>
          <w:sz w:val="24"/>
          <w:szCs w:val="24"/>
          <w:rtl/>
        </w:rPr>
        <w:t>משכורת הקובעת לגימלה עבור תקופת כתב המינוי</w:t>
      </w:r>
      <w:r>
        <w:rPr>
          <w:rFonts w:ascii="David" w:hAnsi="David" w:cs="David" w:hint="cs"/>
          <w:sz w:val="24"/>
          <w:szCs w:val="24"/>
          <w:rtl/>
        </w:rPr>
        <w:t xml:space="preserve">. </w:t>
      </w:r>
    </w:p>
    <w:p w14:paraId="63CACC11" w14:textId="19057D16" w:rsidR="00AD7D3E" w:rsidRDefault="00D05926" w:rsidP="00914B97">
      <w:pPr>
        <w:pStyle w:val="a3"/>
        <w:numPr>
          <w:ilvl w:val="0"/>
          <w:numId w:val="4"/>
        </w:numPr>
        <w:spacing w:after="0" w:line="360" w:lineRule="auto"/>
        <w:jc w:val="both"/>
        <w:rPr>
          <w:rFonts w:ascii="David" w:hAnsi="David" w:cs="David"/>
          <w:sz w:val="24"/>
          <w:szCs w:val="24"/>
        </w:rPr>
      </w:pPr>
      <w:r w:rsidRPr="0039399F">
        <w:rPr>
          <w:rFonts w:ascii="David" w:hAnsi="David" w:cs="David" w:hint="cs"/>
          <w:b/>
          <w:bCs/>
          <w:sz w:val="24"/>
          <w:szCs w:val="24"/>
          <w:rtl/>
        </w:rPr>
        <w:t xml:space="preserve">השאלה כמה מתוך </w:t>
      </w:r>
      <w:r w:rsidR="005928D2" w:rsidRPr="0039399F">
        <w:rPr>
          <w:rFonts w:ascii="David" w:hAnsi="David" w:cs="David" w:hint="cs"/>
          <w:b/>
          <w:bCs/>
          <w:sz w:val="24"/>
          <w:szCs w:val="24"/>
          <w:rtl/>
        </w:rPr>
        <w:t xml:space="preserve">35 </w:t>
      </w:r>
      <w:r w:rsidRPr="0039399F">
        <w:rPr>
          <w:rFonts w:ascii="David" w:hAnsi="David" w:cs="David" w:hint="cs"/>
          <w:b/>
          <w:bCs/>
          <w:sz w:val="24"/>
          <w:szCs w:val="24"/>
          <w:rtl/>
        </w:rPr>
        <w:t xml:space="preserve">שנים אלה </w:t>
      </w:r>
      <w:r w:rsidR="005928D2" w:rsidRPr="0039399F">
        <w:rPr>
          <w:rFonts w:ascii="David" w:hAnsi="David" w:cs="David" w:hint="cs"/>
          <w:b/>
          <w:bCs/>
          <w:sz w:val="24"/>
          <w:szCs w:val="24"/>
          <w:rtl/>
        </w:rPr>
        <w:t xml:space="preserve">מזכים לגימלה ע"פ משכורת החוזה </w:t>
      </w:r>
      <w:r w:rsidRPr="0039399F">
        <w:rPr>
          <w:rFonts w:ascii="David" w:hAnsi="David" w:cs="David" w:hint="cs"/>
          <w:b/>
          <w:bCs/>
          <w:sz w:val="24"/>
          <w:szCs w:val="24"/>
          <w:rtl/>
        </w:rPr>
        <w:t>וכמה על פי</w:t>
      </w:r>
      <w:r w:rsidR="00CA78B4" w:rsidRPr="0039399F">
        <w:rPr>
          <w:rFonts w:ascii="David" w:hAnsi="David" w:cs="David" w:hint="cs"/>
          <w:b/>
          <w:bCs/>
          <w:sz w:val="24"/>
          <w:szCs w:val="24"/>
          <w:rtl/>
        </w:rPr>
        <w:t xml:space="preserve"> דרגה בדרוג המח"ר</w:t>
      </w:r>
      <w:r w:rsidR="00E21155" w:rsidRPr="0039399F">
        <w:rPr>
          <w:rFonts w:ascii="David" w:hAnsi="David" w:cs="David" w:hint="cs"/>
          <w:b/>
          <w:bCs/>
          <w:sz w:val="24"/>
          <w:szCs w:val="24"/>
          <w:rtl/>
        </w:rPr>
        <w:t>,</w:t>
      </w:r>
      <w:r w:rsidR="00CA78B4" w:rsidRPr="0039399F">
        <w:rPr>
          <w:rFonts w:ascii="David" w:hAnsi="David" w:cs="David" w:hint="cs"/>
          <w:b/>
          <w:bCs/>
          <w:sz w:val="24"/>
          <w:szCs w:val="24"/>
          <w:rtl/>
        </w:rPr>
        <w:t xml:space="preserve"> </w:t>
      </w:r>
      <w:r w:rsidRPr="0039399F">
        <w:rPr>
          <w:rFonts w:ascii="David" w:hAnsi="David" w:cs="David" w:hint="cs"/>
          <w:b/>
          <w:bCs/>
          <w:sz w:val="24"/>
          <w:szCs w:val="24"/>
          <w:rtl/>
        </w:rPr>
        <w:t>היא אחת משאלות המחלוקת בתיק זה</w:t>
      </w:r>
      <w:r w:rsidR="00F25091">
        <w:rPr>
          <w:rFonts w:ascii="David" w:hAnsi="David" w:cs="David" w:hint="cs"/>
          <w:sz w:val="24"/>
          <w:szCs w:val="24"/>
          <w:rtl/>
        </w:rPr>
        <w:t>.</w:t>
      </w:r>
    </w:p>
    <w:p w14:paraId="73640217" w14:textId="5480A6BD" w:rsidR="00C753B3" w:rsidRPr="00F43C5E" w:rsidRDefault="004E0BFD" w:rsidP="00A81303">
      <w:pPr>
        <w:pStyle w:val="a3"/>
        <w:numPr>
          <w:ilvl w:val="0"/>
          <w:numId w:val="4"/>
        </w:numPr>
        <w:spacing w:after="0" w:line="360" w:lineRule="auto"/>
        <w:ind w:left="442" w:hanging="357"/>
        <w:jc w:val="both"/>
        <w:rPr>
          <w:rFonts w:ascii="David" w:hAnsi="David" w:cs="David"/>
          <w:sz w:val="20"/>
          <w:szCs w:val="20"/>
          <w:highlight w:val="green"/>
          <w:u w:val="single"/>
        </w:rPr>
      </w:pPr>
      <w:r w:rsidRPr="00407449">
        <w:rPr>
          <w:rFonts w:ascii="David" w:hAnsi="David" w:cs="David" w:hint="cs"/>
          <w:b/>
          <w:bCs/>
          <w:sz w:val="24"/>
          <w:szCs w:val="24"/>
          <w:highlight w:val="yellow"/>
          <w:u w:val="single"/>
          <w:rtl/>
        </w:rPr>
        <w:t>השתלשלות האירועי</w:t>
      </w:r>
      <w:r w:rsidR="002B4735">
        <w:rPr>
          <w:rFonts w:ascii="David" w:hAnsi="David" w:cs="David" w:hint="cs"/>
          <w:b/>
          <w:bCs/>
          <w:sz w:val="24"/>
          <w:szCs w:val="24"/>
          <w:highlight w:val="yellow"/>
          <w:u w:val="single"/>
          <w:rtl/>
        </w:rPr>
        <w:t>ם</w:t>
      </w:r>
      <w:r w:rsidR="00743190">
        <w:rPr>
          <w:rFonts w:ascii="David" w:hAnsi="David" w:cs="David" w:hint="cs"/>
          <w:sz w:val="24"/>
          <w:szCs w:val="24"/>
          <w:highlight w:val="yellow"/>
          <w:u w:val="single"/>
          <w:rtl/>
        </w:rPr>
        <w:t xml:space="preserve">  </w:t>
      </w:r>
      <w:r w:rsidR="00743190" w:rsidRPr="00F43C5E">
        <w:rPr>
          <w:rFonts w:ascii="David" w:hAnsi="David" w:cs="David" w:hint="cs"/>
          <w:sz w:val="20"/>
          <w:szCs w:val="20"/>
          <w:highlight w:val="green"/>
          <w:u w:val="single"/>
          <w:rtl/>
        </w:rPr>
        <w:t xml:space="preserve">(חשוב לאור הסיפא שפיסקא 44 לפה"ד בארצי + </w:t>
      </w:r>
      <w:r w:rsidR="00044166">
        <w:rPr>
          <w:rFonts w:ascii="David" w:hAnsi="David" w:cs="David" w:hint="cs"/>
          <w:sz w:val="20"/>
          <w:szCs w:val="20"/>
          <w:highlight w:val="green"/>
          <w:u w:val="single"/>
          <w:rtl/>
        </w:rPr>
        <w:t>כ</w:t>
      </w:r>
      <w:r w:rsidR="00743190" w:rsidRPr="00F43C5E">
        <w:rPr>
          <w:rFonts w:ascii="David" w:hAnsi="David" w:cs="David" w:hint="cs"/>
          <w:sz w:val="20"/>
          <w:szCs w:val="20"/>
          <w:highlight w:val="green"/>
          <w:u w:val="single"/>
          <w:rtl/>
        </w:rPr>
        <w:t xml:space="preserve">חלק  </w:t>
      </w:r>
      <w:r w:rsidR="00F43C5E" w:rsidRPr="00F43C5E">
        <w:rPr>
          <w:rFonts w:ascii="David" w:hAnsi="David" w:cs="David" w:hint="cs"/>
          <w:sz w:val="20"/>
          <w:szCs w:val="20"/>
          <w:highlight w:val="green"/>
          <w:u w:val="single"/>
          <w:rtl/>
        </w:rPr>
        <w:t xml:space="preserve">מנימוקי </w:t>
      </w:r>
      <w:r w:rsidR="00F43C5E">
        <w:rPr>
          <w:rFonts w:ascii="David" w:hAnsi="David" w:cs="David" w:hint="cs"/>
          <w:sz w:val="20"/>
          <w:szCs w:val="20"/>
          <w:highlight w:val="green"/>
          <w:u w:val="single"/>
          <w:rtl/>
        </w:rPr>
        <w:t>תביעת ה</w:t>
      </w:r>
      <w:r w:rsidR="00F43C5E" w:rsidRPr="00F43C5E">
        <w:rPr>
          <w:rFonts w:ascii="David" w:hAnsi="David" w:cs="David" w:hint="cs"/>
          <w:sz w:val="20"/>
          <w:szCs w:val="20"/>
          <w:highlight w:val="green"/>
          <w:u w:val="single"/>
          <w:rtl/>
        </w:rPr>
        <w:t>פיצויים</w:t>
      </w:r>
    </w:p>
    <w:p w14:paraId="173D684E" w14:textId="48DAD922" w:rsidR="00AD3D73" w:rsidRPr="000C54FE" w:rsidRDefault="0029279C" w:rsidP="00DA735D">
      <w:pPr>
        <w:pStyle w:val="a3"/>
        <w:numPr>
          <w:ilvl w:val="1"/>
          <w:numId w:val="4"/>
        </w:numPr>
        <w:spacing w:after="0" w:line="360" w:lineRule="auto"/>
        <w:ind w:left="509" w:hanging="425"/>
        <w:jc w:val="both"/>
        <w:rPr>
          <w:rFonts w:ascii="David" w:hAnsi="David" w:cs="David"/>
          <w:sz w:val="24"/>
          <w:szCs w:val="24"/>
          <w:u w:val="single"/>
        </w:rPr>
      </w:pPr>
      <w:r>
        <w:rPr>
          <w:rFonts w:ascii="David" w:hAnsi="David" w:cs="David" w:hint="cs"/>
          <w:sz w:val="24"/>
          <w:szCs w:val="24"/>
          <w:highlight w:val="yellow"/>
          <w:u w:val="single"/>
        </w:rPr>
        <w:t xml:space="preserve"> </w:t>
      </w:r>
      <w:r w:rsidRPr="00F43C5E">
        <w:rPr>
          <w:rFonts w:ascii="David" w:hAnsi="David" w:cs="David" w:hint="cs"/>
          <w:sz w:val="24"/>
          <w:szCs w:val="24"/>
          <w:rtl/>
        </w:rPr>
        <w:t>ב-5.8.2012, אסרה סמנכ"לית האוצר על התובע להכנס למשרדו, בטענה שבחודש יולי 2017 הגיע לגיל פרישה(67) על אף שע"פ החוזה, העסקתו היתה אמורה להסתיים רק ב-31</w:t>
      </w:r>
      <w:r w:rsidR="00743190" w:rsidRPr="00F43C5E">
        <w:rPr>
          <w:rFonts w:ascii="David" w:hAnsi="David" w:cs="David" w:hint="cs"/>
          <w:sz w:val="24"/>
          <w:szCs w:val="24"/>
          <w:rtl/>
        </w:rPr>
        <w:t>.</w:t>
      </w:r>
      <w:r w:rsidRPr="00F43C5E">
        <w:rPr>
          <w:rFonts w:ascii="David" w:hAnsi="David" w:cs="David" w:hint="cs"/>
          <w:sz w:val="24"/>
          <w:szCs w:val="24"/>
          <w:rtl/>
        </w:rPr>
        <w:t>3.2014.</w:t>
      </w:r>
    </w:p>
    <w:p w14:paraId="2D80CD60" w14:textId="1B8E2243" w:rsidR="0029279C" w:rsidRPr="00F43C5E" w:rsidRDefault="0029279C" w:rsidP="00DA735D">
      <w:pPr>
        <w:pStyle w:val="a3"/>
        <w:numPr>
          <w:ilvl w:val="1"/>
          <w:numId w:val="4"/>
        </w:numPr>
        <w:spacing w:after="0" w:line="360" w:lineRule="auto"/>
        <w:ind w:left="509" w:hanging="425"/>
        <w:jc w:val="both"/>
        <w:rPr>
          <w:rFonts w:ascii="David" w:hAnsi="David" w:cs="David"/>
          <w:sz w:val="24"/>
          <w:szCs w:val="24"/>
          <w:u w:val="single"/>
        </w:rPr>
      </w:pPr>
      <w:r w:rsidRPr="00F43C5E">
        <w:rPr>
          <w:rFonts w:ascii="David" w:hAnsi="David" w:cs="David" w:hint="cs"/>
          <w:b/>
          <w:bCs/>
          <w:sz w:val="24"/>
          <w:szCs w:val="24"/>
          <w:rtl/>
        </w:rPr>
        <w:t xml:space="preserve">במשך חמישה חודשים לא קיבל התובע משכורת או גימלה </w:t>
      </w:r>
      <w:r w:rsidRPr="00F43C5E">
        <w:rPr>
          <w:rFonts w:ascii="David" w:hAnsi="David" w:cs="David" w:hint="cs"/>
          <w:sz w:val="24"/>
          <w:szCs w:val="24"/>
          <w:rtl/>
        </w:rPr>
        <w:t>למרות פניותיו החוזרות ונישנות של התובע ובא כוחו לאוצר ולמינהל הגימלאות.</w:t>
      </w:r>
    </w:p>
    <w:p w14:paraId="0638394F" w14:textId="3FD0B518" w:rsidR="0029279C" w:rsidRPr="00F43C5E" w:rsidRDefault="0029279C" w:rsidP="00DA735D">
      <w:pPr>
        <w:pStyle w:val="a3"/>
        <w:numPr>
          <w:ilvl w:val="1"/>
          <w:numId w:val="4"/>
        </w:numPr>
        <w:spacing w:after="0" w:line="360" w:lineRule="auto"/>
        <w:ind w:left="509" w:hanging="425"/>
        <w:jc w:val="both"/>
        <w:rPr>
          <w:rFonts w:ascii="David" w:hAnsi="David" w:cs="David"/>
          <w:sz w:val="24"/>
          <w:szCs w:val="24"/>
        </w:rPr>
      </w:pPr>
      <w:r w:rsidRPr="00F43C5E">
        <w:rPr>
          <w:rFonts w:ascii="David" w:hAnsi="David" w:cs="David"/>
          <w:sz w:val="24"/>
          <w:szCs w:val="24"/>
          <w:rtl/>
        </w:rPr>
        <w:t xml:space="preserve">רק במחצית חודש דצמבר 2012 קיבל התובע הודעה מנש"מ, שנחתמה </w:t>
      </w:r>
      <w:r w:rsidR="00105C8B">
        <w:rPr>
          <w:rFonts w:ascii="David" w:hAnsi="David" w:cs="David" w:hint="cs"/>
          <w:sz w:val="24"/>
          <w:szCs w:val="24"/>
          <w:rtl/>
        </w:rPr>
        <w:t xml:space="preserve">רק </w:t>
      </w:r>
      <w:r w:rsidRPr="00F43C5E">
        <w:rPr>
          <w:rFonts w:ascii="David" w:hAnsi="David" w:cs="David"/>
          <w:sz w:val="24"/>
          <w:szCs w:val="24"/>
          <w:rtl/>
        </w:rPr>
        <w:t xml:space="preserve">ביום 21.11.2012, לפיה נציב שרות המדינה </w:t>
      </w:r>
      <w:r w:rsidR="00743190" w:rsidRPr="00F43C5E">
        <w:rPr>
          <w:rFonts w:ascii="David" w:hAnsi="David" w:cs="David" w:hint="cs"/>
          <w:sz w:val="24"/>
          <w:szCs w:val="24"/>
          <w:rtl/>
        </w:rPr>
        <w:t>-</w:t>
      </w:r>
      <w:r w:rsidR="00105C8B" w:rsidRPr="00F43C5E">
        <w:rPr>
          <w:rFonts w:ascii="David" w:hAnsi="David" w:cs="David"/>
          <w:sz w:val="24"/>
          <w:szCs w:val="24"/>
          <w:rtl/>
        </w:rPr>
        <w:t>היחיד המוסמך</w:t>
      </w:r>
      <w:r w:rsidR="00105C8B">
        <w:rPr>
          <w:rFonts w:ascii="David" w:hAnsi="David" w:cs="David" w:hint="cs"/>
          <w:sz w:val="24"/>
          <w:szCs w:val="24"/>
          <w:rtl/>
        </w:rPr>
        <w:t xml:space="preserve"> </w:t>
      </w:r>
      <w:r w:rsidR="00105C8B" w:rsidRPr="00F43C5E">
        <w:rPr>
          <w:rFonts w:ascii="David" w:hAnsi="David" w:cs="David"/>
          <w:sz w:val="24"/>
          <w:szCs w:val="24"/>
          <w:rtl/>
        </w:rPr>
        <w:t>להפסיק את העסקת התובע</w:t>
      </w:r>
      <w:r w:rsidR="00105C8B" w:rsidRPr="00F43C5E">
        <w:rPr>
          <w:rFonts w:ascii="David" w:hAnsi="David" w:cs="David"/>
          <w:sz w:val="24"/>
          <w:szCs w:val="24"/>
          <w:rtl/>
        </w:rPr>
        <w:t xml:space="preserve"> </w:t>
      </w:r>
      <w:r w:rsidR="00105C8B">
        <w:rPr>
          <w:rFonts w:ascii="David" w:hAnsi="David" w:cs="David" w:hint="cs"/>
          <w:sz w:val="24"/>
          <w:szCs w:val="24"/>
          <w:rtl/>
        </w:rPr>
        <w:t>(</w:t>
      </w:r>
      <w:r w:rsidR="00F43C5E" w:rsidRPr="00F43C5E">
        <w:rPr>
          <w:rFonts w:ascii="David" w:hAnsi="David" w:cs="David"/>
          <w:sz w:val="24"/>
          <w:szCs w:val="24"/>
          <w:rtl/>
        </w:rPr>
        <w:t>סעיף 4 לחוזה</w:t>
      </w:r>
      <w:r w:rsidR="00105C8B">
        <w:rPr>
          <w:rFonts w:ascii="David" w:hAnsi="David" w:cs="David" w:hint="cs"/>
          <w:sz w:val="24"/>
          <w:szCs w:val="24"/>
          <w:rtl/>
        </w:rPr>
        <w:t>)-</w:t>
      </w:r>
      <w:r w:rsidRPr="00F43C5E">
        <w:rPr>
          <w:rFonts w:ascii="David" w:hAnsi="David" w:cs="David"/>
          <w:sz w:val="24"/>
          <w:szCs w:val="24"/>
          <w:rtl/>
        </w:rPr>
        <w:t xml:space="preserve"> החליט</w:t>
      </w:r>
      <w:r w:rsidR="004802BF">
        <w:rPr>
          <w:rFonts w:ascii="David" w:hAnsi="David" w:cs="David" w:hint="cs"/>
          <w:sz w:val="24"/>
          <w:szCs w:val="24"/>
          <w:rtl/>
        </w:rPr>
        <w:t xml:space="preserve"> </w:t>
      </w:r>
      <w:r w:rsidRPr="00F43C5E">
        <w:rPr>
          <w:rFonts w:ascii="David" w:hAnsi="David" w:cs="David"/>
          <w:sz w:val="24"/>
          <w:szCs w:val="24"/>
          <w:rtl/>
        </w:rPr>
        <w:t>להוציאו לקיצבה מטעמי גיל</w:t>
      </w:r>
      <w:r w:rsidR="00105C8B">
        <w:rPr>
          <w:rFonts w:ascii="David" w:hAnsi="David" w:cs="David" w:hint="cs"/>
          <w:b/>
          <w:bCs/>
          <w:sz w:val="24"/>
          <w:szCs w:val="24"/>
          <w:rtl/>
        </w:rPr>
        <w:t xml:space="preserve"> </w:t>
      </w:r>
      <w:r w:rsidRPr="00F43C5E">
        <w:rPr>
          <w:rFonts w:ascii="David" w:hAnsi="David" w:cs="David"/>
          <w:b/>
          <w:bCs/>
          <w:sz w:val="24"/>
          <w:szCs w:val="24"/>
          <w:rtl/>
        </w:rPr>
        <w:t>רטרואקטיבית(!) מ-31.7.2012</w:t>
      </w:r>
      <w:r w:rsidRPr="00F43C5E">
        <w:rPr>
          <w:rFonts w:ascii="David" w:hAnsi="David" w:cs="David"/>
          <w:sz w:val="24"/>
          <w:szCs w:val="24"/>
          <w:rtl/>
        </w:rPr>
        <w:t xml:space="preserve">. </w:t>
      </w:r>
      <w:r w:rsidR="00743190" w:rsidRPr="00F43C5E">
        <w:rPr>
          <w:rFonts w:ascii="David" w:hAnsi="David" w:cs="David" w:hint="cs"/>
          <w:sz w:val="24"/>
          <w:szCs w:val="24"/>
          <w:rtl/>
        </w:rPr>
        <w:t xml:space="preserve">למסמך צורפה </w:t>
      </w:r>
      <w:r w:rsidR="000C54FE">
        <w:rPr>
          <w:rFonts w:ascii="David" w:hAnsi="David" w:cs="David" w:hint="cs"/>
          <w:sz w:val="24"/>
          <w:szCs w:val="24"/>
          <w:rtl/>
        </w:rPr>
        <w:t xml:space="preserve">חתימת </w:t>
      </w:r>
      <w:r w:rsidR="00743190" w:rsidRPr="00F43C5E">
        <w:rPr>
          <w:rFonts w:ascii="David" w:hAnsi="David" w:cs="David" w:hint="cs"/>
          <w:sz w:val="24"/>
          <w:szCs w:val="24"/>
          <w:rtl/>
        </w:rPr>
        <w:t xml:space="preserve"> סמנכ"לית האוצר</w:t>
      </w:r>
      <w:r w:rsidR="000C54FE">
        <w:rPr>
          <w:rFonts w:ascii="David" w:hAnsi="David" w:cs="David" w:hint="cs"/>
          <w:sz w:val="24"/>
          <w:szCs w:val="24"/>
          <w:rtl/>
        </w:rPr>
        <w:t xml:space="preserve"> </w:t>
      </w:r>
      <w:r w:rsidR="00743190" w:rsidRPr="00F43C5E">
        <w:rPr>
          <w:rFonts w:ascii="David" w:hAnsi="David" w:cs="David" w:hint="cs"/>
          <w:sz w:val="24"/>
          <w:szCs w:val="24"/>
          <w:rtl/>
        </w:rPr>
        <w:t>(נספח</w:t>
      </w:r>
      <w:r w:rsidR="00743190" w:rsidRPr="000C54FE">
        <w:rPr>
          <w:rFonts w:ascii="David" w:hAnsi="David" w:cs="David" w:hint="cs"/>
          <w:sz w:val="24"/>
          <w:szCs w:val="24"/>
          <w:highlight w:val="yellow"/>
          <w:rtl/>
        </w:rPr>
        <w:t>....</w:t>
      </w:r>
      <w:r w:rsidR="00743190" w:rsidRPr="00F43C5E">
        <w:rPr>
          <w:rFonts w:ascii="David" w:hAnsi="David" w:cs="David" w:hint="cs"/>
          <w:sz w:val="24"/>
          <w:szCs w:val="24"/>
          <w:rtl/>
        </w:rPr>
        <w:t>)</w:t>
      </w:r>
      <w:r w:rsidR="00686BF5">
        <w:rPr>
          <w:rFonts w:ascii="David" w:hAnsi="David" w:cs="David" w:hint="cs"/>
          <w:sz w:val="24"/>
          <w:szCs w:val="24"/>
          <w:rtl/>
        </w:rPr>
        <w:t>.</w:t>
      </w:r>
    </w:p>
    <w:p w14:paraId="36C527A0" w14:textId="792732D9" w:rsidR="0029279C" w:rsidRPr="00F43C5E" w:rsidRDefault="00362E96" w:rsidP="00743190">
      <w:pPr>
        <w:pStyle w:val="a3"/>
        <w:spacing w:after="0" w:line="360" w:lineRule="auto"/>
        <w:ind w:left="509"/>
        <w:jc w:val="both"/>
        <w:rPr>
          <w:rFonts w:ascii="David" w:hAnsi="David" w:cs="David"/>
          <w:sz w:val="24"/>
          <w:szCs w:val="24"/>
        </w:rPr>
      </w:pPr>
      <w:r w:rsidRPr="00F43C5E">
        <w:rPr>
          <w:rFonts w:ascii="David" w:hAnsi="David" w:cs="David"/>
          <w:sz w:val="24"/>
          <w:szCs w:val="24"/>
          <w:rtl/>
        </w:rPr>
        <w:t>יצויין כי חוק הגימלאות מחייב את הנציב להודיע לעובד, בדואר רשום, על הוצאתו לגימלאות לפחות 3 חודשים לפני מועד הפרישה וכך גם ע"פ החוזה של התובע (סעיף4), ולפי התקשי"ר, על סמנכ"לית האוצר - היה להודיע על כך לתובע לפחות שנה שלימה מראש.</w:t>
      </w:r>
    </w:p>
    <w:p w14:paraId="60AC9832" w14:textId="5338B0CE" w:rsidR="00362E96" w:rsidRPr="00F43C5E" w:rsidRDefault="00362E96" w:rsidP="00DA735D">
      <w:pPr>
        <w:pStyle w:val="a3"/>
        <w:numPr>
          <w:ilvl w:val="1"/>
          <w:numId w:val="4"/>
        </w:numPr>
        <w:spacing w:after="0" w:line="360" w:lineRule="auto"/>
        <w:ind w:left="509" w:hanging="425"/>
        <w:jc w:val="both"/>
        <w:rPr>
          <w:rFonts w:ascii="David" w:hAnsi="David" w:cs="David"/>
          <w:sz w:val="24"/>
          <w:szCs w:val="24"/>
        </w:rPr>
      </w:pPr>
      <w:r w:rsidRPr="00F43C5E">
        <w:rPr>
          <w:rFonts w:ascii="David" w:hAnsi="David" w:cs="David" w:hint="cs"/>
          <w:sz w:val="24"/>
          <w:szCs w:val="24"/>
          <w:rtl/>
        </w:rPr>
        <w:t xml:space="preserve">לאחר </w:t>
      </w:r>
      <w:r w:rsidRPr="00F43C5E">
        <w:rPr>
          <w:rFonts w:ascii="David" w:hAnsi="David" w:cs="David" w:hint="cs"/>
          <w:sz w:val="24"/>
          <w:szCs w:val="24"/>
          <w:rtl/>
        </w:rPr>
        <w:t>קבלת</w:t>
      </w:r>
      <w:r w:rsidRPr="00F43C5E">
        <w:rPr>
          <w:rFonts w:ascii="David" w:hAnsi="David" w:cs="David" w:hint="cs"/>
          <w:sz w:val="24"/>
          <w:szCs w:val="24"/>
          <w:rtl/>
        </w:rPr>
        <w:t xml:space="preserve"> הודעת הנש"מ, קיבל התובע </w:t>
      </w:r>
      <w:r w:rsidR="00730F48" w:rsidRPr="00730F48">
        <w:rPr>
          <w:rFonts w:ascii="David" w:hAnsi="David" w:cs="David" w:hint="cs"/>
          <w:sz w:val="24"/>
          <w:szCs w:val="24"/>
          <w:rtl/>
        </w:rPr>
        <w:t>מהגב' חנה שוורץ, הממונה על הגמלאות</w:t>
      </w:r>
      <w:r w:rsidRPr="00F43C5E">
        <w:rPr>
          <w:rFonts w:ascii="David" w:hAnsi="David" w:cs="David" w:hint="cs"/>
          <w:sz w:val="24"/>
          <w:szCs w:val="24"/>
          <w:rtl/>
        </w:rPr>
        <w:t xml:space="preserve"> (להלן: הממונ</w:t>
      </w:r>
      <w:r w:rsidRPr="00F43C5E">
        <w:rPr>
          <w:rFonts w:ascii="David" w:hAnsi="David" w:cs="David" w:hint="cs"/>
          <w:sz w:val="24"/>
          <w:szCs w:val="24"/>
          <w:rtl/>
        </w:rPr>
        <w:t>ה)</w:t>
      </w:r>
      <w:r w:rsidR="00DA735D" w:rsidRPr="00F43C5E">
        <w:rPr>
          <w:rFonts w:ascii="David" w:hAnsi="David" w:cs="David" w:hint="cs"/>
          <w:sz w:val="24"/>
          <w:szCs w:val="24"/>
          <w:rtl/>
        </w:rPr>
        <w:t xml:space="preserve"> </w:t>
      </w:r>
      <w:r w:rsidR="00686BF5" w:rsidRPr="00F43C5E">
        <w:rPr>
          <w:rFonts w:ascii="David" w:hAnsi="David" w:cs="David" w:hint="cs"/>
          <w:sz w:val="24"/>
          <w:szCs w:val="24"/>
          <w:rtl/>
        </w:rPr>
        <w:t xml:space="preserve">מכתב מ- 10.12.2012 </w:t>
      </w:r>
      <w:r w:rsidR="00DA735D" w:rsidRPr="00F43C5E">
        <w:rPr>
          <w:rFonts w:ascii="David" w:hAnsi="David" w:cs="David" w:hint="cs"/>
          <w:sz w:val="24"/>
          <w:szCs w:val="24"/>
          <w:rtl/>
        </w:rPr>
        <w:t xml:space="preserve">לפיה </w:t>
      </w:r>
      <w:r w:rsidRPr="00F43C5E">
        <w:rPr>
          <w:rFonts w:ascii="David" w:hAnsi="David" w:cs="David" w:hint="cs"/>
          <w:sz w:val="24"/>
          <w:szCs w:val="24"/>
          <w:rtl/>
        </w:rPr>
        <w:t>א</w:t>
      </w:r>
      <w:r w:rsidR="00DA735D" w:rsidRPr="00F43C5E">
        <w:rPr>
          <w:rFonts w:ascii="David" w:hAnsi="David" w:cs="David" w:hint="cs"/>
          <w:sz w:val="24"/>
          <w:szCs w:val="24"/>
          <w:rtl/>
        </w:rPr>
        <w:t>ו</w:t>
      </w:r>
      <w:r w:rsidRPr="00F43C5E">
        <w:rPr>
          <w:rFonts w:ascii="David" w:hAnsi="David" w:cs="David" w:hint="cs"/>
          <w:sz w:val="24"/>
          <w:szCs w:val="24"/>
          <w:rtl/>
        </w:rPr>
        <w:t>שרה</w:t>
      </w:r>
      <w:r w:rsidRPr="00F43C5E">
        <w:rPr>
          <w:rFonts w:ascii="David" w:hAnsi="David" w:cs="David" w:hint="cs"/>
          <w:b/>
          <w:bCs/>
          <w:sz w:val="24"/>
          <w:szCs w:val="24"/>
          <w:rtl/>
        </w:rPr>
        <w:t xml:space="preserve"> </w:t>
      </w:r>
      <w:r w:rsidRPr="00F43C5E">
        <w:rPr>
          <w:rFonts w:ascii="David" w:hAnsi="David" w:cs="David" w:hint="cs"/>
          <w:sz w:val="24"/>
          <w:szCs w:val="24"/>
          <w:rtl/>
        </w:rPr>
        <w:t>לו גימלה "בשיעור של</w:t>
      </w:r>
      <w:r w:rsidRPr="00F43C5E">
        <w:rPr>
          <w:rFonts w:ascii="David" w:hAnsi="David" w:cs="David" w:hint="cs"/>
          <w:b/>
          <w:bCs/>
          <w:sz w:val="24"/>
          <w:szCs w:val="24"/>
          <w:rtl/>
        </w:rPr>
        <w:t xml:space="preserve"> 70% </w:t>
      </w:r>
      <w:r w:rsidRPr="00F43C5E">
        <w:rPr>
          <w:rFonts w:ascii="David" w:hAnsi="David" w:cs="David" w:hint="cs"/>
          <w:sz w:val="24"/>
          <w:szCs w:val="24"/>
          <w:rtl/>
        </w:rPr>
        <w:t xml:space="preserve">מהמשכורת הקובעת של </w:t>
      </w:r>
      <w:r w:rsidRPr="00F43C5E">
        <w:rPr>
          <w:rFonts w:ascii="David" w:hAnsi="David" w:cs="David" w:hint="cs"/>
          <w:b/>
          <w:bCs/>
          <w:sz w:val="24"/>
          <w:szCs w:val="24"/>
          <w:rtl/>
        </w:rPr>
        <w:t>חוזה בכירים בהתאם לאישור נש"מ מ-21.8.2012"</w:t>
      </w:r>
      <w:r w:rsidRPr="00F43C5E">
        <w:rPr>
          <w:rFonts w:ascii="David" w:hAnsi="David" w:cs="David" w:hint="cs"/>
          <w:sz w:val="24"/>
          <w:szCs w:val="24"/>
          <w:rtl/>
        </w:rPr>
        <w:t xml:space="preserve">(ההדגשה במקור).  </w:t>
      </w:r>
    </w:p>
    <w:p w14:paraId="6FD6B15B" w14:textId="1DA4079E" w:rsidR="00362E96" w:rsidRPr="00F43C5E" w:rsidRDefault="00362E96" w:rsidP="00DA735D">
      <w:pPr>
        <w:pStyle w:val="a3"/>
        <w:numPr>
          <w:ilvl w:val="1"/>
          <w:numId w:val="4"/>
        </w:numPr>
        <w:spacing w:after="0" w:line="360" w:lineRule="auto"/>
        <w:ind w:left="509" w:hanging="425"/>
        <w:jc w:val="both"/>
        <w:rPr>
          <w:rFonts w:ascii="David" w:hAnsi="David" w:cs="David"/>
          <w:sz w:val="24"/>
          <w:szCs w:val="24"/>
        </w:rPr>
      </w:pPr>
      <w:r w:rsidRPr="00F43C5E">
        <w:rPr>
          <w:rFonts w:ascii="David" w:hAnsi="David" w:cs="David" w:hint="cs"/>
          <w:sz w:val="24"/>
          <w:szCs w:val="24"/>
          <w:rtl/>
        </w:rPr>
        <w:t>רק בתחילת ינואר 2013, חמישה חודשים אחרי הפסקת עבודתו בפועל, קיבל התובע תלוש גימלא ראשון, רטרואקטיבית מאוגוסט 2012</w:t>
      </w:r>
      <w:r w:rsidR="00686BF5">
        <w:rPr>
          <w:rFonts w:ascii="David" w:hAnsi="David" w:cs="David" w:hint="cs"/>
          <w:sz w:val="24"/>
          <w:szCs w:val="24"/>
          <w:rtl/>
        </w:rPr>
        <w:t xml:space="preserve">, </w:t>
      </w:r>
      <w:r w:rsidRPr="00F43C5E">
        <w:rPr>
          <w:rFonts w:ascii="David" w:hAnsi="David" w:cs="David" w:hint="cs"/>
          <w:sz w:val="24"/>
          <w:szCs w:val="24"/>
          <w:rtl/>
        </w:rPr>
        <w:t xml:space="preserve"> ומכיון שהגימלה </w:t>
      </w:r>
      <w:r w:rsidRPr="00362E96">
        <w:rPr>
          <w:rFonts w:ascii="David" w:hAnsi="David" w:cs="David" w:hint="cs"/>
          <w:sz w:val="24"/>
          <w:szCs w:val="24"/>
          <w:rtl/>
        </w:rPr>
        <w:t>לא תא</w:t>
      </w:r>
      <w:r w:rsidRPr="00F43C5E">
        <w:rPr>
          <w:rFonts w:ascii="David" w:hAnsi="David" w:cs="David" w:hint="cs"/>
          <w:sz w:val="24"/>
          <w:szCs w:val="24"/>
          <w:rtl/>
        </w:rPr>
        <w:t>מה</w:t>
      </w:r>
      <w:r w:rsidRPr="00362E96">
        <w:rPr>
          <w:rFonts w:ascii="David" w:hAnsi="David" w:cs="David" w:hint="cs"/>
          <w:sz w:val="24"/>
          <w:szCs w:val="24"/>
          <w:rtl/>
        </w:rPr>
        <w:t xml:space="preserve"> </w:t>
      </w:r>
      <w:r w:rsidRPr="00F43C5E">
        <w:rPr>
          <w:rFonts w:ascii="David" w:hAnsi="David" w:cs="David" w:hint="cs"/>
          <w:sz w:val="24"/>
          <w:szCs w:val="24"/>
          <w:rtl/>
        </w:rPr>
        <w:t xml:space="preserve">לתנאי החוזה, וגם לא לאמור </w:t>
      </w:r>
      <w:r w:rsidRPr="00362E96">
        <w:rPr>
          <w:rFonts w:ascii="David" w:hAnsi="David" w:cs="David" w:hint="cs"/>
          <w:sz w:val="24"/>
          <w:szCs w:val="24"/>
          <w:rtl/>
        </w:rPr>
        <w:t>במכתב</w:t>
      </w:r>
      <w:r w:rsidRPr="00F43C5E">
        <w:rPr>
          <w:rFonts w:ascii="David" w:hAnsi="David" w:cs="David" w:hint="cs"/>
          <w:sz w:val="24"/>
          <w:szCs w:val="24"/>
          <w:rtl/>
        </w:rPr>
        <w:t xml:space="preserve"> הממונה, </w:t>
      </w:r>
      <w:r w:rsidRPr="00362E96">
        <w:rPr>
          <w:rFonts w:ascii="David" w:hAnsi="David" w:cs="David" w:hint="cs"/>
          <w:sz w:val="24"/>
          <w:szCs w:val="24"/>
          <w:rtl/>
        </w:rPr>
        <w:t xml:space="preserve">פנה התובע </w:t>
      </w:r>
      <w:r w:rsidRPr="00F43C5E">
        <w:rPr>
          <w:rFonts w:ascii="David" w:hAnsi="David" w:cs="David" w:hint="cs"/>
          <w:sz w:val="24"/>
          <w:szCs w:val="24"/>
          <w:rtl/>
        </w:rPr>
        <w:t xml:space="preserve">מיד </w:t>
      </w:r>
      <w:r w:rsidRPr="00362E96">
        <w:rPr>
          <w:rFonts w:ascii="David" w:hAnsi="David" w:cs="David" w:hint="cs"/>
          <w:sz w:val="24"/>
          <w:szCs w:val="24"/>
          <w:rtl/>
        </w:rPr>
        <w:t>ל</w:t>
      </w:r>
      <w:r w:rsidRPr="00F43C5E">
        <w:rPr>
          <w:rFonts w:ascii="David" w:hAnsi="David" w:cs="David" w:hint="cs"/>
          <w:sz w:val="24"/>
          <w:szCs w:val="24"/>
          <w:rtl/>
        </w:rPr>
        <w:t>ממונה,</w:t>
      </w:r>
      <w:r w:rsidRPr="00362E96">
        <w:rPr>
          <w:rFonts w:ascii="David" w:hAnsi="David" w:cs="David" w:hint="cs"/>
          <w:sz w:val="24"/>
          <w:szCs w:val="24"/>
          <w:rtl/>
        </w:rPr>
        <w:t xml:space="preserve"> וביקש הסברים</w:t>
      </w:r>
      <w:r w:rsidR="00EA42F9">
        <w:rPr>
          <w:rFonts w:ascii="David" w:hAnsi="David" w:cs="David" w:hint="cs"/>
          <w:sz w:val="24"/>
          <w:szCs w:val="24"/>
          <w:rtl/>
        </w:rPr>
        <w:t xml:space="preserve"> לכך.</w:t>
      </w:r>
    </w:p>
    <w:p w14:paraId="05E5AB85" w14:textId="2B90C614" w:rsidR="00157415" w:rsidRPr="00157415" w:rsidRDefault="00362E96" w:rsidP="00157415">
      <w:pPr>
        <w:pStyle w:val="a3"/>
        <w:numPr>
          <w:ilvl w:val="1"/>
          <w:numId w:val="4"/>
        </w:numPr>
        <w:spacing w:after="0" w:line="360" w:lineRule="auto"/>
        <w:ind w:left="509" w:hanging="425"/>
        <w:jc w:val="both"/>
        <w:rPr>
          <w:rFonts w:ascii="David" w:hAnsi="David" w:cs="David"/>
          <w:b/>
          <w:bCs/>
          <w:sz w:val="24"/>
          <w:szCs w:val="24"/>
          <w:highlight w:val="yellow"/>
        </w:rPr>
      </w:pPr>
      <w:r w:rsidRPr="00F43C5E">
        <w:rPr>
          <w:rFonts w:ascii="David" w:hAnsi="David" w:cs="David"/>
          <w:sz w:val="24"/>
          <w:szCs w:val="24"/>
          <w:rtl/>
        </w:rPr>
        <w:t>בשיחתם הצדיקה הממונה את טיעוני</w:t>
      </w:r>
      <w:r w:rsidR="00521867">
        <w:rPr>
          <w:rFonts w:ascii="David" w:hAnsi="David" w:cs="David" w:hint="cs"/>
          <w:sz w:val="24"/>
          <w:szCs w:val="24"/>
          <w:rtl/>
        </w:rPr>
        <w:t xml:space="preserve"> התובע,</w:t>
      </w:r>
      <w:r w:rsidRPr="00F43C5E">
        <w:rPr>
          <w:rFonts w:ascii="David" w:hAnsi="David" w:cs="David"/>
          <w:sz w:val="24"/>
          <w:szCs w:val="24"/>
          <w:rtl/>
        </w:rPr>
        <w:t xml:space="preserve"> אך הסבירה לו כי ידיה כבולות: </w:t>
      </w:r>
      <w:r w:rsidRPr="00686BF5">
        <w:rPr>
          <w:rFonts w:ascii="David" w:hAnsi="David" w:cs="David"/>
          <w:b/>
          <w:bCs/>
          <w:sz w:val="24"/>
          <w:szCs w:val="24"/>
          <w:rtl/>
        </w:rPr>
        <w:t>מינהלת הגימלאות לא יכולה לסטות מהנחיות מפורשות שהיא קיבלה מסגן נציב שרות המדינה מר אהרונוב.</w:t>
      </w:r>
      <w:r w:rsidRPr="00F43C5E">
        <w:rPr>
          <w:rFonts w:ascii="David" w:hAnsi="David" w:cs="David"/>
          <w:sz w:val="24"/>
          <w:szCs w:val="24"/>
          <w:rtl/>
        </w:rPr>
        <w:t xml:space="preserve"> לראיה היא הציגה בפניו</w:t>
      </w:r>
      <w:r w:rsidR="00686BF5">
        <w:rPr>
          <w:rFonts w:ascii="David" w:hAnsi="David" w:cs="David" w:hint="cs"/>
          <w:sz w:val="24"/>
          <w:szCs w:val="24"/>
          <w:rtl/>
        </w:rPr>
        <w:t>,</w:t>
      </w:r>
      <w:r w:rsidRPr="00F43C5E">
        <w:rPr>
          <w:rFonts w:ascii="David" w:hAnsi="David" w:cs="David"/>
          <w:sz w:val="24"/>
          <w:szCs w:val="24"/>
          <w:rtl/>
        </w:rPr>
        <w:t xml:space="preserve"> ומסרה לו</w:t>
      </w:r>
      <w:r w:rsidR="00686BF5">
        <w:rPr>
          <w:rFonts w:ascii="David" w:hAnsi="David" w:cs="David" w:hint="cs"/>
          <w:sz w:val="24"/>
          <w:szCs w:val="24"/>
          <w:rtl/>
        </w:rPr>
        <w:t>,</w:t>
      </w:r>
      <w:r w:rsidRPr="00F43C5E">
        <w:rPr>
          <w:rFonts w:ascii="David" w:hAnsi="David" w:cs="David"/>
          <w:sz w:val="24"/>
          <w:szCs w:val="24"/>
          <w:rtl/>
        </w:rPr>
        <w:t xml:space="preserve"> צילום מכתב</w:t>
      </w:r>
      <w:r w:rsidR="00521867">
        <w:rPr>
          <w:rFonts w:ascii="David" w:hAnsi="David" w:cs="David" w:hint="cs"/>
          <w:sz w:val="24"/>
          <w:szCs w:val="24"/>
          <w:rtl/>
        </w:rPr>
        <w:t xml:space="preserve"> ההנחיות של אהרונוב</w:t>
      </w:r>
      <w:r w:rsidRPr="00F43C5E">
        <w:rPr>
          <w:rFonts w:ascii="David" w:hAnsi="David" w:cs="David"/>
          <w:sz w:val="24"/>
          <w:szCs w:val="24"/>
          <w:rtl/>
        </w:rPr>
        <w:t xml:space="preserve"> שאמנם נושא את התאריך 21.8.2012 כביכול (שלושה חודשים </w:t>
      </w:r>
      <w:r w:rsidRPr="00521867">
        <w:rPr>
          <w:rFonts w:ascii="David" w:hAnsi="David" w:cs="David"/>
          <w:sz w:val="24"/>
          <w:szCs w:val="24"/>
          <w:u w:val="single"/>
          <w:rtl/>
        </w:rPr>
        <w:t>לפני</w:t>
      </w:r>
      <w:r w:rsidRPr="00F43C5E">
        <w:rPr>
          <w:rFonts w:ascii="David" w:hAnsi="David" w:cs="David"/>
          <w:sz w:val="24"/>
          <w:szCs w:val="24"/>
          <w:rtl/>
        </w:rPr>
        <w:t xml:space="preserve"> הודעת הנציב על הוצאת התובע לגימלה, שכאמור נחתמה רק ב-21.11.2012) </w:t>
      </w:r>
      <w:r w:rsidR="00EE4AF9">
        <w:rPr>
          <w:rFonts w:ascii="David" w:hAnsi="David" w:cs="David" w:hint="cs"/>
          <w:sz w:val="24"/>
          <w:szCs w:val="24"/>
          <w:rtl/>
        </w:rPr>
        <w:t>שה</w:t>
      </w:r>
      <w:r w:rsidRPr="00F43C5E">
        <w:rPr>
          <w:rFonts w:ascii="David" w:hAnsi="David" w:cs="David"/>
          <w:sz w:val="24"/>
          <w:szCs w:val="24"/>
          <w:rtl/>
        </w:rPr>
        <w:t xml:space="preserve">גיע אליה בפקס(!) רק ב-3.12.2012 (ר' תדפיס מכשיר הפקס על מועד המשלוח בראש העמוד). </w:t>
      </w:r>
      <w:r w:rsidR="00157415">
        <w:rPr>
          <w:rFonts w:ascii="David" w:hAnsi="David" w:cs="David" w:hint="cs"/>
          <w:sz w:val="24"/>
          <w:szCs w:val="24"/>
          <w:rtl/>
        </w:rPr>
        <w:t>ז</w:t>
      </w:r>
      <w:r w:rsidR="00157415" w:rsidRPr="00157415">
        <w:rPr>
          <w:rFonts w:ascii="David" w:hAnsi="David" w:cs="David" w:hint="cs"/>
          <w:sz w:val="24"/>
          <w:szCs w:val="24"/>
          <w:rtl/>
        </w:rPr>
        <w:t xml:space="preserve">ו </w:t>
      </w:r>
      <w:r w:rsidR="00157415">
        <w:rPr>
          <w:rFonts w:ascii="David" w:hAnsi="David" w:cs="David" w:hint="cs"/>
          <w:sz w:val="24"/>
          <w:szCs w:val="24"/>
          <w:rtl/>
        </w:rPr>
        <w:t xml:space="preserve">היתה הפעם הראשונה שהתובע ראה את </w:t>
      </w:r>
      <w:r w:rsidR="00157415" w:rsidRPr="00157415">
        <w:rPr>
          <w:rFonts w:ascii="David" w:hAnsi="David" w:cs="David" w:hint="cs"/>
          <w:sz w:val="24"/>
          <w:szCs w:val="24"/>
          <w:rtl/>
        </w:rPr>
        <w:t>מ</w:t>
      </w:r>
      <w:r w:rsidR="00157415" w:rsidRPr="00157415">
        <w:rPr>
          <w:rFonts w:ascii="David" w:hAnsi="David" w:cs="David"/>
          <w:sz w:val="24"/>
          <w:szCs w:val="24"/>
          <w:rtl/>
        </w:rPr>
        <w:t>כתב</w:t>
      </w:r>
      <w:r w:rsidR="00157415" w:rsidRPr="00157415">
        <w:rPr>
          <w:rFonts w:ascii="David" w:hAnsi="David" w:cs="David"/>
          <w:b/>
          <w:bCs/>
          <w:sz w:val="24"/>
          <w:szCs w:val="24"/>
          <w:rtl/>
        </w:rPr>
        <w:t xml:space="preserve"> </w:t>
      </w:r>
      <w:r w:rsidR="00157415" w:rsidRPr="00157415">
        <w:rPr>
          <w:rFonts w:ascii="David" w:hAnsi="David" w:cs="David"/>
          <w:sz w:val="24"/>
          <w:szCs w:val="24"/>
          <w:rtl/>
        </w:rPr>
        <w:t>הנחיות</w:t>
      </w:r>
      <w:r w:rsidR="00157415" w:rsidRPr="00521867">
        <w:rPr>
          <w:rFonts w:ascii="David" w:hAnsi="David" w:cs="David" w:hint="cs"/>
          <w:sz w:val="24"/>
          <w:szCs w:val="24"/>
          <w:rtl/>
        </w:rPr>
        <w:t xml:space="preserve"> </w:t>
      </w:r>
      <w:r w:rsidR="00157415" w:rsidRPr="00157415">
        <w:rPr>
          <w:rFonts w:ascii="David" w:hAnsi="David" w:cs="David"/>
          <w:sz w:val="24"/>
          <w:szCs w:val="24"/>
          <w:rtl/>
        </w:rPr>
        <w:t>אהרונוב</w:t>
      </w:r>
      <w:r w:rsidR="00157415" w:rsidRPr="00157415">
        <w:rPr>
          <w:rFonts w:ascii="David" w:hAnsi="David" w:cs="David"/>
          <w:b/>
          <w:bCs/>
          <w:sz w:val="24"/>
          <w:szCs w:val="24"/>
          <w:rtl/>
        </w:rPr>
        <w:t xml:space="preserve"> </w:t>
      </w:r>
      <w:r w:rsidR="00157415" w:rsidRPr="00157415">
        <w:rPr>
          <w:rFonts w:ascii="David" w:hAnsi="David" w:cs="David"/>
          <w:sz w:val="24"/>
          <w:szCs w:val="24"/>
          <w:rtl/>
        </w:rPr>
        <w:t>(נספח 2).</w:t>
      </w:r>
    </w:p>
    <w:p w14:paraId="63798802" w14:textId="05F4FA48" w:rsidR="00EE4AF9" w:rsidRPr="00EE4AF9" w:rsidRDefault="00521867" w:rsidP="00157415">
      <w:pPr>
        <w:pStyle w:val="a3"/>
        <w:numPr>
          <w:ilvl w:val="1"/>
          <w:numId w:val="4"/>
        </w:numPr>
        <w:spacing w:after="0" w:line="360" w:lineRule="auto"/>
        <w:ind w:left="509" w:hanging="425"/>
        <w:jc w:val="both"/>
        <w:rPr>
          <w:rFonts w:ascii="David" w:hAnsi="David" w:cs="David"/>
          <w:b/>
          <w:bCs/>
          <w:sz w:val="24"/>
          <w:szCs w:val="24"/>
          <w:highlight w:val="yellow"/>
        </w:rPr>
      </w:pPr>
      <w:r>
        <w:rPr>
          <w:rFonts w:ascii="David" w:hAnsi="David" w:cs="David" w:hint="cs"/>
          <w:sz w:val="24"/>
          <w:szCs w:val="24"/>
          <w:rtl/>
        </w:rPr>
        <w:t xml:space="preserve">לדברי </w:t>
      </w:r>
      <w:r w:rsidR="00157415">
        <w:rPr>
          <w:rFonts w:ascii="David" w:hAnsi="David" w:cs="David" w:hint="cs"/>
          <w:sz w:val="24"/>
          <w:szCs w:val="24"/>
          <w:rtl/>
        </w:rPr>
        <w:t xml:space="preserve">הממונה </w:t>
      </w:r>
      <w:r w:rsidRPr="00F43C5E">
        <w:rPr>
          <w:rFonts w:ascii="David" w:hAnsi="David" w:cs="David"/>
          <w:sz w:val="24"/>
          <w:szCs w:val="24"/>
          <w:rtl/>
        </w:rPr>
        <w:t>מכתב</w:t>
      </w:r>
      <w:r>
        <w:rPr>
          <w:rFonts w:ascii="David" w:hAnsi="David" w:cs="David" w:hint="cs"/>
          <w:sz w:val="24"/>
          <w:szCs w:val="24"/>
          <w:rtl/>
        </w:rPr>
        <w:t xml:space="preserve"> "אישור הגימלאות" שלה</w:t>
      </w:r>
      <w:r w:rsidRPr="00F43C5E">
        <w:rPr>
          <w:rFonts w:ascii="David" w:hAnsi="David" w:cs="David"/>
          <w:sz w:val="24"/>
          <w:szCs w:val="24"/>
          <w:rtl/>
        </w:rPr>
        <w:t xml:space="preserve"> מ-10.12.12 </w:t>
      </w:r>
      <w:r>
        <w:rPr>
          <w:rFonts w:ascii="David" w:hAnsi="David" w:cs="David" w:hint="cs"/>
          <w:sz w:val="24"/>
          <w:szCs w:val="24"/>
          <w:rtl/>
        </w:rPr>
        <w:t>רק בא</w:t>
      </w:r>
      <w:r w:rsidRPr="00F43C5E">
        <w:rPr>
          <w:rFonts w:ascii="David" w:hAnsi="David" w:cs="David"/>
          <w:sz w:val="24"/>
          <w:szCs w:val="24"/>
          <w:rtl/>
        </w:rPr>
        <w:t xml:space="preserve"> לדווח </w:t>
      </w:r>
      <w:r>
        <w:rPr>
          <w:rFonts w:ascii="David" w:hAnsi="David" w:cs="David" w:hint="cs"/>
          <w:sz w:val="24"/>
          <w:szCs w:val="24"/>
          <w:rtl/>
        </w:rPr>
        <w:t>לתובע ע</w:t>
      </w:r>
      <w:r w:rsidRPr="00F43C5E">
        <w:rPr>
          <w:rFonts w:ascii="David" w:hAnsi="David" w:cs="David"/>
          <w:sz w:val="24"/>
          <w:szCs w:val="24"/>
          <w:rtl/>
        </w:rPr>
        <w:t>ל הגימלה שהנציבות קבעה</w:t>
      </w:r>
      <w:r w:rsidR="00A52272">
        <w:rPr>
          <w:rFonts w:ascii="David" w:hAnsi="David" w:cs="David" w:hint="cs"/>
          <w:sz w:val="24"/>
          <w:szCs w:val="24"/>
          <w:rtl/>
        </w:rPr>
        <w:t xml:space="preserve"> במכתב שהפורמט שלו שגרתי וקבוע</w:t>
      </w:r>
      <w:r>
        <w:rPr>
          <w:rFonts w:ascii="David" w:hAnsi="David" w:cs="David" w:hint="cs"/>
          <w:sz w:val="24"/>
          <w:szCs w:val="24"/>
          <w:rtl/>
        </w:rPr>
        <w:t xml:space="preserve">. היא </w:t>
      </w:r>
      <w:r w:rsidR="00157415">
        <w:rPr>
          <w:rFonts w:ascii="David" w:hAnsi="David" w:cs="David" w:hint="cs"/>
          <w:sz w:val="24"/>
          <w:szCs w:val="24"/>
          <w:rtl/>
        </w:rPr>
        <w:t xml:space="preserve">הנחתה את התובע </w:t>
      </w:r>
      <w:r w:rsidR="00EA42F9">
        <w:rPr>
          <w:rFonts w:ascii="David" w:hAnsi="David" w:cs="David" w:hint="cs"/>
          <w:sz w:val="24"/>
          <w:szCs w:val="24"/>
          <w:rtl/>
        </w:rPr>
        <w:t>לפנות ישירות לאהרונוב ו</w:t>
      </w:r>
      <w:r w:rsidR="00157415">
        <w:rPr>
          <w:rFonts w:ascii="David" w:hAnsi="David" w:cs="David" w:hint="cs"/>
          <w:sz w:val="24"/>
          <w:szCs w:val="24"/>
          <w:rtl/>
        </w:rPr>
        <w:t>ל</w:t>
      </w:r>
      <w:r w:rsidR="007C1D00">
        <w:rPr>
          <w:rFonts w:ascii="David" w:hAnsi="David" w:cs="David" w:hint="cs"/>
          <w:sz w:val="24"/>
          <w:szCs w:val="24"/>
          <w:rtl/>
        </w:rPr>
        <w:t>התעלם מסעיף 6 במכתבה (ערעור בתוך 60 יום בפני ביה"ד לעבודה) כי אינו רלוונטי במקרה ז</w:t>
      </w:r>
      <w:r w:rsidR="00EA42F9">
        <w:rPr>
          <w:rFonts w:ascii="David" w:hAnsi="David" w:cs="David" w:hint="cs"/>
          <w:sz w:val="24"/>
          <w:szCs w:val="24"/>
          <w:rtl/>
        </w:rPr>
        <w:t xml:space="preserve">ה ואף </w:t>
      </w:r>
      <w:r w:rsidR="007C1D00">
        <w:rPr>
          <w:rFonts w:ascii="David" w:hAnsi="David" w:cs="David" w:hint="cs"/>
          <w:sz w:val="24"/>
          <w:szCs w:val="24"/>
          <w:rtl/>
        </w:rPr>
        <w:t xml:space="preserve">הבטיחה לתקן את הגימלה אם אהרונוב יתקן את הנחיותיו לאור טיעוני התובע. </w:t>
      </w:r>
    </w:p>
    <w:p w14:paraId="260CD8BB" w14:textId="0A92FCFE" w:rsidR="00C753B3" w:rsidRDefault="00A52272" w:rsidP="00C753B3">
      <w:pPr>
        <w:pStyle w:val="a3"/>
        <w:numPr>
          <w:ilvl w:val="1"/>
          <w:numId w:val="4"/>
        </w:numPr>
        <w:spacing w:after="0" w:line="360" w:lineRule="auto"/>
        <w:ind w:left="444" w:hanging="425"/>
        <w:jc w:val="both"/>
        <w:rPr>
          <w:rFonts w:ascii="David" w:hAnsi="David" w:cs="David"/>
          <w:sz w:val="24"/>
          <w:szCs w:val="24"/>
          <w:highlight w:val="yellow"/>
          <w:u w:val="single"/>
        </w:rPr>
      </w:pPr>
      <w:r w:rsidRPr="004840F7">
        <w:rPr>
          <w:rFonts w:ascii="David" w:hAnsi="David" w:cs="David" w:hint="cs"/>
          <w:sz w:val="24"/>
          <w:szCs w:val="24"/>
          <w:rtl/>
        </w:rPr>
        <w:lastRenderedPageBreak/>
        <w:t>בנוכחות הממונה התקשר התובע טלפונית לאהרונוב והוא ביקש שהתובע י</w:t>
      </w:r>
      <w:r w:rsidR="004840F7" w:rsidRPr="004840F7">
        <w:rPr>
          <w:rFonts w:ascii="David" w:hAnsi="David" w:cs="David" w:hint="cs"/>
          <w:sz w:val="24"/>
          <w:szCs w:val="24"/>
          <w:rtl/>
        </w:rPr>
        <w:t xml:space="preserve">פרט את טיעוניו במכתב אליו לפני פניה לביה"ד לעירעור. </w:t>
      </w:r>
    </w:p>
    <w:p w14:paraId="44004629" w14:textId="61CB51C9" w:rsidR="004840F7" w:rsidRPr="00317D2B" w:rsidRDefault="00604BE0" w:rsidP="00C753B3">
      <w:pPr>
        <w:pStyle w:val="a3"/>
        <w:numPr>
          <w:ilvl w:val="1"/>
          <w:numId w:val="4"/>
        </w:numPr>
        <w:spacing w:after="0" w:line="360" w:lineRule="auto"/>
        <w:ind w:left="444" w:hanging="425"/>
        <w:jc w:val="both"/>
        <w:rPr>
          <w:rFonts w:ascii="David" w:hAnsi="David" w:cs="David"/>
          <w:sz w:val="24"/>
          <w:szCs w:val="24"/>
          <w:highlight w:val="yellow"/>
        </w:rPr>
      </w:pPr>
      <w:r w:rsidRPr="00317D2B">
        <w:rPr>
          <w:rFonts w:ascii="David" w:hAnsi="David" w:cs="David" w:hint="cs"/>
          <w:sz w:val="24"/>
          <w:szCs w:val="24"/>
          <w:rtl/>
        </w:rPr>
        <w:t xml:space="preserve">במכתב מפורט של התובע אל מר אהרונוב, מיום 13.1.2013, עם העתק לממונה, מפורטים </w:t>
      </w:r>
      <w:r w:rsidR="00044166" w:rsidRPr="00317D2B">
        <w:rPr>
          <w:rFonts w:ascii="David" w:hAnsi="David" w:cs="David" w:hint="cs"/>
          <w:sz w:val="24"/>
          <w:szCs w:val="24"/>
          <w:rtl/>
        </w:rPr>
        <w:t xml:space="preserve">כמבוקש </w:t>
      </w:r>
      <w:r w:rsidRPr="00317D2B">
        <w:rPr>
          <w:rFonts w:ascii="David" w:hAnsi="David" w:cs="David" w:hint="cs"/>
          <w:sz w:val="24"/>
          <w:szCs w:val="24"/>
          <w:rtl/>
        </w:rPr>
        <w:t>עיקרי טיע</w:t>
      </w:r>
      <w:r w:rsidR="00092FC8">
        <w:rPr>
          <w:rFonts w:ascii="David" w:hAnsi="David" w:cs="David" w:hint="cs"/>
          <w:sz w:val="24"/>
          <w:szCs w:val="24"/>
          <w:rtl/>
        </w:rPr>
        <w:t>ו</w:t>
      </w:r>
      <w:r w:rsidRPr="00317D2B">
        <w:rPr>
          <w:rFonts w:ascii="David" w:hAnsi="David" w:cs="David" w:hint="cs"/>
          <w:sz w:val="24"/>
          <w:szCs w:val="24"/>
          <w:rtl/>
        </w:rPr>
        <w:t>ני</w:t>
      </w:r>
      <w:r w:rsidR="00044166" w:rsidRPr="00317D2B">
        <w:rPr>
          <w:rFonts w:ascii="David" w:hAnsi="David" w:cs="David" w:hint="cs"/>
          <w:sz w:val="24"/>
          <w:szCs w:val="24"/>
          <w:rtl/>
        </w:rPr>
        <w:t xml:space="preserve">ו. הסימוכין </w:t>
      </w:r>
      <w:r w:rsidRPr="00317D2B">
        <w:rPr>
          <w:rFonts w:ascii="David" w:hAnsi="David" w:cs="David" w:hint="cs"/>
          <w:sz w:val="24"/>
          <w:szCs w:val="24"/>
          <w:rtl/>
        </w:rPr>
        <w:t>והפתיח של המכתב  משקפים בזמ</w:t>
      </w:r>
      <w:r w:rsidR="00044166" w:rsidRPr="00317D2B">
        <w:rPr>
          <w:rFonts w:ascii="David" w:hAnsi="David" w:cs="David" w:hint="cs"/>
          <w:sz w:val="24"/>
          <w:szCs w:val="24"/>
          <w:rtl/>
        </w:rPr>
        <w:t>ן</w:t>
      </w:r>
      <w:r w:rsidRPr="00317D2B">
        <w:rPr>
          <w:rFonts w:ascii="David" w:hAnsi="David" w:cs="David" w:hint="cs"/>
          <w:sz w:val="24"/>
          <w:szCs w:val="24"/>
          <w:rtl/>
        </w:rPr>
        <w:t xml:space="preserve"> אמת את המתואר לעיל</w:t>
      </w:r>
      <w:r w:rsidR="00044166" w:rsidRPr="00317D2B">
        <w:rPr>
          <w:rFonts w:ascii="David" w:hAnsi="David" w:cs="David" w:hint="cs"/>
          <w:sz w:val="24"/>
          <w:szCs w:val="24"/>
          <w:rtl/>
        </w:rPr>
        <w:t xml:space="preserve"> והמכותבים מעולם לא הכחישו או סתרו עובדות אלו</w:t>
      </w:r>
      <w:r w:rsidRPr="00317D2B">
        <w:rPr>
          <w:rFonts w:ascii="David" w:hAnsi="David" w:cs="David" w:hint="cs"/>
          <w:sz w:val="24"/>
          <w:szCs w:val="24"/>
          <w:highlight w:val="yellow"/>
          <w:rtl/>
        </w:rPr>
        <w:t>.</w:t>
      </w:r>
    </w:p>
    <w:p w14:paraId="1C3A9A32" w14:textId="7B65C1E8" w:rsidR="00C14E8C" w:rsidRPr="002369FF" w:rsidRDefault="002369FF" w:rsidP="00C44CDD">
      <w:pPr>
        <w:pStyle w:val="a3"/>
        <w:numPr>
          <w:ilvl w:val="1"/>
          <w:numId w:val="4"/>
        </w:numPr>
        <w:spacing w:after="0" w:line="360" w:lineRule="auto"/>
        <w:ind w:left="444" w:hanging="425"/>
        <w:jc w:val="both"/>
        <w:rPr>
          <w:rFonts w:ascii="David" w:hAnsi="David" w:cs="David"/>
          <w:sz w:val="24"/>
          <w:szCs w:val="24"/>
          <w:highlight w:val="yellow"/>
        </w:rPr>
      </w:pPr>
      <w:bookmarkStart w:id="0" w:name="_Hlk104401334"/>
      <w:r w:rsidRPr="002369FF">
        <w:rPr>
          <w:rFonts w:ascii="David" w:hAnsi="David" w:cs="David" w:hint="cs"/>
          <w:sz w:val="24"/>
          <w:szCs w:val="24"/>
          <w:rtl/>
        </w:rPr>
        <w:t xml:space="preserve">מכאן ואילך ועד לשנת 2019 פנה התובע פעמים רבות אל נש"מ </w:t>
      </w:r>
      <w:r w:rsidR="00C44CDD">
        <w:rPr>
          <w:rFonts w:ascii="David" w:hAnsi="David" w:cs="David" w:hint="cs"/>
          <w:sz w:val="24"/>
          <w:szCs w:val="24"/>
          <w:rtl/>
        </w:rPr>
        <w:t>ש</w:t>
      </w:r>
      <w:r w:rsidR="00C44CDD" w:rsidRPr="002369FF">
        <w:rPr>
          <w:rFonts w:ascii="David" w:hAnsi="David" w:cs="David" w:hint="cs"/>
          <w:sz w:val="24"/>
          <w:szCs w:val="24"/>
          <w:rtl/>
        </w:rPr>
        <w:t xml:space="preserve">נענו בהתחמקות או בהבטחות </w:t>
      </w:r>
      <w:r w:rsidR="00C44CDD">
        <w:rPr>
          <w:rFonts w:ascii="David" w:hAnsi="David" w:cs="David" w:hint="cs"/>
          <w:sz w:val="24"/>
          <w:szCs w:val="24"/>
          <w:rtl/>
        </w:rPr>
        <w:t xml:space="preserve">של נציבות שרות המדינה </w:t>
      </w:r>
      <w:r w:rsidR="00C44CDD">
        <w:rPr>
          <w:rFonts w:ascii="David" w:hAnsi="David" w:cs="David" w:hint="cs"/>
          <w:sz w:val="24"/>
          <w:szCs w:val="24"/>
          <w:rtl/>
        </w:rPr>
        <w:t>-</w:t>
      </w:r>
      <w:r w:rsidR="00C44CDD">
        <w:rPr>
          <w:rFonts w:ascii="David" w:hAnsi="David" w:cs="David" w:hint="cs"/>
          <w:sz w:val="24"/>
          <w:szCs w:val="24"/>
          <w:rtl/>
        </w:rPr>
        <w:t>ורק הנציבות</w:t>
      </w:r>
      <w:r w:rsidR="00C44CDD">
        <w:rPr>
          <w:rFonts w:ascii="David" w:hAnsi="David" w:cs="David" w:hint="cs"/>
          <w:sz w:val="24"/>
          <w:szCs w:val="24"/>
          <w:rtl/>
        </w:rPr>
        <w:t>-</w:t>
      </w:r>
      <w:r w:rsidR="00C44CDD">
        <w:rPr>
          <w:rFonts w:ascii="David" w:hAnsi="David" w:cs="David" w:hint="cs"/>
          <w:sz w:val="24"/>
          <w:szCs w:val="24"/>
          <w:rtl/>
        </w:rPr>
        <w:t xml:space="preserve">, </w:t>
      </w:r>
      <w:r w:rsidR="00C44CDD" w:rsidRPr="002369FF">
        <w:rPr>
          <w:rFonts w:ascii="David" w:hAnsi="David" w:cs="David" w:hint="cs"/>
          <w:sz w:val="24"/>
          <w:szCs w:val="24"/>
          <w:rtl/>
        </w:rPr>
        <w:t>"לבדוק א</w:t>
      </w:r>
      <w:r w:rsidR="00C44CDD">
        <w:rPr>
          <w:rFonts w:ascii="David" w:hAnsi="David" w:cs="David" w:hint="cs"/>
          <w:sz w:val="24"/>
          <w:szCs w:val="24"/>
          <w:rtl/>
        </w:rPr>
        <w:t>ת ה</w:t>
      </w:r>
      <w:r w:rsidR="00C44CDD" w:rsidRPr="002369FF">
        <w:rPr>
          <w:rFonts w:ascii="David" w:hAnsi="David" w:cs="David" w:hint="cs"/>
          <w:sz w:val="24"/>
          <w:szCs w:val="24"/>
          <w:rtl/>
        </w:rPr>
        <w:t>נושא"</w:t>
      </w:r>
      <w:r w:rsidR="00C44CDD">
        <w:rPr>
          <w:rFonts w:ascii="David" w:hAnsi="David" w:cs="David" w:hint="cs"/>
          <w:sz w:val="24"/>
          <w:szCs w:val="24"/>
          <w:rtl/>
        </w:rPr>
        <w:t xml:space="preserve"> ללא כל מעורבות של הממונה.</w:t>
      </w:r>
      <w:bookmarkEnd w:id="0"/>
      <w:r w:rsidRPr="002369FF">
        <w:rPr>
          <w:rFonts w:ascii="David" w:hAnsi="David" w:cs="David" w:hint="cs"/>
          <w:sz w:val="24"/>
          <w:szCs w:val="24"/>
          <w:highlight w:val="yellow"/>
          <w:rtl/>
        </w:rPr>
        <w:t xml:space="preserve"> </w:t>
      </w:r>
    </w:p>
    <w:p w14:paraId="6FB77D07" w14:textId="4C0A5D1E" w:rsidR="005378D5" w:rsidRPr="00D72ED9" w:rsidRDefault="005378D5" w:rsidP="002369F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האיזורי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001A3B3B"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ובפסק הדין של בית הדין הארצי מיום 12.10.2021 נקבע כי חלקים מערעורו נדחים ואילו חלקים אחרים יחזרו לדיון בבית הדין האיזורי</w:t>
      </w:r>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F25091">
        <w:rPr>
          <w:rFonts w:ascii="David" w:hAnsi="David" w:cs="David" w:hint="cs"/>
          <w:b/>
          <w:bCs/>
          <w:sz w:val="24"/>
          <w:szCs w:val="24"/>
          <w:rtl/>
        </w:rPr>
        <w:t>3</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2369FF">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האיזורי </w:t>
      </w:r>
      <w:r w:rsidR="00A7499F" w:rsidRPr="00D72ED9">
        <w:rPr>
          <w:rFonts w:ascii="David" w:hAnsi="David" w:cs="David"/>
          <w:sz w:val="24"/>
          <w:szCs w:val="24"/>
          <w:rtl/>
        </w:rPr>
        <w:t>הם:</w:t>
      </w:r>
    </w:p>
    <w:p w14:paraId="5EB11ADF" w14:textId="751CC7A2"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 לפי הסכם הבכירים.</w:t>
      </w:r>
    </w:p>
    <w:p w14:paraId="7C206131" w14:textId="13F225C5"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זכאות המערער לדרגת פרישה (ס' 33 של פסה"ד).</w:t>
      </w:r>
    </w:p>
    <w:p w14:paraId="4454DFB6" w14:textId="6ED85507"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13118DFF" w:rsidR="00E91402" w:rsidRPr="006A4DE7" w:rsidRDefault="00E91402" w:rsidP="002369FF">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2369FF">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458E140D" w:rsidR="000F4D9F" w:rsidRDefault="000F4D9F"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כאמור, הנתונים הקובעים את שיעור גימלתו של התובע נקבעו לראשונה במכתבו של מר אהרונוב</w:t>
      </w:r>
      <w:r w:rsidR="00C20DA4">
        <w:rPr>
          <w:rFonts w:ascii="David" w:hAnsi="David" w:cs="David" w:hint="cs"/>
          <w:sz w:val="24"/>
          <w:szCs w:val="24"/>
          <w:rtl/>
        </w:rPr>
        <w:t xml:space="preserve"> מנש"מ</w:t>
      </w:r>
      <w:r>
        <w:rPr>
          <w:rFonts w:ascii="David" w:hAnsi="David" w:cs="David" w:hint="cs"/>
          <w:sz w:val="24"/>
          <w:szCs w:val="24"/>
          <w:rtl/>
        </w:rPr>
        <w:t xml:space="preserve"> אל </w:t>
      </w:r>
      <w:r w:rsidR="005454E0">
        <w:rPr>
          <w:rFonts w:ascii="David" w:hAnsi="David" w:cs="David" w:hint="cs"/>
          <w:sz w:val="24"/>
          <w:szCs w:val="24"/>
          <w:rtl/>
        </w:rPr>
        <w:t xml:space="preserve">הגב' שוורץ הממונה על הגימלאות </w:t>
      </w:r>
      <w:r>
        <w:rPr>
          <w:rFonts w:ascii="David" w:hAnsi="David" w:cs="David" w:hint="cs"/>
          <w:sz w:val="24"/>
          <w:szCs w:val="24"/>
          <w:rtl/>
        </w:rPr>
        <w:t>ביום 21.8.12</w:t>
      </w:r>
      <w:r w:rsidR="00C20DA4">
        <w:rPr>
          <w:rFonts w:ascii="David" w:hAnsi="David" w:cs="David" w:hint="cs"/>
          <w:sz w:val="24"/>
          <w:szCs w:val="24"/>
          <w:rtl/>
        </w:rPr>
        <w:t xml:space="preserve"> (</w:t>
      </w:r>
      <w:r w:rsidR="00C20DA4">
        <w:rPr>
          <w:rFonts w:ascii="David" w:hAnsi="David" w:cs="David" w:hint="cs"/>
          <w:b/>
          <w:bCs/>
          <w:sz w:val="24"/>
          <w:szCs w:val="24"/>
          <w:rtl/>
        </w:rPr>
        <w:t>נספח 2</w:t>
      </w:r>
      <w:r w:rsidR="00C20DA4">
        <w:rPr>
          <w:rFonts w:ascii="David" w:hAnsi="David" w:cs="David" w:hint="cs"/>
          <w:sz w:val="24"/>
          <w:szCs w:val="24"/>
          <w:rtl/>
        </w:rPr>
        <w:t>)</w:t>
      </w:r>
      <w:r>
        <w:rPr>
          <w:rFonts w:ascii="David" w:hAnsi="David" w:cs="David" w:hint="cs"/>
          <w:sz w:val="24"/>
          <w:szCs w:val="24"/>
          <w:rtl/>
        </w:rPr>
        <w:t>.</w:t>
      </w:r>
    </w:p>
    <w:p w14:paraId="5D1B2B39" w14:textId="37A0ADD8"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לכל ההחלטות </w:t>
      </w:r>
      <w:r w:rsidR="00C20DA4">
        <w:rPr>
          <w:rFonts w:ascii="David" w:hAnsi="David" w:cs="David" w:hint="cs"/>
          <w:sz w:val="24"/>
          <w:szCs w:val="24"/>
          <w:rtl/>
        </w:rPr>
        <w:t xml:space="preserve">והחישובים שקבע </w:t>
      </w:r>
      <w:r>
        <w:rPr>
          <w:rFonts w:ascii="David" w:hAnsi="David" w:cs="David" w:hint="cs"/>
          <w:sz w:val="24"/>
          <w:szCs w:val="24"/>
          <w:rtl/>
        </w:rPr>
        <w:t>בהמשך הממונה על הגימלאות ובהתאם לנתוני</w:t>
      </w:r>
      <w:r w:rsidR="00C20DA4">
        <w:rPr>
          <w:rFonts w:ascii="David" w:hAnsi="David" w:cs="David" w:hint="cs"/>
          <w:sz w:val="24"/>
          <w:szCs w:val="24"/>
          <w:rtl/>
        </w:rPr>
        <w:t xml:space="preserve"> נש"מ</w:t>
      </w:r>
      <w:r>
        <w:rPr>
          <w:rFonts w:ascii="David" w:hAnsi="David" w:cs="David" w:hint="cs"/>
          <w:sz w:val="24"/>
          <w:szCs w:val="24"/>
          <w:rtl/>
        </w:rPr>
        <w:t xml:space="preserve"> חושבה ושולמה מאז גימלתו.</w:t>
      </w:r>
    </w:p>
    <w:p w14:paraId="2A3A0DA3" w14:textId="5D56F035"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מכתבו של מר אהרונוב הוא גם מוקד השגותיו של התובע על דרך חישוב גימלתו. התובע חולק על קביעתו (ס' 3) כי המשכורת הקובעת תהיה עפ"י דרגה 44+ וכן על נוסחת החישוב שנרשמה בס' 4.</w:t>
      </w:r>
    </w:p>
    <w:p w14:paraId="6822AA03" w14:textId="43B54076" w:rsidR="000F4D9F" w:rsidRDefault="000F4D9F"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r w:rsidR="00CC7AFA">
        <w:rPr>
          <w:rFonts w:ascii="David" w:hAnsi="David" w:cs="David" w:hint="cs"/>
          <w:sz w:val="24"/>
          <w:szCs w:val="24"/>
          <w:rtl/>
        </w:rPr>
        <w:t xml:space="preserve">לגימלה </w:t>
      </w:r>
      <w:r w:rsidR="0011087B">
        <w:rPr>
          <w:rFonts w:ascii="David" w:hAnsi="David" w:cs="David" w:hint="cs"/>
          <w:sz w:val="24"/>
          <w:szCs w:val="24"/>
          <w:rtl/>
        </w:rPr>
        <w:t>נקבעו ונוסחו 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1F847475" w:rsidR="00443EA4" w:rsidRDefault="00443EA4"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מסקנה זו מתאשרת גם במכתבה של הגב' חנה שוורץ, מנהלת תחום הגימלאות בחשב הכללי, מיום 10 דצמבר</w:t>
      </w:r>
      <w:r w:rsidR="004572B5">
        <w:rPr>
          <w:rFonts w:ascii="David" w:hAnsi="David" w:cs="David" w:hint="cs"/>
          <w:sz w:val="24"/>
          <w:szCs w:val="24"/>
          <w:rtl/>
        </w:rPr>
        <w:t xml:space="preserve"> </w:t>
      </w:r>
      <w:r>
        <w:rPr>
          <w:rFonts w:ascii="David" w:hAnsi="David" w:cs="David" w:hint="cs"/>
          <w:sz w:val="24"/>
          <w:szCs w:val="24"/>
          <w:rtl/>
        </w:rPr>
        <w:t>2012</w:t>
      </w:r>
      <w:r w:rsidR="00F8130E">
        <w:rPr>
          <w:rFonts w:ascii="David" w:hAnsi="David" w:cs="David" w:hint="cs"/>
          <w:sz w:val="24"/>
          <w:szCs w:val="24"/>
          <w:rtl/>
        </w:rPr>
        <w:t xml:space="preserve"> (</w:t>
      </w:r>
      <w:r w:rsidR="00F8130E">
        <w:rPr>
          <w:rFonts w:ascii="David" w:hAnsi="David" w:cs="David" w:hint="cs"/>
          <w:b/>
          <w:bCs/>
          <w:sz w:val="24"/>
          <w:szCs w:val="24"/>
          <w:rtl/>
        </w:rPr>
        <w:t>נספח 4</w:t>
      </w:r>
      <w:r w:rsidR="00F8130E">
        <w:rPr>
          <w:rFonts w:ascii="David" w:hAnsi="David" w:cs="David" w:hint="cs"/>
          <w:sz w:val="24"/>
          <w:szCs w:val="24"/>
          <w:rtl/>
        </w:rPr>
        <w:t>)</w:t>
      </w:r>
      <w:r>
        <w:rPr>
          <w:rFonts w:ascii="David" w:hAnsi="David" w:cs="David" w:hint="cs"/>
          <w:sz w:val="24"/>
          <w:szCs w:val="24"/>
          <w:rtl/>
        </w:rPr>
        <w:t xml:space="preserve">, שבו היא מציינת בס' 1 ואף מדגישה כי קיצבת הפרישה עפ"י ס' 20 לחוק, בשיעור של </w:t>
      </w:r>
      <w:r w:rsidRPr="00B84BF7">
        <w:rPr>
          <w:rFonts w:ascii="David" w:hAnsi="David" w:cs="David" w:hint="cs"/>
          <w:b/>
          <w:bCs/>
          <w:sz w:val="24"/>
          <w:szCs w:val="24"/>
          <w:rtl/>
        </w:rPr>
        <w:t>70%</w:t>
      </w:r>
      <w:r>
        <w:rPr>
          <w:rFonts w:ascii="David" w:hAnsi="David" w:cs="David" w:hint="cs"/>
          <w:sz w:val="24"/>
          <w:szCs w:val="24"/>
          <w:rtl/>
        </w:rPr>
        <w:t xml:space="preserve"> מהמשכורת הקובעת של חוזה בכירים, </w:t>
      </w:r>
      <w:r w:rsidRPr="00B84BF7">
        <w:rPr>
          <w:rFonts w:ascii="David" w:hAnsi="David" w:cs="David" w:hint="cs"/>
          <w:b/>
          <w:bCs/>
          <w:sz w:val="24"/>
          <w:szCs w:val="24"/>
          <w:rtl/>
        </w:rPr>
        <w:t>בהתאם לאישור נש"מ</w:t>
      </w:r>
      <w:r>
        <w:rPr>
          <w:rFonts w:ascii="David" w:hAnsi="David" w:cs="David" w:hint="cs"/>
          <w:sz w:val="24"/>
          <w:szCs w:val="24"/>
          <w:rtl/>
        </w:rPr>
        <w:t xml:space="preserve"> </w:t>
      </w:r>
      <w:r w:rsidRPr="00B84BF7">
        <w:rPr>
          <w:rFonts w:ascii="David" w:hAnsi="David" w:cs="David" w:hint="cs"/>
          <w:b/>
          <w:bCs/>
          <w:sz w:val="24"/>
          <w:szCs w:val="24"/>
          <w:rtl/>
        </w:rPr>
        <w:lastRenderedPageBreak/>
        <w:t xml:space="preserve">מיום 21.8.2012 </w:t>
      </w:r>
      <w:r>
        <w:rPr>
          <w:rFonts w:ascii="David" w:hAnsi="David" w:cs="David" w:hint="cs"/>
          <w:sz w:val="24"/>
          <w:szCs w:val="24"/>
          <w:rtl/>
        </w:rPr>
        <w:t>(</w:t>
      </w:r>
      <w:r w:rsidRPr="00C80962">
        <w:rPr>
          <w:rFonts w:ascii="David" w:hAnsi="David" w:cs="David" w:hint="cs"/>
          <w:b/>
          <w:bCs/>
          <w:sz w:val="24"/>
          <w:szCs w:val="24"/>
          <w:rtl/>
        </w:rPr>
        <w:t xml:space="preserve">נספח </w:t>
      </w:r>
      <w:r w:rsidR="006C1520">
        <w:rPr>
          <w:rFonts w:ascii="David" w:hAnsi="David" w:cs="David" w:hint="cs"/>
          <w:b/>
          <w:bCs/>
          <w:sz w:val="24"/>
          <w:szCs w:val="24"/>
          <w:rtl/>
        </w:rPr>
        <w:t>2</w:t>
      </w:r>
      <w:r>
        <w:rPr>
          <w:rFonts w:ascii="David" w:hAnsi="David" w:cs="David" w:hint="cs"/>
          <w:sz w:val="24"/>
          <w:szCs w:val="24"/>
          <w:rtl/>
        </w:rPr>
        <w:t>)</w:t>
      </w:r>
      <w:r w:rsidR="002B254C">
        <w:rPr>
          <w:rFonts w:ascii="David" w:hAnsi="David" w:cs="David" w:hint="cs"/>
          <w:sz w:val="24"/>
          <w:szCs w:val="24"/>
          <w:rtl/>
        </w:rPr>
        <w:t>.</w:t>
      </w:r>
      <w:r>
        <w:rPr>
          <w:rFonts w:ascii="David" w:hAnsi="David" w:cs="David" w:hint="cs"/>
          <w:sz w:val="24"/>
          <w:szCs w:val="24"/>
          <w:rtl/>
        </w:rPr>
        <w:t xml:space="preserve"> כלומר</w:t>
      </w:r>
      <w:r w:rsidR="002B254C">
        <w:rPr>
          <w:rFonts w:ascii="David" w:hAnsi="David" w:cs="David" w:hint="cs"/>
          <w:sz w:val="24"/>
          <w:szCs w:val="24"/>
          <w:rtl/>
        </w:rPr>
        <w:t>,</w:t>
      </w:r>
      <w:r>
        <w:rPr>
          <w:rFonts w:ascii="David" w:hAnsi="David" w:cs="David" w:hint="cs"/>
          <w:sz w:val="24"/>
          <w:szCs w:val="24"/>
          <w:rtl/>
        </w:rPr>
        <w:t xml:space="preserve"> מכתבו של מר אהרונוב הוא הבסיס </w:t>
      </w:r>
      <w:r w:rsidR="002B254C">
        <w:rPr>
          <w:rFonts w:ascii="David" w:hAnsi="David" w:cs="David" w:hint="cs"/>
          <w:sz w:val="24"/>
          <w:szCs w:val="24"/>
          <w:rtl/>
        </w:rPr>
        <w:t xml:space="preserve">להוראות התשלום שביצעה מינהלת </w:t>
      </w:r>
      <w:r>
        <w:rPr>
          <w:rFonts w:ascii="David" w:hAnsi="David" w:cs="David" w:hint="cs"/>
          <w:sz w:val="24"/>
          <w:szCs w:val="24"/>
          <w:rtl/>
        </w:rPr>
        <w:t>הגימלאות.</w:t>
      </w:r>
    </w:p>
    <w:p w14:paraId="37747722" w14:textId="3ABEE02F" w:rsidR="00B84BF7" w:rsidRDefault="00B84BF7" w:rsidP="002369FF">
      <w:pPr>
        <w:pStyle w:val="a3"/>
        <w:numPr>
          <w:ilvl w:val="0"/>
          <w:numId w:val="4"/>
        </w:numPr>
        <w:spacing w:after="0" w:line="360" w:lineRule="auto"/>
        <w:jc w:val="both"/>
        <w:rPr>
          <w:rFonts w:ascii="David" w:hAnsi="David" w:cs="David"/>
          <w:sz w:val="24"/>
          <w:szCs w:val="24"/>
        </w:rPr>
      </w:pPr>
      <w:r w:rsidRPr="00092FC8">
        <w:rPr>
          <w:rFonts w:ascii="David" w:hAnsi="David" w:cs="David" w:hint="cs"/>
          <w:sz w:val="24"/>
          <w:szCs w:val="24"/>
          <w:highlight w:val="yellow"/>
          <w:rtl/>
        </w:rPr>
        <w:t xml:space="preserve">לכך מתווספת גם </w:t>
      </w:r>
      <w:r w:rsidR="00E3677F" w:rsidRPr="00092FC8">
        <w:rPr>
          <w:rFonts w:ascii="David" w:hAnsi="David" w:cs="David" w:hint="cs"/>
          <w:sz w:val="24"/>
          <w:szCs w:val="24"/>
          <w:highlight w:val="yellow"/>
          <w:rtl/>
        </w:rPr>
        <w:t xml:space="preserve">העובדה שגם הממונה וגם מר אהרונוב הנחו את התובע להפנות לנציבות את טיעוניו, כמתואר </w:t>
      </w:r>
      <w:r w:rsidR="00092FC8">
        <w:rPr>
          <w:rFonts w:ascii="David" w:hAnsi="David" w:cs="David" w:hint="cs"/>
          <w:sz w:val="24"/>
          <w:szCs w:val="24"/>
          <w:highlight w:val="yellow"/>
          <w:rtl/>
        </w:rPr>
        <w:t>בפתיח לנספח.....</w:t>
      </w:r>
      <w:r w:rsidR="00415E61">
        <w:rPr>
          <w:rFonts w:ascii="David" w:hAnsi="David" w:cs="David" w:hint="cs"/>
          <w:sz w:val="24"/>
          <w:szCs w:val="24"/>
          <w:highlight w:val="yellow"/>
          <w:rtl/>
        </w:rPr>
        <w:t>(</w:t>
      </w:r>
      <w:r w:rsidR="00092FC8">
        <w:rPr>
          <w:rFonts w:ascii="David" w:hAnsi="David" w:cs="David" w:hint="cs"/>
          <w:sz w:val="24"/>
          <w:szCs w:val="24"/>
          <w:highlight w:val="yellow"/>
          <w:rtl/>
        </w:rPr>
        <w:t>מכתבו של התובע לאהרונוב מיום 8.1.2013</w:t>
      </w:r>
      <w:r w:rsidR="00415E61">
        <w:rPr>
          <w:rFonts w:ascii="David" w:hAnsi="David" w:cs="David" w:hint="cs"/>
          <w:sz w:val="24"/>
          <w:szCs w:val="24"/>
          <w:highlight w:val="yellow"/>
          <w:rtl/>
        </w:rPr>
        <w:t xml:space="preserve">) וכמתואר </w:t>
      </w:r>
      <w:r w:rsidR="00E3677F" w:rsidRPr="00092FC8">
        <w:rPr>
          <w:rFonts w:ascii="David" w:hAnsi="David" w:cs="David" w:hint="cs"/>
          <w:sz w:val="24"/>
          <w:szCs w:val="24"/>
          <w:highlight w:val="yellow"/>
          <w:rtl/>
        </w:rPr>
        <w:t>לעיל</w:t>
      </w:r>
      <w:r w:rsidR="00092FC8" w:rsidRPr="00092FC8">
        <w:rPr>
          <w:rFonts w:ascii="David" w:hAnsi="David" w:cs="David" w:hint="cs"/>
          <w:sz w:val="24"/>
          <w:szCs w:val="24"/>
          <w:highlight w:val="yellow"/>
          <w:rtl/>
        </w:rPr>
        <w:t>, בעיקר</w:t>
      </w:r>
      <w:r w:rsidR="00E3677F" w:rsidRPr="00092FC8">
        <w:rPr>
          <w:rFonts w:ascii="David" w:hAnsi="David" w:cs="David" w:hint="cs"/>
          <w:sz w:val="24"/>
          <w:szCs w:val="24"/>
          <w:highlight w:val="yellow"/>
          <w:rtl/>
        </w:rPr>
        <w:t xml:space="preserve"> ב</w:t>
      </w:r>
      <w:r w:rsidR="00092FC8" w:rsidRPr="00092FC8">
        <w:rPr>
          <w:rFonts w:ascii="David" w:hAnsi="David" w:cs="David" w:hint="cs"/>
          <w:sz w:val="24"/>
          <w:szCs w:val="24"/>
          <w:highlight w:val="yellow"/>
          <w:rtl/>
        </w:rPr>
        <w:t xml:space="preserve">פיסקאות </w:t>
      </w:r>
      <w:r w:rsidR="00E3677F" w:rsidRPr="00092FC8">
        <w:rPr>
          <w:rFonts w:ascii="David" w:hAnsi="David" w:cs="David" w:hint="cs"/>
          <w:sz w:val="24"/>
          <w:szCs w:val="24"/>
          <w:highlight w:val="yellow"/>
          <w:rtl/>
        </w:rPr>
        <w:t xml:space="preserve"> 7.6 עד 7.10 לעיל</w:t>
      </w:r>
      <w:r w:rsidR="00092FC8">
        <w:rPr>
          <w:rFonts w:ascii="David" w:hAnsi="David" w:cs="David" w:hint="cs"/>
          <w:sz w:val="24"/>
          <w:szCs w:val="24"/>
          <w:rtl/>
        </w:rPr>
        <w:t>.</w:t>
      </w:r>
      <w:r w:rsidR="00E3677F">
        <w:rPr>
          <w:rFonts w:ascii="David" w:hAnsi="David" w:cs="David" w:hint="cs"/>
          <w:sz w:val="24"/>
          <w:szCs w:val="24"/>
          <w:rtl/>
        </w:rPr>
        <w:t xml:space="preserve"> </w:t>
      </w:r>
    </w:p>
    <w:p w14:paraId="65E425AE" w14:textId="119E3513" w:rsidR="001B0264" w:rsidRDefault="001B0264" w:rsidP="002369FF">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לגימלה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415E61" w:rsidRPr="00415E61">
        <w:rPr>
          <w:rFonts w:ascii="David" w:hAnsi="David" w:cs="David" w:hint="cs"/>
          <w:sz w:val="24"/>
          <w:szCs w:val="24"/>
          <w:highlight w:val="yellow"/>
          <w:rtl/>
        </w:rPr>
        <w:t>6</w:t>
      </w:r>
      <w:r w:rsidRPr="0011087B">
        <w:rPr>
          <w:rFonts w:ascii="David" w:hAnsi="David" w:cs="David" w:hint="cs"/>
          <w:sz w:val="24"/>
          <w:szCs w:val="24"/>
          <w:rtl/>
        </w:rPr>
        <w:t>+</w:t>
      </w:r>
    </w:p>
    <w:p w14:paraId="10360C4A" w14:textId="1A856809" w:rsidR="00EF6047" w:rsidRPr="00F258C4"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2F3D0F8B" w:rsidR="00F258C4" w:rsidRPr="007A68E1" w:rsidRDefault="00415E61" w:rsidP="002369FF">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 xml:space="preserve">התובע עבד בס"ה 42.66 שנה בשרות המדינה אך הוא זכאי לגימלה על 35 שנה בלבד.  </w:t>
      </w:r>
      <w:r w:rsidR="0054496E">
        <w:rPr>
          <w:rFonts w:ascii="David" w:hAnsi="David" w:cs="David" w:hint="cs"/>
          <w:sz w:val="24"/>
          <w:szCs w:val="24"/>
          <w:rtl/>
        </w:rPr>
        <w:t xml:space="preserve">בהתאם לסעיף 12ה לחוזה, קיבל התובע </w:t>
      </w:r>
      <w:r w:rsidR="00F258C4">
        <w:rPr>
          <w:rFonts w:ascii="David" w:hAnsi="David" w:cs="David" w:hint="cs"/>
          <w:sz w:val="24"/>
          <w:szCs w:val="24"/>
          <w:rtl/>
        </w:rPr>
        <w:t xml:space="preserve">פיצויים </w:t>
      </w:r>
      <w:r w:rsidR="0054496E">
        <w:rPr>
          <w:rFonts w:ascii="David" w:hAnsi="David" w:cs="David" w:hint="cs"/>
          <w:sz w:val="24"/>
          <w:szCs w:val="24"/>
          <w:rtl/>
        </w:rPr>
        <w:t>בגין</w:t>
      </w:r>
      <w:r w:rsidR="00F258C4">
        <w:rPr>
          <w:rFonts w:ascii="David" w:hAnsi="David" w:cs="David" w:hint="cs"/>
          <w:sz w:val="24"/>
          <w:szCs w:val="24"/>
          <w:rtl/>
        </w:rPr>
        <w:t xml:space="preserve"> </w:t>
      </w:r>
      <w:r w:rsidR="0054496E">
        <w:rPr>
          <w:rFonts w:ascii="David" w:hAnsi="David" w:cs="David" w:hint="cs"/>
          <w:sz w:val="24"/>
          <w:szCs w:val="24"/>
          <w:rtl/>
        </w:rPr>
        <w:t xml:space="preserve">7.66 </w:t>
      </w:r>
      <w:r w:rsidR="00F258C4" w:rsidRPr="007A68E1">
        <w:rPr>
          <w:rFonts w:ascii="David" w:hAnsi="David" w:cs="David" w:hint="cs"/>
          <w:sz w:val="24"/>
          <w:szCs w:val="24"/>
          <w:rtl/>
        </w:rPr>
        <w:t>שנ</w:t>
      </w:r>
      <w:r w:rsidR="0054496E">
        <w:rPr>
          <w:rFonts w:ascii="David" w:hAnsi="David" w:cs="David" w:hint="cs"/>
          <w:sz w:val="24"/>
          <w:szCs w:val="24"/>
          <w:rtl/>
        </w:rPr>
        <w:t xml:space="preserve">ים עודפות </w:t>
      </w:r>
      <w:r w:rsidR="007A68E1" w:rsidRPr="007A68E1">
        <w:rPr>
          <w:rFonts w:ascii="David" w:hAnsi="David" w:cs="David" w:hint="cs"/>
          <w:sz w:val="24"/>
          <w:szCs w:val="24"/>
          <w:rtl/>
        </w:rPr>
        <w:t xml:space="preserve">מעבר ל-35 שנים </w:t>
      </w:r>
      <w:r w:rsidR="0054496E">
        <w:rPr>
          <w:rFonts w:ascii="David" w:hAnsi="David" w:cs="David" w:hint="cs"/>
          <w:sz w:val="24"/>
          <w:szCs w:val="24"/>
          <w:rtl/>
        </w:rPr>
        <w:t>ו</w:t>
      </w:r>
      <w:r w:rsidR="007A68E1" w:rsidRPr="007A68E1">
        <w:rPr>
          <w:rFonts w:ascii="David" w:hAnsi="David" w:cs="David" w:hint="cs"/>
          <w:sz w:val="24"/>
          <w:szCs w:val="24"/>
          <w:rtl/>
        </w:rPr>
        <w:t>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גימלתו </w:t>
      </w:r>
      <w:r w:rsidR="0054496E">
        <w:rPr>
          <w:rFonts w:ascii="David" w:hAnsi="David" w:cs="David" w:hint="cs"/>
          <w:sz w:val="24"/>
          <w:szCs w:val="24"/>
          <w:rtl/>
        </w:rPr>
        <w:t>עבור 35 שנים אלו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01414835"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יש לייחס לעבודתו על פי כתב מינוי וכמה על פי חוזה הבכירים.</w:t>
      </w:r>
    </w:p>
    <w:p w14:paraId="407BDCC4" w14:textId="4F3E5032"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צריך להיות שיעור גימלתו.</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696F8A96" w14:textId="238A2D01" w:rsidR="000C73E1" w:rsidRDefault="00A45918" w:rsidP="000C73E1">
      <w:pPr>
        <w:spacing w:after="0" w:line="360" w:lineRule="auto"/>
        <w:ind w:left="444"/>
        <w:jc w:val="both"/>
        <w:rPr>
          <w:rFonts w:ascii="David" w:hAnsi="David" w:cs="David"/>
          <w:sz w:val="24"/>
          <w:szCs w:val="24"/>
          <w:rtl/>
        </w:rPr>
      </w:pPr>
      <w:r>
        <w:rPr>
          <w:rFonts w:ascii="David" w:hAnsi="David" w:cs="David" w:hint="cs"/>
          <w:sz w:val="24"/>
          <w:szCs w:val="24"/>
          <w:rtl/>
        </w:rPr>
        <w:t>תקופת כתב החוזה:</w:t>
      </w:r>
      <w:r w:rsidR="000C73E1">
        <w:rPr>
          <w:rFonts w:ascii="David" w:hAnsi="David" w:cs="David" w:hint="cs"/>
          <w:sz w:val="24"/>
          <w:szCs w:val="24"/>
          <w:rtl/>
        </w:rPr>
        <w:t xml:space="preserve">מכתבו של מר אהרונוב כולל בס' 4 טבלה המפרטת כיצד יש לחשב את החלקים השונים של הגימלה ולקבוע את "תקופת החוזה", ביחס לכלל תקופת השירות ואת "תקופת כתב המינוי" ביחס ל"כלל תקופת השירות", קובעת כי שיטת חישוב הגימלה של התובע </w:t>
      </w:r>
      <w:r w:rsidR="00244EE7">
        <w:rPr>
          <w:rFonts w:ascii="David" w:hAnsi="David" w:cs="David" w:hint="cs"/>
          <w:sz w:val="24"/>
          <w:szCs w:val="24"/>
          <w:rtl/>
        </w:rPr>
        <w:t xml:space="preserve">תיעשה </w:t>
      </w:r>
      <w:r w:rsidR="000C73E1">
        <w:rPr>
          <w:rFonts w:ascii="David" w:hAnsi="David" w:cs="David" w:hint="cs"/>
          <w:sz w:val="24"/>
          <w:szCs w:val="24"/>
          <w:rtl/>
        </w:rPr>
        <w:t>"</w:t>
      </w:r>
      <w:r w:rsidR="000C73E1">
        <w:rPr>
          <w:rFonts w:ascii="David" w:hAnsi="David" w:cs="David" w:hint="cs"/>
          <w:b/>
          <w:bCs/>
          <w:sz w:val="24"/>
          <w:szCs w:val="24"/>
          <w:rtl/>
        </w:rPr>
        <w:t>עפ"י ממוצע חשבוני משוקלל שבין המשכורת הקובעת בס' 2 לעיל",</w:t>
      </w:r>
      <w:r w:rsidR="000C73E1">
        <w:rPr>
          <w:rFonts w:ascii="David" w:hAnsi="David" w:cs="David" w:hint="cs"/>
          <w:sz w:val="24"/>
          <w:szCs w:val="24"/>
          <w:rtl/>
        </w:rPr>
        <w:t xml:space="preserve"> כלומר מחושב ממוצע בין המשכורת בתקופת המינוי לבין המשכורת בתקופת ההסכם. הוראה זו של נש"מ עומדת בניגוד מוחלט להוראת ס' 12ב' בהסכם הבכירים הקובעת: "</w:t>
      </w:r>
      <w:r w:rsidR="000C73E1">
        <w:rPr>
          <w:rFonts w:ascii="David" w:hAnsi="David" w:cs="David" w:hint="cs"/>
          <w:b/>
          <w:bCs/>
          <w:sz w:val="24"/>
          <w:szCs w:val="24"/>
          <w:rtl/>
        </w:rPr>
        <w:t>המשכורת הקובעת שעל בסיסה תשולם קיצבתו של העובד עבור תקופת עבודה בחוזה מיוחד זה, תהיה המשכורת הכוללת לפי ס' 6 לעיל וכפי שתעודכן לפי ס' 8 לעיל"</w:t>
      </w:r>
      <w:r w:rsidR="000C73E1">
        <w:rPr>
          <w:rFonts w:ascii="David" w:hAnsi="David" w:cs="David" w:hint="cs"/>
          <w:sz w:val="24"/>
          <w:szCs w:val="24"/>
          <w:rtl/>
        </w:rPr>
        <w:t>.</w:t>
      </w:r>
    </w:p>
    <w:p w14:paraId="3B3C7877" w14:textId="77777777" w:rsidR="00244EE7" w:rsidRDefault="00244EE7"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שיטת החישוב במכתבו של מר אהרונוב מנש"מ מקנה ערך שנים כמעט שווה לתקופת המינוי ולתקופת ההסכם.</w:t>
      </w:r>
    </w:p>
    <w:p w14:paraId="2A773BC3" w14:textId="19E631CB" w:rsidR="00244EE7" w:rsidRDefault="00244EE7" w:rsidP="00244EE7">
      <w:pPr>
        <w:spacing w:after="0" w:line="360" w:lineRule="auto"/>
        <w:ind w:left="444"/>
        <w:jc w:val="both"/>
        <w:rPr>
          <w:rFonts w:ascii="David" w:hAnsi="David" w:cs="David"/>
          <w:sz w:val="24"/>
          <w:szCs w:val="24"/>
          <w:rtl/>
        </w:rPr>
      </w:pPr>
      <w:r w:rsidRPr="00C80962">
        <w:rPr>
          <w:rFonts w:ascii="David" w:hAnsi="David" w:cs="David" w:hint="cs"/>
          <w:sz w:val="24"/>
          <w:szCs w:val="24"/>
          <w:rtl/>
        </w:rPr>
        <w:t>לבקשת התובע קיבל מכתב ממי שהיה סגן ראש מינהל הסגל בנש"מ מר יוסי יהודה, המפרט כיצד היה צריך לחשב את זכויות הגימלה וממנו עולה כי את תקופת ההסכם יש לחשב "</w:t>
      </w:r>
      <w:r w:rsidRPr="00C80962">
        <w:rPr>
          <w:rFonts w:ascii="David" w:hAnsi="David" w:cs="David" w:hint="cs"/>
          <w:b/>
          <w:bCs/>
          <w:sz w:val="24"/>
          <w:szCs w:val="24"/>
          <w:rtl/>
        </w:rPr>
        <w:t xml:space="preserve">על כל תקופת העבודה </w:t>
      </w:r>
      <w:r w:rsidRPr="00C80962">
        <w:rPr>
          <w:rFonts w:ascii="David" w:hAnsi="David" w:cs="David" w:hint="cs"/>
          <w:b/>
          <w:bCs/>
          <w:sz w:val="24"/>
          <w:szCs w:val="24"/>
          <w:u w:val="single"/>
          <w:rtl/>
        </w:rPr>
        <w:t>בחוזה</w:t>
      </w:r>
      <w:r w:rsidRPr="00C80962">
        <w:rPr>
          <w:rFonts w:ascii="David" w:hAnsi="David" w:cs="David" w:hint="cs"/>
          <w:b/>
          <w:bCs/>
          <w:sz w:val="24"/>
          <w:szCs w:val="24"/>
          <w:rtl/>
        </w:rPr>
        <w:t xml:space="preserve"> ללא שיקלול כלשהו (ס' 12 לחוזה) (נספח </w:t>
      </w:r>
      <w:r>
        <w:rPr>
          <w:rFonts w:ascii="David" w:hAnsi="David" w:cs="David" w:hint="cs"/>
          <w:b/>
          <w:bCs/>
          <w:sz w:val="24"/>
          <w:szCs w:val="24"/>
          <w:rtl/>
        </w:rPr>
        <w:t>7</w:t>
      </w:r>
      <w:r w:rsidRPr="00C80962">
        <w:rPr>
          <w:rFonts w:ascii="David" w:hAnsi="David" w:cs="David" w:hint="cs"/>
          <w:b/>
          <w:bCs/>
          <w:sz w:val="24"/>
          <w:szCs w:val="24"/>
          <w:rtl/>
        </w:rPr>
        <w:t>)</w:t>
      </w:r>
      <w:r w:rsidRPr="00C80962">
        <w:rPr>
          <w:rFonts w:ascii="David" w:hAnsi="David" w:cs="David" w:hint="cs"/>
          <w:sz w:val="24"/>
          <w:szCs w:val="24"/>
          <w:rtl/>
        </w:rPr>
        <w:t>.</w:t>
      </w:r>
    </w:p>
    <w:p w14:paraId="69BF7306" w14:textId="0286BF3F" w:rsidR="008E35F0" w:rsidRPr="00244EE7" w:rsidRDefault="008E35F0" w:rsidP="002369FF">
      <w:pPr>
        <w:pStyle w:val="a3"/>
        <w:numPr>
          <w:ilvl w:val="0"/>
          <w:numId w:val="4"/>
        </w:numPr>
        <w:spacing w:after="0" w:line="360" w:lineRule="auto"/>
        <w:jc w:val="both"/>
        <w:rPr>
          <w:rFonts w:ascii="David" w:hAnsi="David" w:cs="David"/>
          <w:sz w:val="24"/>
          <w:szCs w:val="24"/>
          <w:rtl/>
        </w:rPr>
      </w:pPr>
      <w:r w:rsidRPr="00244EE7">
        <w:rPr>
          <w:rFonts w:ascii="David" w:hAnsi="David" w:cs="David" w:hint="cs"/>
          <w:sz w:val="24"/>
          <w:szCs w:val="24"/>
          <w:rtl/>
        </w:rPr>
        <w:t xml:space="preserve">ס' 12ב' של הסכם הבכירים קובע: </w:t>
      </w:r>
      <w:r w:rsidRPr="00244EE7">
        <w:rPr>
          <w:rFonts w:ascii="David" w:hAnsi="David" w:cs="David" w:hint="cs"/>
          <w:b/>
          <w:bCs/>
          <w:sz w:val="24"/>
          <w:szCs w:val="24"/>
          <w:rtl/>
        </w:rPr>
        <w:t>"המשכורת הקובעת שעל פיה תשולם קיצבתו של העובד עבור תקופת עבודתו בחוזה מיוחד זה, תהיה המשכורת הכוללת לפי ס' 6 לעיל וכפי שתעודכן לפי ס' 8 לעיל".</w:t>
      </w:r>
    </w:p>
    <w:p w14:paraId="16F1C6E0" w14:textId="3F1F5FD2"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מנוסח זה עולה בבירור כי מתוך 35 שנות כשירות יש לחשב את כל השנים לפי הסכם הבכירים שהן 22.33 (לאחר הפחתת שנות תשלום הפיצויים</w:t>
      </w:r>
      <w:r w:rsidR="00AF16B8">
        <w:rPr>
          <w:rFonts w:ascii="David" w:hAnsi="David" w:cs="David" w:hint="cs"/>
          <w:sz w:val="24"/>
          <w:szCs w:val="24"/>
          <w:rtl/>
        </w:rPr>
        <w:t>)</w:t>
      </w:r>
      <w:r>
        <w:rPr>
          <w:rFonts w:ascii="David" w:hAnsi="David" w:cs="David" w:hint="cs"/>
          <w:sz w:val="24"/>
          <w:szCs w:val="24"/>
          <w:rtl/>
        </w:rPr>
        <w:t>, ואילו על יתרת התקופה שהן 12.67 שנים יש לשלם לתובע גימלה על פי כתב המינוי.</w:t>
      </w:r>
    </w:p>
    <w:p w14:paraId="2565AC47" w14:textId="09EECDDC" w:rsidR="004F4AEB" w:rsidRDefault="004F4AEB" w:rsidP="008E35F0">
      <w:pPr>
        <w:spacing w:after="0" w:line="360" w:lineRule="auto"/>
        <w:ind w:left="444"/>
        <w:jc w:val="both"/>
        <w:rPr>
          <w:rFonts w:ascii="David" w:hAnsi="David" w:cs="David"/>
          <w:sz w:val="24"/>
          <w:szCs w:val="24"/>
          <w:rtl/>
        </w:rPr>
      </w:pPr>
      <w:r>
        <w:rPr>
          <w:rFonts w:ascii="David" w:hAnsi="David" w:cs="David" w:hint="cs"/>
          <w:sz w:val="24"/>
          <w:szCs w:val="24"/>
          <w:rtl/>
        </w:rPr>
        <w:t>מכאן עולה כי בקיצבה ששולמה לתובע היה תשלום יתר חודשי על תקופת עבודתו לפי כתב מינוי ותשלום חסר חודשי על תקופת עבודתו לפי הסכם הבכירים.</w:t>
      </w:r>
    </w:p>
    <w:p w14:paraId="5DC824C6" w14:textId="1B3C89B9"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lastRenderedPageBreak/>
        <w:t>בשתי התקופות זכאי התובע ל-2% בכל שנה משנות עבודתו באותה תקופה.</w:t>
      </w:r>
      <w:r w:rsidR="00364350">
        <w:rPr>
          <w:rFonts w:ascii="David" w:hAnsi="David" w:cs="David" w:hint="cs"/>
          <w:sz w:val="24"/>
          <w:szCs w:val="24"/>
          <w:rtl/>
        </w:rPr>
        <w:t xml:space="preserve"> כיצד יש לחשב את גימלת התובע בכל אחת מהתקופות</w:t>
      </w:r>
      <w:r w:rsidR="005A74FE">
        <w:rPr>
          <w:rFonts w:ascii="David" w:hAnsi="David" w:cs="David" w:hint="cs"/>
          <w:sz w:val="24"/>
          <w:szCs w:val="24"/>
          <w:rtl/>
        </w:rPr>
        <w:t>?</w:t>
      </w:r>
    </w:p>
    <w:p w14:paraId="46341999" w14:textId="77777777" w:rsidR="005A74FE" w:rsidRDefault="005A74FE" w:rsidP="008E35F0">
      <w:pPr>
        <w:spacing w:after="0" w:line="360" w:lineRule="auto"/>
        <w:ind w:left="444"/>
        <w:jc w:val="both"/>
        <w:rPr>
          <w:rFonts w:ascii="David" w:hAnsi="David" w:cs="David"/>
          <w:sz w:val="24"/>
          <w:szCs w:val="24"/>
          <w:u w:val="single"/>
          <w:rtl/>
        </w:rPr>
      </w:pPr>
    </w:p>
    <w:p w14:paraId="4BEFACD2" w14:textId="7C7C4370" w:rsidR="008E35F0" w:rsidRDefault="008E35F0" w:rsidP="008E35F0">
      <w:pPr>
        <w:spacing w:after="0" w:line="360" w:lineRule="auto"/>
        <w:ind w:left="444"/>
        <w:jc w:val="both"/>
        <w:rPr>
          <w:rFonts w:ascii="David" w:hAnsi="David" w:cs="David"/>
          <w:sz w:val="24"/>
          <w:szCs w:val="24"/>
          <w:u w:val="single"/>
          <w:rtl/>
        </w:rPr>
      </w:pPr>
      <w:r>
        <w:rPr>
          <w:rFonts w:ascii="David" w:hAnsi="David" w:cs="David" w:hint="cs"/>
          <w:sz w:val="24"/>
          <w:szCs w:val="24"/>
          <w:u w:val="single"/>
          <w:rtl/>
        </w:rPr>
        <w:t xml:space="preserve">תקופה א' </w:t>
      </w:r>
      <w:r>
        <w:rPr>
          <w:rFonts w:ascii="David" w:hAnsi="David" w:cs="David"/>
          <w:sz w:val="24"/>
          <w:szCs w:val="24"/>
          <w:u w:val="single"/>
          <w:rtl/>
        </w:rPr>
        <w:t>–</w:t>
      </w:r>
      <w:r>
        <w:rPr>
          <w:rFonts w:ascii="David" w:hAnsi="David" w:cs="David" w:hint="cs"/>
          <w:sz w:val="24"/>
          <w:szCs w:val="24"/>
          <w:u w:val="single"/>
          <w:rtl/>
        </w:rPr>
        <w:t xml:space="preserve"> לפי כתב מינוי</w:t>
      </w:r>
    </w:p>
    <w:p w14:paraId="02CFD454" w14:textId="57C6CA70"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חוזה הבכירים נחתם עם התובע </w:t>
      </w:r>
      <w:r w:rsidR="005A74FE">
        <w:rPr>
          <w:rFonts w:ascii="David" w:hAnsi="David" w:cs="David" w:hint="cs"/>
          <w:sz w:val="24"/>
          <w:szCs w:val="24"/>
          <w:rtl/>
        </w:rPr>
        <w:t xml:space="preserve">בהיותו </w:t>
      </w:r>
      <w:r>
        <w:rPr>
          <w:rFonts w:ascii="David" w:hAnsi="David" w:cs="David" w:hint="cs"/>
          <w:sz w:val="24"/>
          <w:szCs w:val="24"/>
          <w:rtl/>
        </w:rPr>
        <w:t>בתפקיד "חשב בכיר". ודרגתו היתה 12, דרגה אחת מתחת לעליונה בסולם הדרגות.</w:t>
      </w:r>
    </w:p>
    <w:p w14:paraId="00510BF3" w14:textId="4ED33F1C" w:rsidR="005A74FE" w:rsidRDefault="005A74FE" w:rsidP="008E35F0">
      <w:pPr>
        <w:spacing w:after="0" w:line="360" w:lineRule="auto"/>
        <w:ind w:left="444"/>
        <w:jc w:val="both"/>
        <w:rPr>
          <w:rFonts w:ascii="David" w:hAnsi="David" w:cs="David"/>
          <w:sz w:val="24"/>
          <w:szCs w:val="24"/>
          <w:rtl/>
        </w:rPr>
      </w:pPr>
      <w:r w:rsidRPr="00C80962">
        <w:rPr>
          <w:rFonts w:ascii="David" w:hAnsi="David" w:cs="David" w:hint="cs"/>
          <w:sz w:val="24"/>
          <w:szCs w:val="24"/>
          <w:rtl/>
        </w:rPr>
        <w:t>כדי להוכיח את מעמדו של התובע כ"חשב בכיר" מצ"ב מכתב של המשנה לנציב שירות המדינה מתאריך 24.1.2005 המאשר את זכויות ה</w:t>
      </w:r>
      <w:r w:rsidR="00EE6660">
        <w:rPr>
          <w:rFonts w:ascii="David" w:hAnsi="David" w:cs="David" w:hint="cs"/>
          <w:sz w:val="24"/>
          <w:szCs w:val="24"/>
          <w:rtl/>
        </w:rPr>
        <w:t>ת</w:t>
      </w:r>
      <w:r w:rsidRPr="00C80962">
        <w:rPr>
          <w:rFonts w:ascii="David" w:hAnsi="David" w:cs="David" w:hint="cs"/>
          <w:sz w:val="24"/>
          <w:szCs w:val="24"/>
          <w:rtl/>
        </w:rPr>
        <w:t>ובע כ"חשב בכיר" לכל דבר ועניין (</w:t>
      </w:r>
      <w:r w:rsidRPr="00C80962">
        <w:rPr>
          <w:rFonts w:ascii="David" w:hAnsi="David" w:cs="David" w:hint="cs"/>
          <w:b/>
          <w:bCs/>
          <w:sz w:val="24"/>
          <w:szCs w:val="24"/>
          <w:rtl/>
        </w:rPr>
        <w:t xml:space="preserve">נספח </w:t>
      </w:r>
      <w:r w:rsidR="00244EE7">
        <w:rPr>
          <w:rFonts w:ascii="David" w:hAnsi="David" w:cs="David" w:hint="cs"/>
          <w:b/>
          <w:bCs/>
          <w:sz w:val="24"/>
          <w:szCs w:val="24"/>
          <w:rtl/>
        </w:rPr>
        <w:t>?</w:t>
      </w:r>
      <w:r w:rsidRPr="00C80962">
        <w:rPr>
          <w:rFonts w:ascii="David" w:hAnsi="David" w:cs="David" w:hint="cs"/>
          <w:sz w:val="24"/>
          <w:szCs w:val="24"/>
          <w:rtl/>
        </w:rPr>
        <w:t>).</w:t>
      </w:r>
    </w:p>
    <w:p w14:paraId="054438ED" w14:textId="475F5EB4"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אחרי חתימת הסכם הבכירים הוחלף </w:t>
      </w:r>
      <w:r w:rsidR="002D73C3">
        <w:rPr>
          <w:rFonts w:ascii="David" w:hAnsi="David" w:cs="David" w:hint="cs"/>
          <w:sz w:val="24"/>
          <w:szCs w:val="24"/>
          <w:rtl/>
        </w:rPr>
        <w:t xml:space="preserve">דירוג המח"ר והדרגה העליונה בסולם היתה 46. דרגה 12 הפכה למקבילה ל-45. בהתאם לכך קיבל התובע מאז "מענק יובל" לפי דרגה זו. בהסכם הבכירים </w:t>
      </w:r>
      <w:r w:rsidR="00244EE7">
        <w:rPr>
          <w:rFonts w:ascii="David" w:hAnsi="David" w:cs="David" w:hint="cs"/>
          <w:sz w:val="24"/>
          <w:szCs w:val="24"/>
          <w:rtl/>
        </w:rPr>
        <w:t>ס'</w:t>
      </w:r>
      <w:r w:rsidR="002D73C3">
        <w:rPr>
          <w:rFonts w:ascii="David" w:hAnsi="David" w:cs="David" w:hint="cs"/>
          <w:sz w:val="24"/>
          <w:szCs w:val="24"/>
          <w:rtl/>
        </w:rPr>
        <w:t xml:space="preserve"> 12א'1 נקבע:</w:t>
      </w:r>
    </w:p>
    <w:p w14:paraId="0A9CE247" w14:textId="1D9EBFFD" w:rsidR="002D73C3" w:rsidRDefault="002D73C3" w:rsidP="008E35F0">
      <w:pPr>
        <w:spacing w:after="0" w:line="360" w:lineRule="auto"/>
        <w:ind w:left="444"/>
        <w:jc w:val="both"/>
        <w:rPr>
          <w:rFonts w:ascii="David" w:hAnsi="David" w:cs="David"/>
          <w:sz w:val="24"/>
          <w:szCs w:val="24"/>
          <w:rtl/>
        </w:rPr>
      </w:pPr>
      <w:r>
        <w:rPr>
          <w:rFonts w:ascii="David" w:hAnsi="David" w:cs="David" w:hint="cs"/>
          <w:b/>
          <w:bCs/>
          <w:sz w:val="24"/>
          <w:szCs w:val="24"/>
          <w:rtl/>
        </w:rPr>
        <w:t>"המשכורת הקובעת שעל בסיסה תשולם קיצבתו של העובד עבור תקופת השירות לפי כתב המינוי, תהיה המשכורת הקובעת כהגדרתה בס' 8 ו-9 לחוק הגימלאות בדרגה שהיתה לעובד ערב חתימה על חוזה זה בדרגה 12 בדירוג המח"ר".</w:t>
      </w:r>
    </w:p>
    <w:p w14:paraId="1A952646" w14:textId="5785E95B" w:rsidR="002D73C3"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דרגה 12, שבה היה התובע, היתה דרגה אחת מתחת לעליונה בדירוג. על פי הדירוג החדש </w:t>
      </w:r>
      <w:r w:rsidR="0057606C">
        <w:rPr>
          <w:rFonts w:ascii="David" w:hAnsi="David" w:cs="David" w:hint="cs"/>
          <w:sz w:val="24"/>
          <w:szCs w:val="24"/>
          <w:rtl/>
        </w:rPr>
        <w:t>הדרגה שמתחת לעליונה היא 45. ראיה לדבר היא התשלום ל"מענק היובל" ששולם לתובע כל שנה לפי דרגה 45.</w:t>
      </w:r>
    </w:p>
    <w:p w14:paraId="4E23A851" w14:textId="77777777" w:rsidR="002A156A" w:rsidRDefault="0057606C" w:rsidP="008E35F0">
      <w:pPr>
        <w:spacing w:after="0" w:line="360" w:lineRule="auto"/>
        <w:ind w:left="444"/>
        <w:jc w:val="both"/>
        <w:rPr>
          <w:rFonts w:ascii="David" w:hAnsi="David" w:cs="David"/>
          <w:sz w:val="24"/>
          <w:szCs w:val="24"/>
          <w:rtl/>
        </w:rPr>
      </w:pPr>
      <w:r>
        <w:rPr>
          <w:rFonts w:ascii="David" w:hAnsi="David" w:cs="David" w:hint="cs"/>
          <w:sz w:val="24"/>
          <w:szCs w:val="24"/>
          <w:rtl/>
        </w:rPr>
        <w:t>בכל מקרה, עפ"י ס' 12א'2ג יש לעדכן את גימלתו של העובד "</w:t>
      </w:r>
      <w:r>
        <w:rPr>
          <w:rFonts w:ascii="David" w:hAnsi="David" w:cs="David" w:hint="cs"/>
          <w:b/>
          <w:bCs/>
          <w:sz w:val="24"/>
          <w:szCs w:val="24"/>
          <w:rtl/>
        </w:rPr>
        <w:t>לפי דרגת פרישה או תוספת שהייה אם העובד יהיה זכאי להן במועד פרישתו..."</w:t>
      </w:r>
      <w:r>
        <w:rPr>
          <w:rFonts w:ascii="David" w:hAnsi="David" w:cs="David" w:hint="cs"/>
          <w:sz w:val="24"/>
          <w:szCs w:val="24"/>
          <w:rtl/>
        </w:rPr>
        <w:t>. התובע היה זכאי בהתאם לוותק שלו לתוספת שהייה שמקנה תוספת (+) לדרגתו</w:t>
      </w:r>
      <w:r w:rsidR="002A156A">
        <w:rPr>
          <w:rFonts w:ascii="David" w:hAnsi="David" w:cs="David" w:hint="cs"/>
          <w:sz w:val="24"/>
          <w:szCs w:val="24"/>
          <w:rtl/>
        </w:rPr>
        <w:t xml:space="preserve"> וכעבור 42 שנות שירות ודאי גם היה זכאי לדרגת פרישה. </w:t>
      </w:r>
    </w:p>
    <w:p w14:paraId="47562CB0" w14:textId="4550BDC7" w:rsidR="0057606C" w:rsidRDefault="002A156A" w:rsidP="008E35F0">
      <w:pPr>
        <w:spacing w:after="0" w:line="360" w:lineRule="auto"/>
        <w:ind w:left="444"/>
        <w:jc w:val="both"/>
        <w:rPr>
          <w:rFonts w:ascii="David" w:hAnsi="David" w:cs="David"/>
          <w:sz w:val="24"/>
          <w:szCs w:val="24"/>
          <w:rtl/>
        </w:rPr>
      </w:pPr>
      <w:r>
        <w:rPr>
          <w:rFonts w:ascii="David" w:hAnsi="David" w:cs="David" w:hint="cs"/>
          <w:sz w:val="24"/>
          <w:szCs w:val="24"/>
          <w:rtl/>
        </w:rPr>
        <w:t>במכתב של נש"מ מיום 24.1.2005 הובטחה לתובע "</w:t>
      </w:r>
      <w:r w:rsidRPr="002A156A">
        <w:rPr>
          <w:rFonts w:ascii="David" w:hAnsi="David" w:cs="David" w:hint="cs"/>
          <w:b/>
          <w:bCs/>
          <w:sz w:val="24"/>
          <w:szCs w:val="24"/>
          <w:rtl/>
        </w:rPr>
        <w:t>דרגה אישית מעבר לדרגת השיא במתח הדרגות של חשב בכיר</w:t>
      </w:r>
      <w:r>
        <w:rPr>
          <w:rFonts w:ascii="David" w:hAnsi="David" w:cs="David" w:hint="cs"/>
          <w:sz w:val="24"/>
          <w:szCs w:val="24"/>
          <w:rtl/>
        </w:rPr>
        <w:t>" (</w:t>
      </w:r>
      <w:r>
        <w:rPr>
          <w:rFonts w:ascii="David" w:hAnsi="David" w:cs="David" w:hint="cs"/>
          <w:b/>
          <w:bCs/>
          <w:sz w:val="24"/>
          <w:szCs w:val="24"/>
          <w:rtl/>
        </w:rPr>
        <w:t xml:space="preserve">נספח </w:t>
      </w:r>
      <w:r w:rsidR="00C87293">
        <w:rPr>
          <w:rFonts w:ascii="David" w:hAnsi="David" w:cs="David" w:hint="cs"/>
          <w:b/>
          <w:bCs/>
          <w:sz w:val="24"/>
          <w:szCs w:val="24"/>
          <w:rtl/>
        </w:rPr>
        <w:t>6</w:t>
      </w:r>
      <w:r>
        <w:rPr>
          <w:rFonts w:ascii="David" w:hAnsi="David" w:cs="David" w:hint="cs"/>
          <w:sz w:val="24"/>
          <w:szCs w:val="24"/>
          <w:rtl/>
        </w:rPr>
        <w:t xml:space="preserve">). </w:t>
      </w:r>
    </w:p>
    <w:p w14:paraId="48CE36AE" w14:textId="18EC63E6" w:rsidR="002A156A" w:rsidRDefault="002A156A" w:rsidP="008E35F0">
      <w:pPr>
        <w:spacing w:after="0" w:line="360" w:lineRule="auto"/>
        <w:ind w:left="444"/>
        <w:jc w:val="both"/>
        <w:rPr>
          <w:rFonts w:ascii="David" w:hAnsi="David" w:cs="David"/>
          <w:sz w:val="24"/>
          <w:szCs w:val="24"/>
          <w:rtl/>
        </w:rPr>
      </w:pPr>
      <w:r>
        <w:rPr>
          <w:rFonts w:ascii="David" w:hAnsi="David" w:cs="David" w:hint="cs"/>
          <w:sz w:val="24"/>
          <w:szCs w:val="24"/>
          <w:rtl/>
        </w:rPr>
        <w:t>מנתונים אלה עולה כי התובע היה זכאי בעת פרישתו ל</w:t>
      </w:r>
      <w:r w:rsidR="00437C1F">
        <w:rPr>
          <w:rFonts w:ascii="David" w:hAnsi="David" w:cs="David" w:hint="cs"/>
          <w:sz w:val="24"/>
          <w:szCs w:val="24"/>
          <w:rtl/>
        </w:rPr>
        <w:t xml:space="preserve">קיצבה </w:t>
      </w:r>
      <w:r w:rsidR="00F30B9C">
        <w:rPr>
          <w:rFonts w:ascii="David" w:hAnsi="David" w:cs="David" w:hint="cs"/>
          <w:sz w:val="24"/>
          <w:szCs w:val="24"/>
          <w:rtl/>
        </w:rPr>
        <w:t xml:space="preserve">של </w:t>
      </w:r>
      <w:r>
        <w:rPr>
          <w:rFonts w:ascii="David" w:hAnsi="David" w:cs="David" w:hint="cs"/>
          <w:sz w:val="24"/>
          <w:szCs w:val="24"/>
          <w:rtl/>
        </w:rPr>
        <w:t xml:space="preserve">דרגה 45 וייתכן שאף </w:t>
      </w:r>
      <w:r w:rsidR="00F30B9C">
        <w:rPr>
          <w:rFonts w:ascii="David" w:hAnsi="David" w:cs="David" w:hint="cs"/>
          <w:sz w:val="24"/>
          <w:szCs w:val="24"/>
          <w:rtl/>
        </w:rPr>
        <w:t>ש</w:t>
      </w:r>
      <w:r>
        <w:rPr>
          <w:rFonts w:ascii="David" w:hAnsi="David" w:cs="David" w:hint="cs"/>
          <w:sz w:val="24"/>
          <w:szCs w:val="24"/>
          <w:rtl/>
        </w:rPr>
        <w:t>ל</w:t>
      </w:r>
      <w:r w:rsidR="00F30B9C">
        <w:rPr>
          <w:rFonts w:ascii="David" w:hAnsi="David" w:cs="David" w:hint="cs"/>
          <w:sz w:val="24"/>
          <w:szCs w:val="24"/>
          <w:rtl/>
        </w:rPr>
        <w:t xml:space="preserve"> </w:t>
      </w:r>
      <w:r>
        <w:rPr>
          <w:rFonts w:ascii="David" w:hAnsi="David" w:cs="David" w:hint="cs"/>
          <w:sz w:val="24"/>
          <w:szCs w:val="24"/>
          <w:rtl/>
        </w:rPr>
        <w:t>דרגה 46+</w:t>
      </w:r>
      <w:r w:rsidR="00EE6660">
        <w:rPr>
          <w:rFonts w:ascii="David" w:hAnsi="David" w:cs="David" w:hint="cs"/>
          <w:sz w:val="24"/>
          <w:szCs w:val="24"/>
          <w:rtl/>
        </w:rPr>
        <w:t>, והוא זכאי להפרש זה על שנות עבודתו לפי כתב המינוי.</w:t>
      </w:r>
    </w:p>
    <w:p w14:paraId="5DEC3D4F" w14:textId="58478F03" w:rsidR="00E035B9" w:rsidRDefault="00EE6660" w:rsidP="00E035B9">
      <w:pPr>
        <w:pStyle w:val="a3"/>
        <w:spacing w:after="0" w:line="360" w:lineRule="auto"/>
        <w:ind w:left="444"/>
        <w:jc w:val="both"/>
        <w:rPr>
          <w:rFonts w:ascii="David" w:hAnsi="David" w:cs="David"/>
          <w:sz w:val="24"/>
          <w:szCs w:val="24"/>
          <w:rtl/>
        </w:rPr>
      </w:pPr>
      <w:r>
        <w:rPr>
          <w:rFonts w:ascii="David" w:hAnsi="David" w:cs="David" w:hint="cs"/>
          <w:sz w:val="24"/>
          <w:szCs w:val="24"/>
          <w:rtl/>
        </w:rPr>
        <w:t>להשלמת טענה זו יוסיף התובע את העובדה שבכל תלושי המשכורת שלו בתקופת "הסכם הבכירים" בטור "נתוני עזר" "ברוטו לכתב מינוי" והסכום הרשום היה בהתאם לס' 46+. בנוסף ניכו משכרו 2% השתתפות במימון הוצאות פנסיה, וגם ניכוי זה נעשה לפי דרגה 46+ בשיא הותק (</w:t>
      </w:r>
      <w:r w:rsidRPr="00C80962">
        <w:rPr>
          <w:rFonts w:ascii="David" w:hAnsi="David" w:cs="David" w:hint="cs"/>
          <w:b/>
          <w:bCs/>
          <w:sz w:val="24"/>
          <w:szCs w:val="24"/>
          <w:rtl/>
        </w:rPr>
        <w:t xml:space="preserve">נספח </w:t>
      </w:r>
      <w:r>
        <w:rPr>
          <w:rFonts w:ascii="David" w:hAnsi="David" w:cs="David" w:hint="cs"/>
          <w:b/>
          <w:bCs/>
          <w:sz w:val="24"/>
          <w:szCs w:val="24"/>
          <w:rtl/>
        </w:rPr>
        <w:t>7</w:t>
      </w:r>
      <w:r w:rsidRPr="00C80962">
        <w:rPr>
          <w:rFonts w:ascii="David" w:hAnsi="David" w:cs="David" w:hint="cs"/>
          <w:b/>
          <w:bCs/>
          <w:sz w:val="24"/>
          <w:szCs w:val="24"/>
          <w:rtl/>
        </w:rPr>
        <w:t xml:space="preserve"> </w:t>
      </w:r>
      <w:r>
        <w:rPr>
          <w:rFonts w:ascii="David" w:hAnsi="David" w:cs="David" w:hint="cs"/>
          <w:b/>
          <w:bCs/>
          <w:sz w:val="24"/>
          <w:szCs w:val="24"/>
          <w:rtl/>
        </w:rPr>
        <w:t xml:space="preserve">- </w:t>
      </w:r>
      <w:r w:rsidRPr="00C80962">
        <w:rPr>
          <w:rFonts w:ascii="David" w:hAnsi="David" w:cs="David" w:hint="cs"/>
          <w:b/>
          <w:bCs/>
          <w:sz w:val="24"/>
          <w:szCs w:val="24"/>
          <w:rtl/>
        </w:rPr>
        <w:t>תלוש שכר מחודש ....</w:t>
      </w:r>
      <w:r>
        <w:rPr>
          <w:rFonts w:ascii="David" w:hAnsi="David" w:cs="David" w:hint="cs"/>
          <w:sz w:val="24"/>
          <w:szCs w:val="24"/>
          <w:rtl/>
        </w:rPr>
        <w:t>)</w:t>
      </w:r>
    </w:p>
    <w:p w14:paraId="45ED5907" w14:textId="77777777" w:rsidR="00EE6660" w:rsidRDefault="00EE6660" w:rsidP="00E035B9">
      <w:pPr>
        <w:pStyle w:val="a3"/>
        <w:spacing w:after="0" w:line="360" w:lineRule="auto"/>
        <w:ind w:left="444"/>
        <w:jc w:val="both"/>
        <w:rPr>
          <w:rFonts w:ascii="David" w:hAnsi="David" w:cs="David"/>
          <w:sz w:val="24"/>
          <w:szCs w:val="24"/>
          <w:rtl/>
        </w:rPr>
      </w:pPr>
    </w:p>
    <w:p w14:paraId="4939C3BC" w14:textId="5A561E2A" w:rsidR="00E035B9" w:rsidRDefault="00E035B9" w:rsidP="00E035B9">
      <w:pPr>
        <w:pStyle w:val="a3"/>
        <w:spacing w:after="0" w:line="360" w:lineRule="auto"/>
        <w:ind w:left="444"/>
        <w:jc w:val="both"/>
        <w:rPr>
          <w:rFonts w:ascii="David" w:hAnsi="David" w:cs="David"/>
          <w:sz w:val="24"/>
          <w:szCs w:val="24"/>
          <w:u w:val="single"/>
          <w:rtl/>
        </w:rPr>
      </w:pPr>
      <w:r>
        <w:rPr>
          <w:rFonts w:ascii="David" w:hAnsi="David" w:cs="David" w:hint="cs"/>
          <w:sz w:val="24"/>
          <w:szCs w:val="24"/>
          <w:u w:val="single"/>
          <w:rtl/>
        </w:rPr>
        <w:t xml:space="preserve">תקופה ב' </w:t>
      </w:r>
      <w:r>
        <w:rPr>
          <w:rFonts w:ascii="David" w:hAnsi="David" w:cs="David"/>
          <w:sz w:val="24"/>
          <w:szCs w:val="24"/>
          <w:u w:val="single"/>
          <w:rtl/>
        </w:rPr>
        <w:t>–</w:t>
      </w:r>
      <w:r>
        <w:rPr>
          <w:rFonts w:ascii="David" w:hAnsi="David" w:cs="David" w:hint="cs"/>
          <w:sz w:val="24"/>
          <w:szCs w:val="24"/>
          <w:u w:val="single"/>
          <w:rtl/>
        </w:rPr>
        <w:t xml:space="preserve"> לפי הסכם הבכירים</w:t>
      </w:r>
    </w:p>
    <w:p w14:paraId="7A5D1BED" w14:textId="624B01E2" w:rsidR="003879CA" w:rsidRDefault="00E035B9" w:rsidP="000E7391">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כאמור, תקופת הסכם הבכירים נמשכה 22.33 שנים. בסיום תקופה זו, שעל פי ההסכם, משכורתו החודשית עמדה על סכום של 34,371 ₪ </w:t>
      </w:r>
      <w:r w:rsidR="004F4AEB">
        <w:rPr>
          <w:rFonts w:ascii="David" w:hAnsi="David" w:cs="David" w:hint="cs"/>
          <w:sz w:val="24"/>
          <w:szCs w:val="24"/>
          <w:rtl/>
        </w:rPr>
        <w:t xml:space="preserve">(נספח למכתב מר אהרונוב </w:t>
      </w:r>
      <w:r w:rsidR="004F4AEB">
        <w:rPr>
          <w:rFonts w:ascii="David" w:hAnsi="David" w:cs="David"/>
          <w:sz w:val="24"/>
          <w:szCs w:val="24"/>
          <w:rtl/>
        </w:rPr>
        <w:t>–</w:t>
      </w:r>
      <w:r w:rsidR="004F4AEB">
        <w:rPr>
          <w:rFonts w:ascii="David" w:hAnsi="David" w:cs="David" w:hint="cs"/>
          <w:sz w:val="24"/>
          <w:szCs w:val="24"/>
          <w:rtl/>
        </w:rPr>
        <w:t xml:space="preserve"> </w:t>
      </w:r>
      <w:r w:rsidR="004F4AEB">
        <w:rPr>
          <w:rFonts w:ascii="David" w:hAnsi="David" w:cs="David" w:hint="cs"/>
          <w:b/>
          <w:bCs/>
          <w:sz w:val="24"/>
          <w:szCs w:val="24"/>
          <w:rtl/>
        </w:rPr>
        <w:t>נספח 6)</w:t>
      </w:r>
      <w:r w:rsidR="004F4AEB">
        <w:rPr>
          <w:rFonts w:ascii="David" w:hAnsi="David" w:cs="David" w:hint="cs"/>
          <w:sz w:val="24"/>
          <w:szCs w:val="24"/>
          <w:rtl/>
        </w:rPr>
        <w:t>. לעומת זאת בתלוש הגימלה הראשון שקיבל התובע, על פי חישוב מוטעה של שנות עבודתו, שולם לו סכום של........... ₪.</w:t>
      </w:r>
      <w:r w:rsidR="003879CA">
        <w:rPr>
          <w:rFonts w:ascii="David" w:hAnsi="David" w:cs="David" w:hint="cs"/>
          <w:sz w:val="24"/>
          <w:szCs w:val="24"/>
          <w:rtl/>
        </w:rPr>
        <w:t xml:space="preserve"> לפיכך מבקש התובע כי יחושבו הפרשי גימלתו לאורך תקופת עבודתו.</w:t>
      </w:r>
    </w:p>
    <w:p w14:paraId="69972712" w14:textId="77777777" w:rsidR="00B543C0" w:rsidRPr="00C80962" w:rsidRDefault="00B543C0" w:rsidP="00C80962">
      <w:pPr>
        <w:spacing w:after="0" w:line="360" w:lineRule="auto"/>
        <w:ind w:left="360"/>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7D2AFB65" w14:textId="6D184853" w:rsidR="00FB67D0" w:rsidRDefault="00EB2DFE"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מסע הייסורים של התובע החל מיד עם פרישתו ב-31.7.12, כאשר במשך 5 חודשים לא קיבל ... פנסיה. בניגוד לכל נהלי ההוצאה של עובד בתקשיר ובחוק הגמלאות המחייבים הודעה מראש על פרישה, קיבל התובע את "מסמך הפרישה" חצי שנה אחרי פרישתו בפועל.</w:t>
      </w:r>
    </w:p>
    <w:p w14:paraId="579B7DC1" w14:textId="17051216" w:rsidR="00EB2DFE" w:rsidRPr="00C80962" w:rsidRDefault="00EB2DFE"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מכתבו של מר אהרונוב בעניין פרישתו של התובע (</w:t>
      </w:r>
      <w:r w:rsidRPr="00C80962">
        <w:rPr>
          <w:rFonts w:ascii="David" w:hAnsi="David" w:cs="David" w:hint="cs"/>
          <w:b/>
          <w:bCs/>
          <w:sz w:val="24"/>
          <w:szCs w:val="24"/>
          <w:rtl/>
        </w:rPr>
        <w:t xml:space="preserve">נספח </w:t>
      </w:r>
      <w:r w:rsidR="00B543C0">
        <w:rPr>
          <w:rFonts w:ascii="David" w:hAnsi="David" w:cs="David" w:hint="cs"/>
          <w:b/>
          <w:bCs/>
          <w:sz w:val="24"/>
          <w:szCs w:val="24"/>
          <w:rtl/>
        </w:rPr>
        <w:t>2</w:t>
      </w:r>
      <w:r w:rsidRPr="00C80962">
        <w:rPr>
          <w:rFonts w:ascii="David" w:hAnsi="David" w:cs="David" w:hint="cs"/>
          <w:b/>
          <w:bCs/>
          <w:sz w:val="24"/>
          <w:szCs w:val="24"/>
          <w:rtl/>
        </w:rPr>
        <w:t xml:space="preserve">) </w:t>
      </w:r>
      <w:r w:rsidRPr="00C80962">
        <w:rPr>
          <w:rFonts w:ascii="David" w:hAnsi="David" w:cs="David" w:hint="cs"/>
          <w:sz w:val="24"/>
          <w:szCs w:val="24"/>
          <w:rtl/>
        </w:rPr>
        <w:t xml:space="preserve">נשלח למשרד </w:t>
      </w:r>
      <w:r w:rsidR="00A011F9">
        <w:rPr>
          <w:rFonts w:ascii="David" w:hAnsi="David" w:cs="David" w:hint="cs"/>
          <w:sz w:val="24"/>
          <w:szCs w:val="24"/>
          <w:rtl/>
        </w:rPr>
        <w:t>ה</w:t>
      </w:r>
      <w:r w:rsidRPr="00C80962">
        <w:rPr>
          <w:rFonts w:ascii="David" w:hAnsi="David" w:cs="David" w:hint="cs"/>
          <w:sz w:val="24"/>
          <w:szCs w:val="24"/>
          <w:rtl/>
        </w:rPr>
        <w:t xml:space="preserve">ממונה על הגמלאות בתאריך </w:t>
      </w:r>
      <w:r w:rsidR="00A45918">
        <w:rPr>
          <w:rFonts w:ascii="David" w:hAnsi="David" w:cs="David" w:hint="cs"/>
          <w:sz w:val="24"/>
          <w:szCs w:val="24"/>
          <w:rtl/>
        </w:rPr>
        <w:t xml:space="preserve"> 3.12.2012</w:t>
      </w:r>
    </w:p>
    <w:p w14:paraId="4869CCF5" w14:textId="42FCEF0E" w:rsidR="0068674C" w:rsidRPr="00C80962" w:rsidRDefault="0068674C"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המכתב הגיע אל התובע רק לאחר שפנה אל הממונה על הגימלאות בחודש ינואר 2013. את ההודעה הרשמית ממנהל הגמלאות קיבל רק בדצמבר 2012 ונאמר בה בס' 1 כי יקבל 70% מהמשכורת הקובעת על פי הסכם הבכירים (</w:t>
      </w:r>
      <w:r w:rsidRPr="00C80962">
        <w:rPr>
          <w:rFonts w:ascii="David" w:hAnsi="David" w:cs="David" w:hint="cs"/>
          <w:b/>
          <w:bCs/>
          <w:sz w:val="24"/>
          <w:szCs w:val="24"/>
          <w:rtl/>
        </w:rPr>
        <w:t xml:space="preserve">נספח </w:t>
      </w:r>
      <w:r w:rsidR="00B543C0">
        <w:rPr>
          <w:rFonts w:ascii="David" w:hAnsi="David" w:cs="David" w:hint="cs"/>
          <w:b/>
          <w:bCs/>
          <w:sz w:val="24"/>
          <w:szCs w:val="24"/>
          <w:rtl/>
        </w:rPr>
        <w:t>8</w:t>
      </w:r>
      <w:r w:rsidRPr="00C80962">
        <w:rPr>
          <w:rFonts w:ascii="David" w:hAnsi="David" w:cs="David" w:hint="cs"/>
          <w:sz w:val="24"/>
          <w:szCs w:val="24"/>
          <w:rtl/>
        </w:rPr>
        <w:t>).</w:t>
      </w:r>
    </w:p>
    <w:p w14:paraId="1C59DD48" w14:textId="56B99AD6" w:rsidR="0068674C" w:rsidRDefault="0068674C" w:rsidP="002369FF">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הטיפול בגימלתו של התובע החל בפועל בדצמבר 2012. ב-8 ינואר 2013 כתב התובע למר אהרונוב והעלה השגות על חישוב זכויותיו במכתבו. לאחר מספר שיחות טלפוניות כתב התובע שוב לאהרונוב ב-20.3.2013. ההתכתבות בין ה</w:t>
      </w:r>
      <w:r w:rsidR="009E62AD">
        <w:rPr>
          <w:rFonts w:ascii="David" w:hAnsi="David" w:cs="David" w:hint="cs"/>
          <w:sz w:val="24"/>
          <w:szCs w:val="24"/>
          <w:rtl/>
        </w:rPr>
        <w:t>ת</w:t>
      </w:r>
      <w:r>
        <w:rPr>
          <w:rFonts w:ascii="David" w:hAnsi="David" w:cs="David" w:hint="cs"/>
          <w:sz w:val="24"/>
          <w:szCs w:val="24"/>
          <w:rtl/>
        </w:rPr>
        <w:t>ובע לנש"מ נמשכה עד שנת 2017</w:t>
      </w:r>
      <w:r w:rsidR="00B543C0">
        <w:rPr>
          <w:rFonts w:ascii="David" w:hAnsi="David" w:cs="David" w:hint="cs"/>
          <w:sz w:val="24"/>
          <w:szCs w:val="24"/>
          <w:rtl/>
        </w:rPr>
        <w:t>.</w:t>
      </w:r>
      <w:r>
        <w:rPr>
          <w:rFonts w:ascii="David" w:hAnsi="David" w:cs="David" w:hint="cs"/>
          <w:sz w:val="24"/>
          <w:szCs w:val="24"/>
          <w:rtl/>
        </w:rPr>
        <w:t xml:space="preserve"> כל הפניות לפגישה או לבירור </w:t>
      </w:r>
      <w:r w:rsidR="009E62AD">
        <w:rPr>
          <w:rFonts w:ascii="David" w:hAnsi="David" w:cs="David" w:hint="cs"/>
          <w:sz w:val="24"/>
          <w:szCs w:val="24"/>
          <w:rtl/>
        </w:rPr>
        <w:t xml:space="preserve">פנים אל פנים </w:t>
      </w:r>
      <w:r>
        <w:rPr>
          <w:rFonts w:ascii="David" w:hAnsi="David" w:cs="David" w:hint="cs"/>
          <w:sz w:val="24"/>
          <w:szCs w:val="24"/>
          <w:rtl/>
        </w:rPr>
        <w:t>נענו בשלילה, עד אשר הגיש התובע את תביעתו לבית הדין האיזורי ב-3.10.2019.</w:t>
      </w:r>
    </w:p>
    <w:p w14:paraId="0C20F7F6" w14:textId="359F9B30" w:rsidR="00A619F7" w:rsidRDefault="00A619F7" w:rsidP="002369FF">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תשובת הרשויות השונות לפניות של התובע במשך למעלה מארבע שנים:</w:t>
      </w:r>
    </w:p>
    <w:p w14:paraId="47114718" w14:textId="5A9F16E0"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w:t>
      </w:r>
      <w:r w:rsidR="00230A36">
        <w:rPr>
          <w:rFonts w:ascii="David" w:hAnsi="David" w:cs="David" w:hint="cs"/>
          <w:sz w:val="24"/>
          <w:szCs w:val="24"/>
          <w:rtl/>
        </w:rPr>
        <w:t>ב</w:t>
      </w:r>
      <w:r>
        <w:rPr>
          <w:rFonts w:ascii="David" w:hAnsi="David" w:cs="David" w:hint="cs"/>
          <w:sz w:val="24"/>
          <w:szCs w:val="24"/>
          <w:rtl/>
        </w:rPr>
        <w:t xml:space="preserve"> מר ציון לוי, מנהל אגף בכיר לגימלאות בנש"מ: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"הנושא הפנסיוני שלך נמצא בבדיקה עקרונית... עד אשר תסתיים הבדיקה נידרש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מנש"מ: </w:t>
      </w:r>
      <w:r>
        <w:rPr>
          <w:rFonts w:ascii="David" w:hAnsi="David" w:cs="David" w:hint="cs"/>
          <w:b/>
          <w:bCs/>
          <w:sz w:val="24"/>
          <w:szCs w:val="24"/>
          <w:rtl/>
        </w:rPr>
        <w:t>"מבצעים חשיבה מחודשת... שבסיומה נשוב ונודיעך".</w:t>
      </w:r>
    </w:p>
    <w:p w14:paraId="198989C7" w14:textId="62AF7803"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 15.2.15 כותבת עו"ד עליזה אבן, מהלשכה המשפטית של נש"מ (בתיאום ע</w:t>
      </w:r>
      <w:r w:rsidR="00230A36">
        <w:rPr>
          <w:rFonts w:ascii="David" w:hAnsi="David" w:cs="David" w:hint="cs"/>
          <w:sz w:val="24"/>
          <w:szCs w:val="24"/>
          <w:rtl/>
        </w:rPr>
        <w:t>ם</w:t>
      </w:r>
      <w:r>
        <w:rPr>
          <w:rFonts w:ascii="David" w:hAnsi="David" w:cs="David" w:hint="cs"/>
          <w:sz w:val="24"/>
          <w:szCs w:val="24"/>
          <w:rtl/>
        </w:rPr>
        <w:t xml:space="preserve">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1A84068F"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w:t>
      </w:r>
      <w:r w:rsidR="00230A36">
        <w:rPr>
          <w:rFonts w:ascii="David" w:hAnsi="David" w:cs="David" w:hint="cs"/>
          <w:sz w:val="24"/>
          <w:szCs w:val="24"/>
          <w:rtl/>
        </w:rPr>
        <w:t xml:space="preserve">משיב </w:t>
      </w:r>
      <w:r>
        <w:rPr>
          <w:rFonts w:ascii="David" w:hAnsi="David" w:cs="David" w:hint="cs"/>
          <w:sz w:val="24"/>
          <w:szCs w:val="24"/>
          <w:rtl/>
        </w:rPr>
        <w:t xml:space="preserve">עו"ד ר. דול,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633FFE5D"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מתח</w:t>
      </w:r>
      <w:r w:rsidR="00230A36">
        <w:rPr>
          <w:rFonts w:ascii="David" w:hAnsi="David" w:cs="David" w:hint="cs"/>
          <w:sz w:val="24"/>
          <w:szCs w:val="24"/>
          <w:rtl/>
        </w:rPr>
        <w:t>מ</w:t>
      </w:r>
      <w:r>
        <w:rPr>
          <w:rFonts w:ascii="David" w:hAnsi="David" w:cs="David" w:hint="cs"/>
          <w:sz w:val="24"/>
          <w:szCs w:val="24"/>
          <w:rtl/>
        </w:rPr>
        <w:t>קות אלה ולדחייה של הטיפול בפניות התובע משמעות גם לנושא ההתיישנות. אף אם מניחים שההתיישנות אורכה בהתאם לחוק הגימלאות 60 יום, הרי העיכובים בתשלום הגימלה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2369F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על יסוד הטענות שפורטו בכתב תביעה זה מתבקש כב' בית הדין ליתן לתובע את הסעדים הבאים:</w:t>
      </w:r>
    </w:p>
    <w:p w14:paraId="37413581" w14:textId="77777777" w:rsidR="00C40423" w:rsidRPr="00C40423"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r w:rsidR="00C40423" w:rsidRPr="00C40423">
        <w:rPr>
          <w:rFonts w:ascii="David" w:hAnsi="David" w:cs="David" w:hint="cs"/>
          <w:sz w:val="24"/>
          <w:szCs w:val="24"/>
          <w:rtl/>
        </w:rPr>
        <w:t xml:space="preserve"> </w:t>
      </w:r>
    </w:p>
    <w:p w14:paraId="4BD9DB1C" w14:textId="71B9A5D8" w:rsidR="0068674C" w:rsidRPr="0068674C" w:rsidRDefault="00C40423" w:rsidP="00C40423">
      <w:pPr>
        <w:pStyle w:val="a3"/>
        <w:spacing w:after="0" w:line="360" w:lineRule="auto"/>
        <w:ind w:left="793"/>
        <w:jc w:val="both"/>
        <w:rPr>
          <w:rFonts w:ascii="David" w:hAnsi="David" w:cs="David"/>
          <w:sz w:val="24"/>
          <w:szCs w:val="24"/>
          <w:u w:val="single"/>
        </w:rPr>
      </w:pPr>
      <w:r>
        <w:rPr>
          <w:rFonts w:ascii="David" w:hAnsi="David" w:cs="David" w:hint="cs"/>
          <w:sz w:val="24"/>
          <w:szCs w:val="24"/>
          <w:rtl/>
        </w:rPr>
        <w:t>התובע זכאי היה</w:t>
      </w:r>
      <w:r w:rsidR="00410D9A">
        <w:rPr>
          <w:rFonts w:ascii="David" w:hAnsi="David" w:cs="David" w:hint="cs"/>
          <w:sz w:val="24"/>
          <w:szCs w:val="24"/>
          <w:rtl/>
        </w:rPr>
        <w:t>,</w:t>
      </w:r>
      <w:r>
        <w:rPr>
          <w:rFonts w:ascii="David" w:hAnsi="David" w:cs="David" w:hint="cs"/>
          <w:sz w:val="24"/>
          <w:szCs w:val="24"/>
          <w:rtl/>
        </w:rPr>
        <w:t xml:space="preserve"> החל ממועד </w:t>
      </w:r>
      <w:r w:rsidR="00410D9A">
        <w:rPr>
          <w:rFonts w:ascii="David" w:hAnsi="David" w:cs="David" w:hint="cs"/>
          <w:sz w:val="24"/>
          <w:szCs w:val="24"/>
          <w:rtl/>
        </w:rPr>
        <w:t>הוצאתו לגימלאות ב.31.7.2012</w:t>
      </w:r>
      <w:r>
        <w:rPr>
          <w:rFonts w:ascii="David" w:hAnsi="David" w:cs="David" w:hint="cs"/>
          <w:sz w:val="24"/>
          <w:szCs w:val="24"/>
          <w:rtl/>
        </w:rPr>
        <w:t xml:space="preserve"> לקבל</w:t>
      </w:r>
      <w:r w:rsidR="00410D9A">
        <w:rPr>
          <w:rFonts w:ascii="David" w:hAnsi="David" w:cs="David" w:hint="cs"/>
          <w:sz w:val="24"/>
          <w:szCs w:val="24"/>
          <w:u w:val="single"/>
          <w:rtl/>
        </w:rPr>
        <w:t xml:space="preserve"> </w:t>
      </w:r>
      <w:r w:rsidR="00410D9A" w:rsidRPr="00410D9A">
        <w:rPr>
          <w:rFonts w:ascii="David" w:hAnsi="David" w:cs="David" w:hint="cs"/>
          <w:sz w:val="24"/>
          <w:szCs w:val="24"/>
          <w:rtl/>
        </w:rPr>
        <w:t>גימלה חודשית כדלקמן:</w:t>
      </w:r>
    </w:p>
    <w:p w14:paraId="5E427BBE" w14:textId="31D03B34" w:rsidR="00C40423" w:rsidRDefault="00C40423" w:rsidP="00C40423">
      <w:pPr>
        <w:pStyle w:val="a3"/>
        <w:spacing w:after="0" w:line="360" w:lineRule="auto"/>
        <w:ind w:left="793" w:hanging="142"/>
        <w:jc w:val="both"/>
        <w:rPr>
          <w:rFonts w:ascii="David" w:hAnsi="David" w:cs="David"/>
          <w:sz w:val="24"/>
          <w:szCs w:val="24"/>
          <w:rtl/>
        </w:rPr>
      </w:pPr>
      <w:r>
        <w:rPr>
          <w:rFonts w:ascii="David" w:hAnsi="David" w:cs="David" w:hint="cs"/>
          <w:sz w:val="24"/>
          <w:szCs w:val="24"/>
          <w:rtl/>
        </w:rPr>
        <w:lastRenderedPageBreak/>
        <w:t>א:</w:t>
      </w:r>
      <w:r w:rsidR="0068674C">
        <w:rPr>
          <w:rFonts w:ascii="David" w:hAnsi="David" w:cs="David" w:hint="cs"/>
          <w:sz w:val="24"/>
          <w:szCs w:val="24"/>
          <w:rtl/>
        </w:rPr>
        <w:t xml:space="preserve"> גימלה </w:t>
      </w:r>
      <w:r w:rsidR="00AC7095">
        <w:rPr>
          <w:rFonts w:ascii="David" w:hAnsi="David" w:cs="David" w:hint="cs"/>
          <w:sz w:val="24"/>
          <w:szCs w:val="24"/>
          <w:rtl/>
        </w:rPr>
        <w:t>של 2% לשנה מהמשכו</w:t>
      </w:r>
      <w:r>
        <w:rPr>
          <w:rFonts w:ascii="David" w:hAnsi="David" w:cs="David" w:hint="cs"/>
          <w:sz w:val="24"/>
          <w:szCs w:val="24"/>
          <w:rtl/>
        </w:rPr>
        <w:t>ר</w:t>
      </w:r>
      <w:r w:rsidR="00AC7095">
        <w:rPr>
          <w:rFonts w:ascii="David" w:hAnsi="David" w:cs="David" w:hint="cs"/>
          <w:sz w:val="24"/>
          <w:szCs w:val="24"/>
          <w:rtl/>
        </w:rPr>
        <w:t xml:space="preserve">ת </w:t>
      </w:r>
      <w:r w:rsidR="00410D9A">
        <w:rPr>
          <w:rFonts w:ascii="David" w:hAnsi="David" w:cs="David" w:hint="cs"/>
          <w:sz w:val="24"/>
          <w:szCs w:val="24"/>
          <w:rtl/>
        </w:rPr>
        <w:t xml:space="preserve">הכוללת </w:t>
      </w:r>
      <w:r>
        <w:rPr>
          <w:rFonts w:ascii="David" w:hAnsi="David" w:cs="David" w:hint="cs"/>
          <w:sz w:val="24"/>
          <w:szCs w:val="24"/>
          <w:rtl/>
        </w:rPr>
        <w:t xml:space="preserve">לפי סעיפים 6 ו-8 לחוזה, </w:t>
      </w:r>
      <w:r w:rsidR="0068674C">
        <w:rPr>
          <w:rFonts w:ascii="David" w:hAnsi="David" w:cs="David" w:hint="cs"/>
          <w:sz w:val="24"/>
          <w:szCs w:val="24"/>
          <w:rtl/>
        </w:rPr>
        <w:t xml:space="preserve">על כל </w:t>
      </w:r>
      <w:r w:rsidR="00AC7095">
        <w:rPr>
          <w:rFonts w:ascii="David" w:hAnsi="David" w:cs="David" w:hint="cs"/>
          <w:sz w:val="24"/>
          <w:szCs w:val="24"/>
          <w:rtl/>
        </w:rPr>
        <w:t xml:space="preserve">22.33 שנות </w:t>
      </w:r>
      <w:r w:rsidR="0068674C">
        <w:rPr>
          <w:rFonts w:ascii="David" w:hAnsi="David" w:cs="David" w:hint="cs"/>
          <w:sz w:val="24"/>
          <w:szCs w:val="24"/>
          <w:rtl/>
        </w:rPr>
        <w:t xml:space="preserve"> </w:t>
      </w:r>
      <w:r w:rsidR="00AC7095">
        <w:rPr>
          <w:rFonts w:ascii="David" w:hAnsi="David" w:cs="David" w:hint="cs"/>
          <w:sz w:val="24"/>
          <w:szCs w:val="24"/>
          <w:rtl/>
        </w:rPr>
        <w:t xml:space="preserve">העסקתו </w:t>
      </w:r>
      <w:r>
        <w:rPr>
          <w:rFonts w:ascii="David" w:hAnsi="David" w:cs="David" w:hint="cs"/>
          <w:sz w:val="24"/>
          <w:szCs w:val="24"/>
          <w:rtl/>
        </w:rPr>
        <w:t>בחוזה, ללא שקלול כלשהו</w:t>
      </w:r>
      <w:r w:rsidR="00410D9A">
        <w:rPr>
          <w:rFonts w:ascii="David" w:hAnsi="David" w:cs="David" w:hint="cs"/>
          <w:sz w:val="24"/>
          <w:szCs w:val="24"/>
          <w:rtl/>
        </w:rPr>
        <w:t xml:space="preserve">, </w:t>
      </w:r>
      <w:r>
        <w:rPr>
          <w:rFonts w:ascii="David" w:hAnsi="David" w:cs="David" w:hint="cs"/>
          <w:sz w:val="24"/>
          <w:szCs w:val="24"/>
          <w:rtl/>
        </w:rPr>
        <w:t xml:space="preserve"> דהיינו</w:t>
      </w:r>
      <w:r w:rsidR="00410D9A">
        <w:rPr>
          <w:rFonts w:ascii="David" w:hAnsi="David" w:cs="David" w:hint="cs"/>
          <w:sz w:val="24"/>
          <w:szCs w:val="24"/>
          <w:rtl/>
        </w:rPr>
        <w:t>:</w:t>
      </w:r>
      <w:r>
        <w:rPr>
          <w:rFonts w:ascii="David" w:hAnsi="David" w:cs="David" w:hint="cs"/>
          <w:sz w:val="24"/>
          <w:szCs w:val="24"/>
          <w:rtl/>
        </w:rPr>
        <w:t xml:space="preserve"> 44.66% ממשכורת החוזה המעודכנת, ביום תשלום</w:t>
      </w:r>
      <w:r w:rsidR="00410D9A">
        <w:rPr>
          <w:rFonts w:ascii="David" w:hAnsi="David" w:cs="David" w:hint="cs"/>
          <w:sz w:val="24"/>
          <w:szCs w:val="24"/>
          <w:rtl/>
        </w:rPr>
        <w:t xml:space="preserve"> הגימלה.</w:t>
      </w:r>
    </w:p>
    <w:p w14:paraId="7097D868" w14:textId="6124A6DC" w:rsidR="00E3143E" w:rsidRDefault="00C40423" w:rsidP="00C40423">
      <w:pPr>
        <w:pStyle w:val="a3"/>
        <w:spacing w:after="0" w:line="360" w:lineRule="auto"/>
        <w:ind w:left="793" w:hanging="142"/>
        <w:jc w:val="both"/>
        <w:rPr>
          <w:rFonts w:ascii="David" w:hAnsi="David" w:cs="David"/>
          <w:sz w:val="24"/>
          <w:szCs w:val="24"/>
          <w:rtl/>
        </w:rPr>
      </w:pPr>
      <w:r>
        <w:rPr>
          <w:rFonts w:ascii="David" w:hAnsi="David" w:cs="David" w:hint="cs"/>
          <w:sz w:val="24"/>
          <w:szCs w:val="24"/>
          <w:rtl/>
        </w:rPr>
        <w:t xml:space="preserve">ב: </w:t>
      </w:r>
      <w:r w:rsidR="0068674C">
        <w:rPr>
          <w:rFonts w:ascii="David" w:hAnsi="David" w:cs="David" w:hint="cs"/>
          <w:sz w:val="24"/>
          <w:szCs w:val="24"/>
          <w:rtl/>
        </w:rPr>
        <w:t xml:space="preserve">גימלה </w:t>
      </w:r>
      <w:r w:rsidR="00410D9A">
        <w:rPr>
          <w:rFonts w:ascii="David" w:hAnsi="David" w:cs="David" w:hint="cs"/>
          <w:sz w:val="24"/>
          <w:szCs w:val="24"/>
          <w:rtl/>
        </w:rPr>
        <w:t xml:space="preserve">של 2% לשנה מהמשכורת בדרגה 46+ בדרוג המח"ר, בשיא הותק, </w:t>
      </w:r>
      <w:r w:rsidR="0068674C">
        <w:rPr>
          <w:rFonts w:ascii="David" w:hAnsi="David" w:cs="David" w:hint="cs"/>
          <w:sz w:val="24"/>
          <w:szCs w:val="24"/>
          <w:rtl/>
        </w:rPr>
        <w:t xml:space="preserve">על </w:t>
      </w:r>
      <w:r w:rsidR="00410D9A">
        <w:rPr>
          <w:rFonts w:ascii="David" w:hAnsi="David" w:cs="David" w:hint="cs"/>
          <w:sz w:val="24"/>
          <w:szCs w:val="24"/>
          <w:rtl/>
        </w:rPr>
        <w:t>12.67 שנים</w:t>
      </w:r>
      <w:r w:rsidR="00E3143E">
        <w:rPr>
          <w:rFonts w:ascii="David" w:hAnsi="David" w:cs="David" w:hint="cs"/>
          <w:sz w:val="24"/>
          <w:szCs w:val="24"/>
          <w:rtl/>
        </w:rPr>
        <w:t>,  (השלמה ל-35 שנות גימלה), דהיינו: 25.34% (השלמה ל-70%).</w:t>
      </w:r>
    </w:p>
    <w:p w14:paraId="4B60AFE7" w14:textId="6F41C577" w:rsidR="0068674C" w:rsidRDefault="00E3143E" w:rsidP="009E62AD">
      <w:pPr>
        <w:pStyle w:val="a3"/>
        <w:spacing w:after="0" w:line="360" w:lineRule="auto"/>
        <w:ind w:left="793" w:hanging="142"/>
        <w:jc w:val="both"/>
        <w:rPr>
          <w:rFonts w:ascii="David" w:hAnsi="David" w:cs="David"/>
          <w:sz w:val="24"/>
          <w:szCs w:val="24"/>
          <w:rtl/>
        </w:rPr>
      </w:pPr>
      <w:r>
        <w:rPr>
          <w:rFonts w:ascii="David" w:hAnsi="David" w:cs="David" w:hint="cs"/>
          <w:sz w:val="24"/>
          <w:szCs w:val="24"/>
          <w:rtl/>
        </w:rPr>
        <w:t>ג:</w:t>
      </w:r>
      <w:r w:rsidR="0068674C">
        <w:rPr>
          <w:rFonts w:ascii="David" w:hAnsi="David" w:cs="David" w:hint="cs"/>
          <w:sz w:val="24"/>
          <w:szCs w:val="24"/>
          <w:rtl/>
        </w:rPr>
        <w:t>הפרשי ה</w:t>
      </w:r>
      <w:r w:rsidR="009E62AD">
        <w:rPr>
          <w:rFonts w:ascii="David" w:hAnsi="David" w:cs="David" w:hint="cs"/>
          <w:sz w:val="24"/>
          <w:szCs w:val="24"/>
          <w:rtl/>
        </w:rPr>
        <w:t>גימלה</w:t>
      </w:r>
      <w:r w:rsidR="0068674C">
        <w:rPr>
          <w:rFonts w:ascii="David" w:hAnsi="David" w:cs="David" w:hint="cs"/>
          <w:sz w:val="24"/>
          <w:szCs w:val="24"/>
          <w:rtl/>
        </w:rPr>
        <w:t xml:space="preserve"> על </w:t>
      </w:r>
      <w:r w:rsidR="009E62AD">
        <w:rPr>
          <w:rFonts w:ascii="David" w:hAnsi="David" w:cs="David" w:hint="cs"/>
          <w:sz w:val="24"/>
          <w:szCs w:val="24"/>
          <w:rtl/>
        </w:rPr>
        <w:t xml:space="preserve">כל </w:t>
      </w:r>
      <w:r w:rsidR="0068674C">
        <w:rPr>
          <w:rFonts w:ascii="David" w:hAnsi="David" w:cs="David" w:hint="cs"/>
          <w:sz w:val="24"/>
          <w:szCs w:val="24"/>
          <w:rtl/>
        </w:rPr>
        <w:t>השנים מאז פרישתו</w:t>
      </w:r>
      <w:r w:rsidR="009E62AD">
        <w:rPr>
          <w:rFonts w:ascii="David" w:hAnsi="David" w:cs="David" w:hint="cs"/>
          <w:sz w:val="24"/>
          <w:szCs w:val="24"/>
          <w:rtl/>
        </w:rPr>
        <w:t xml:space="preserve">, </w:t>
      </w:r>
      <w:r w:rsidR="0068674C">
        <w:rPr>
          <w:rFonts w:ascii="David" w:hAnsi="David" w:cs="David" w:hint="cs"/>
          <w:sz w:val="24"/>
          <w:szCs w:val="24"/>
          <w:rtl/>
        </w:rPr>
        <w:t xml:space="preserve">ישוערכו </w:t>
      </w:r>
      <w:r w:rsidR="0050464F">
        <w:rPr>
          <w:rFonts w:ascii="David" w:hAnsi="David" w:cs="David" w:hint="cs"/>
          <w:sz w:val="24"/>
          <w:szCs w:val="24"/>
          <w:rtl/>
        </w:rPr>
        <w:t xml:space="preserve">וישולמו לו </w:t>
      </w:r>
      <w:r w:rsidR="0068674C">
        <w:rPr>
          <w:rFonts w:ascii="David" w:hAnsi="David" w:cs="David" w:hint="cs"/>
          <w:sz w:val="24"/>
          <w:szCs w:val="24"/>
          <w:rtl/>
        </w:rPr>
        <w:t xml:space="preserve">לפי </w:t>
      </w:r>
      <w:r w:rsidR="009E62AD">
        <w:rPr>
          <w:rFonts w:ascii="David" w:hAnsi="David" w:cs="David" w:hint="cs"/>
          <w:sz w:val="24"/>
          <w:szCs w:val="24"/>
          <w:rtl/>
        </w:rPr>
        <w:t>המשכורות הקובעות במועד תשלום ההפרשים</w:t>
      </w:r>
      <w:r w:rsidR="0068674C">
        <w:rPr>
          <w:rFonts w:ascii="David" w:hAnsi="David" w:cs="David" w:hint="cs"/>
          <w:sz w:val="24"/>
          <w:szCs w:val="24"/>
          <w:rtl/>
        </w:rPr>
        <w:t>.</w:t>
      </w:r>
    </w:p>
    <w:p w14:paraId="351C10AC" w14:textId="75457964" w:rsidR="00AC7095" w:rsidRDefault="00AC7095" w:rsidP="00B02EB3">
      <w:pPr>
        <w:pStyle w:val="a3"/>
        <w:spacing w:after="0" w:line="360" w:lineRule="auto"/>
        <w:ind w:left="793"/>
        <w:jc w:val="both"/>
        <w:rPr>
          <w:rFonts w:ascii="David" w:hAnsi="David" w:cs="David"/>
          <w:sz w:val="24"/>
          <w:szCs w:val="24"/>
          <w:rtl/>
        </w:rPr>
      </w:pP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בית הדין הנכבד מתבקש לקבוע כי על הטיפול הרשלני והממושך בזכויותיו של התובע לגימלה ישולם לו פיצוי בשיעור של 150,000 ₪.</w:t>
      </w:r>
    </w:p>
    <w:p w14:paraId="0CB36876" w14:textId="72F353F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r w:rsidR="008E0000">
        <w:rPr>
          <w:rFonts w:ascii="David" w:hAnsi="David" w:cs="David" w:hint="cs"/>
          <w:sz w:val="24"/>
          <w:szCs w:val="24"/>
          <w:rtl/>
        </w:rPr>
        <w:t xml:space="preserve"> של הליך זה ושל הליך הערעור בבית הדין הארצי</w:t>
      </w:r>
      <w:r>
        <w:rPr>
          <w:rFonts w:ascii="David" w:hAnsi="David" w:cs="David" w:hint="cs"/>
          <w:sz w:val="24"/>
          <w:szCs w:val="24"/>
          <w:rtl/>
        </w:rPr>
        <w:t>.</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עו"ד יעקב חסדאי</w:t>
      </w:r>
    </w:p>
    <w:p w14:paraId="273432C8" w14:textId="6870FC4D" w:rsidR="009B5E2F" w:rsidRDefault="009B5E2F" w:rsidP="00D641D5">
      <w:pPr>
        <w:pStyle w:val="a3"/>
        <w:ind w:left="6120"/>
        <w:rPr>
          <w:rFonts w:ascii="David" w:hAnsi="David" w:cs="David"/>
          <w:b/>
          <w:bCs/>
          <w:rtl/>
        </w:rPr>
      </w:pPr>
      <w:r w:rsidRPr="00D641D5">
        <w:rPr>
          <w:rFonts w:ascii="David" w:hAnsi="David" w:cs="David"/>
          <w:b/>
          <w:bCs/>
          <w:rtl/>
        </w:rPr>
        <w:t>ב"כ התובע</w:t>
      </w:r>
    </w:p>
    <w:p w14:paraId="4FBF19BF" w14:textId="738070F2" w:rsidR="005B31E4" w:rsidRDefault="005B31E4" w:rsidP="005B31E4">
      <w:pPr>
        <w:pStyle w:val="a3"/>
        <w:ind w:left="84"/>
        <w:rPr>
          <w:rFonts w:ascii="David" w:hAnsi="David" w:cs="David"/>
          <w:b/>
          <w:bCs/>
          <w:rtl/>
        </w:rPr>
      </w:pPr>
      <w:r>
        <w:rPr>
          <w:rFonts w:ascii="David" w:hAnsi="David" w:cs="David" w:hint="cs"/>
          <w:b/>
          <w:bCs/>
          <w:rtl/>
        </w:rPr>
        <w:t>חסר התיחסות ל:</w:t>
      </w:r>
    </w:p>
    <w:p w14:paraId="52794BDF" w14:textId="176E1684" w:rsidR="005B31E4" w:rsidRPr="005B31E4" w:rsidRDefault="005B31E4" w:rsidP="005B31E4">
      <w:pPr>
        <w:pStyle w:val="a3"/>
        <w:ind w:left="84"/>
        <w:rPr>
          <w:rFonts w:ascii="David" w:hAnsi="David" w:cs="David"/>
          <w:b/>
          <w:bCs/>
        </w:rPr>
      </w:pPr>
      <w:r>
        <w:rPr>
          <w:rFonts w:ascii="David" w:hAnsi="David" w:cs="David" w:hint="cs"/>
          <w:b/>
          <w:bCs/>
          <w:rtl/>
        </w:rPr>
        <w:t>"..</w:t>
      </w:r>
      <w:r w:rsidRPr="005B31E4">
        <w:rPr>
          <w:rFonts w:ascii="David" w:hAnsi="David" w:cs="David"/>
          <w:b/>
          <w:bCs/>
          <w:rtl/>
        </w:rPr>
        <w:t>טרם הדיון במהות ההחלטה, ובמשמעות התנהלות המדינה</w:t>
      </w:r>
    </w:p>
    <w:p w14:paraId="51E1DA0D" w14:textId="77777777" w:rsidR="005B31E4" w:rsidRDefault="005B31E4" w:rsidP="005B31E4">
      <w:pPr>
        <w:pStyle w:val="a3"/>
        <w:ind w:left="84"/>
        <w:rPr>
          <w:rFonts w:ascii="David" w:hAnsi="David" w:cs="David"/>
          <w:b/>
          <w:bCs/>
          <w:rtl/>
        </w:rPr>
      </w:pPr>
      <w:r w:rsidRPr="005B31E4">
        <w:rPr>
          <w:rFonts w:ascii="David" w:hAnsi="David" w:cs="David"/>
          <w:b/>
          <w:bCs/>
          <w:rtl/>
        </w:rPr>
        <w:t xml:space="preserve">והשלכותיה, </w:t>
      </w:r>
      <w:r w:rsidRPr="005B31E4">
        <w:rPr>
          <w:rFonts w:ascii="David" w:hAnsi="David" w:cs="David"/>
          <w:b/>
          <w:bCs/>
          <w:highlight w:val="yellow"/>
          <w:rtl/>
        </w:rPr>
        <w:t>יש לקבוע את התשתית העובדתית</w:t>
      </w:r>
      <w:r w:rsidRPr="005B31E4">
        <w:rPr>
          <w:rFonts w:ascii="David" w:hAnsi="David" w:cs="David"/>
          <w:b/>
          <w:bCs/>
          <w:rtl/>
        </w:rPr>
        <w:t>, על יסוד עדויות וראיות הצדדים</w:t>
      </w:r>
      <w:r>
        <w:rPr>
          <w:rFonts w:ascii="David" w:hAnsi="David" w:cs="David"/>
          <w:b/>
          <w:bCs/>
        </w:rPr>
        <w:t>"</w:t>
      </w:r>
      <w:r w:rsidRPr="005B31E4">
        <w:rPr>
          <w:rFonts w:ascii="David" w:hAnsi="David" w:cs="David"/>
          <w:b/>
          <w:bCs/>
        </w:rPr>
        <w:t>.</w:t>
      </w:r>
      <w:r>
        <w:rPr>
          <w:rFonts w:ascii="David" w:hAnsi="David" w:cs="David" w:hint="cs"/>
          <w:b/>
          <w:bCs/>
          <w:rtl/>
        </w:rPr>
        <w:t xml:space="preserve"> </w:t>
      </w:r>
    </w:p>
    <w:p w14:paraId="7CB8806D" w14:textId="332D5F5E" w:rsidR="005B31E4" w:rsidRPr="005B31E4" w:rsidRDefault="005B31E4" w:rsidP="005B31E4">
      <w:pPr>
        <w:pStyle w:val="a3"/>
        <w:ind w:left="84"/>
        <w:rPr>
          <w:rFonts w:ascii="David" w:hAnsi="David" w:cs="David"/>
          <w:b/>
          <w:bCs/>
          <w:rtl/>
        </w:rPr>
      </w:pPr>
      <w:r>
        <w:rPr>
          <w:rFonts w:ascii="David" w:hAnsi="David" w:cs="David" w:hint="cs"/>
          <w:b/>
          <w:bCs/>
          <w:rtl/>
        </w:rPr>
        <w:t xml:space="preserve">                                                                                                             </w:t>
      </w:r>
      <w:bookmarkStart w:id="1" w:name="_Hlk104371370"/>
      <w:r>
        <w:rPr>
          <w:rFonts w:ascii="David" w:hAnsi="David" w:cs="David" w:hint="cs"/>
          <w:b/>
          <w:bCs/>
          <w:rtl/>
        </w:rPr>
        <w:t>(סוף סעיף 44 לפס"ד הארצי)</w:t>
      </w:r>
    </w:p>
    <w:bookmarkEnd w:id="1"/>
    <w:p w14:paraId="71A2F8AB" w14:textId="77777777" w:rsidR="005B31E4" w:rsidRDefault="005B31E4" w:rsidP="005B31E4">
      <w:pPr>
        <w:pStyle w:val="a3"/>
        <w:ind w:left="84"/>
        <w:rPr>
          <w:rFonts w:ascii="David" w:hAnsi="David" w:cs="David" w:hint="cs"/>
          <w:b/>
          <w:bCs/>
          <w:rtl/>
        </w:rPr>
      </w:pPr>
    </w:p>
    <w:p w14:paraId="670C433A" w14:textId="6EB05DA1" w:rsidR="005B31E4" w:rsidRPr="005B31E4" w:rsidRDefault="005B31E4" w:rsidP="005B31E4">
      <w:pPr>
        <w:pStyle w:val="a3"/>
        <w:ind w:left="84"/>
        <w:rPr>
          <w:rFonts w:ascii="David" w:hAnsi="David" w:cs="David"/>
          <w:b/>
          <w:bCs/>
        </w:rPr>
      </w:pPr>
      <w:r>
        <w:rPr>
          <w:rFonts w:ascii="David" w:hAnsi="David" w:cs="David" w:hint="cs"/>
          <w:b/>
          <w:bCs/>
          <w:rtl/>
        </w:rPr>
        <w:t>"</w:t>
      </w:r>
      <w:r w:rsidRPr="005B31E4">
        <w:rPr>
          <w:rFonts w:ascii="David" w:hAnsi="David" w:cs="David"/>
          <w:b/>
          <w:bCs/>
          <w:rtl/>
        </w:rPr>
        <w:t>בשאלה אם המדינה מנועה ומושתקת מלטעון כי יש לדחות על הסף את</w:t>
      </w:r>
    </w:p>
    <w:p w14:paraId="72F90311" w14:textId="2179EDE6" w:rsidR="005B31E4" w:rsidRDefault="005B31E4" w:rsidP="005B31E4">
      <w:pPr>
        <w:pStyle w:val="a3"/>
        <w:ind w:left="84"/>
        <w:rPr>
          <w:rFonts w:ascii="David" w:hAnsi="David" w:cs="David"/>
          <w:b/>
          <w:bCs/>
          <w:rtl/>
        </w:rPr>
      </w:pPr>
      <w:r w:rsidRPr="005B31E4">
        <w:rPr>
          <w:rFonts w:ascii="David" w:hAnsi="David" w:cs="David"/>
          <w:b/>
          <w:bCs/>
          <w:rtl/>
        </w:rPr>
        <w:t>תביעתו של המערער נוכח העובדה שלא הגיש ערעור גמלאות</w:t>
      </w:r>
      <w:r>
        <w:rPr>
          <w:rFonts w:ascii="David" w:hAnsi="David" w:cs="David" w:hint="cs"/>
          <w:b/>
          <w:bCs/>
          <w:rtl/>
        </w:rPr>
        <w:t xml:space="preserve">"       </w:t>
      </w:r>
      <w:r w:rsidRPr="005B31E4">
        <w:rPr>
          <w:rFonts w:ascii="David" w:hAnsi="David" w:cs="David" w:hint="cs"/>
          <w:b/>
          <w:bCs/>
          <w:rtl/>
        </w:rPr>
        <w:t>(סוף סעיף 4</w:t>
      </w:r>
      <w:r>
        <w:rPr>
          <w:rFonts w:ascii="David" w:hAnsi="David" w:cs="David" w:hint="cs"/>
          <w:b/>
          <w:bCs/>
          <w:rtl/>
        </w:rPr>
        <w:t>5</w:t>
      </w:r>
      <w:r w:rsidRPr="005B31E4">
        <w:rPr>
          <w:rFonts w:ascii="David" w:hAnsi="David" w:cs="David" w:hint="cs"/>
          <w:b/>
          <w:bCs/>
          <w:rtl/>
        </w:rPr>
        <w:t xml:space="preserve"> לפס"ד הארצי)</w:t>
      </w:r>
    </w:p>
    <w:p w14:paraId="5DA85F4E" w14:textId="1F5D0981" w:rsidR="005B31E4" w:rsidRDefault="005B31E4" w:rsidP="005B31E4">
      <w:pPr>
        <w:pStyle w:val="a3"/>
        <w:ind w:left="84"/>
        <w:rPr>
          <w:rFonts w:ascii="David" w:hAnsi="David" w:cs="David"/>
          <w:b/>
          <w:bCs/>
          <w:rtl/>
        </w:rPr>
      </w:pPr>
    </w:p>
    <w:p w14:paraId="4F426F5B" w14:textId="5A264E51" w:rsidR="005B31E4" w:rsidRPr="005B31E4" w:rsidRDefault="005B31E4" w:rsidP="005B31E4">
      <w:pPr>
        <w:pStyle w:val="a3"/>
        <w:ind w:left="84"/>
        <w:rPr>
          <w:rFonts w:ascii="David" w:hAnsi="David" w:cs="David"/>
          <w:b/>
          <w:bCs/>
          <w:rtl/>
        </w:rPr>
      </w:pPr>
      <w:r>
        <w:rPr>
          <w:rFonts w:ascii="David" w:hAnsi="David" w:cs="David" w:hint="cs"/>
          <w:b/>
          <w:bCs/>
          <w:rtl/>
        </w:rPr>
        <w:t>סעיף 46</w:t>
      </w:r>
      <w:r w:rsidR="001B718B">
        <w:rPr>
          <w:rFonts w:ascii="David" w:hAnsi="David" w:cs="David" w:hint="cs"/>
          <w:b/>
          <w:bCs/>
          <w:rtl/>
        </w:rPr>
        <w:t xml:space="preserve"> לפסה"ד -דרישה להארכת מועד העירעור על הגימלה לפי 433 לחוק</w:t>
      </w:r>
    </w:p>
    <w:p w14:paraId="518BF402" w14:textId="55F7A912" w:rsidR="005B31E4" w:rsidRPr="00D641D5" w:rsidRDefault="005B31E4" w:rsidP="005B31E4">
      <w:pPr>
        <w:pStyle w:val="a3"/>
        <w:ind w:left="84"/>
        <w:rPr>
          <w:rFonts w:ascii="David" w:hAnsi="David" w:cs="David"/>
          <w:b/>
          <w:bCs/>
          <w:rtl/>
        </w:rPr>
      </w:pPr>
    </w:p>
    <w:sectPr w:rsidR="005B31E4" w:rsidRPr="00D641D5" w:rsidSect="004B773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E363" w14:textId="77777777" w:rsidR="00BC4324" w:rsidRDefault="00BC4324" w:rsidP="00F25091">
      <w:pPr>
        <w:spacing w:after="0" w:line="240" w:lineRule="auto"/>
      </w:pPr>
      <w:r>
        <w:separator/>
      </w:r>
    </w:p>
  </w:endnote>
  <w:endnote w:type="continuationSeparator" w:id="0">
    <w:p w14:paraId="5311D180" w14:textId="77777777" w:rsidR="00BC4324" w:rsidRDefault="00BC4324"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19B6" w14:textId="77777777" w:rsidR="00BC4324" w:rsidRDefault="00BC4324" w:rsidP="00F25091">
      <w:pPr>
        <w:spacing w:after="0" w:line="240" w:lineRule="auto"/>
      </w:pPr>
      <w:r>
        <w:separator/>
      </w:r>
    </w:p>
  </w:footnote>
  <w:footnote w:type="continuationSeparator" w:id="0">
    <w:p w14:paraId="4E8A9B3C" w14:textId="77777777" w:rsidR="00BC4324" w:rsidRDefault="00BC4324"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B41D1"/>
    <w:multiLevelType w:val="hybridMultilevel"/>
    <w:tmpl w:val="51408CFE"/>
    <w:lvl w:ilvl="0" w:tplc="FFFFFFFF">
      <w:start w:val="1"/>
      <w:numFmt w:val="decimal"/>
      <w:lvlText w:val="%1."/>
      <w:lvlJc w:val="left"/>
      <w:pPr>
        <w:ind w:left="444" w:hanging="360"/>
      </w:pPr>
      <w:rPr>
        <w:rFonts w:hint="default"/>
        <w:b w:val="0"/>
        <w:bCs w:val="0"/>
      </w:rPr>
    </w:lvl>
    <w:lvl w:ilvl="1" w:tplc="FFFFFFFF">
      <w:start w:val="1"/>
      <w:numFmt w:val="lowerLetter"/>
      <w:lvlText w:val="%2."/>
      <w:lvlJc w:val="left"/>
      <w:pPr>
        <w:ind w:left="1164" w:hanging="360"/>
      </w:pPr>
    </w:lvl>
    <w:lvl w:ilvl="2" w:tplc="FFFFFFFF">
      <w:start w:val="1"/>
      <w:numFmt w:val="lowerRoman"/>
      <w:lvlText w:val="%3."/>
      <w:lvlJc w:val="right"/>
      <w:pPr>
        <w:ind w:left="1884" w:hanging="180"/>
      </w:pPr>
    </w:lvl>
    <w:lvl w:ilvl="3" w:tplc="FFFFFFFF">
      <w:start w:val="1"/>
      <w:numFmt w:val="decimal"/>
      <w:lvlText w:val="%4."/>
      <w:lvlJc w:val="left"/>
      <w:pPr>
        <w:ind w:left="2604" w:hanging="360"/>
      </w:pPr>
    </w:lvl>
    <w:lvl w:ilvl="4" w:tplc="FFFFFFFF">
      <w:start w:val="1"/>
      <w:numFmt w:val="lowerLetter"/>
      <w:lvlText w:val="%5."/>
      <w:lvlJc w:val="left"/>
      <w:pPr>
        <w:ind w:left="3324" w:hanging="360"/>
      </w:pPr>
    </w:lvl>
    <w:lvl w:ilvl="5" w:tplc="FFFFFFFF">
      <w:start w:val="1"/>
      <w:numFmt w:val="lowerRoman"/>
      <w:lvlText w:val="%6."/>
      <w:lvlJc w:val="right"/>
      <w:pPr>
        <w:ind w:left="4044" w:hanging="180"/>
      </w:pPr>
    </w:lvl>
    <w:lvl w:ilvl="6" w:tplc="FFFFFFFF">
      <w:start w:val="1"/>
      <w:numFmt w:val="decimal"/>
      <w:lvlText w:val="%7."/>
      <w:lvlJc w:val="left"/>
      <w:pPr>
        <w:ind w:left="4764" w:hanging="360"/>
      </w:pPr>
    </w:lvl>
    <w:lvl w:ilvl="7" w:tplc="FFFFFFFF">
      <w:start w:val="1"/>
      <w:numFmt w:val="lowerLetter"/>
      <w:lvlText w:val="%8."/>
      <w:lvlJc w:val="left"/>
      <w:pPr>
        <w:ind w:left="5484" w:hanging="360"/>
      </w:pPr>
    </w:lvl>
    <w:lvl w:ilvl="8" w:tplc="FFFFFFFF">
      <w:start w:val="1"/>
      <w:numFmt w:val="lowerRoman"/>
      <w:lvlText w:val="%9."/>
      <w:lvlJc w:val="right"/>
      <w:pPr>
        <w:ind w:left="6204" w:hanging="180"/>
      </w:pPr>
    </w:lvl>
  </w:abstractNum>
  <w:abstractNum w:abstractNumId="3"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54674"/>
    <w:multiLevelType w:val="hybridMultilevel"/>
    <w:tmpl w:val="056E8DF4"/>
    <w:lvl w:ilvl="0" w:tplc="10168364">
      <w:start w:val="1"/>
      <w:numFmt w:val="decimal"/>
      <w:lvlText w:val="%1."/>
      <w:lvlJc w:val="left"/>
      <w:pPr>
        <w:ind w:left="4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52695A75"/>
    <w:multiLevelType w:val="hybridMultilevel"/>
    <w:tmpl w:val="5844795A"/>
    <w:lvl w:ilvl="0" w:tplc="D03C3D20">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65DA2EAA"/>
    <w:multiLevelType w:val="hybridMultilevel"/>
    <w:tmpl w:val="5844795A"/>
    <w:lvl w:ilvl="0" w:tplc="FFFFFFFF">
      <w:start w:val="1"/>
      <w:numFmt w:val="decimal"/>
      <w:lvlText w:val="%1."/>
      <w:lvlJc w:val="left"/>
      <w:pPr>
        <w:ind w:left="1164" w:hanging="360"/>
      </w:pPr>
      <w:rPr>
        <w:rFonts w:hint="default"/>
      </w:rPr>
    </w:lvl>
    <w:lvl w:ilvl="1" w:tplc="FFFFFFFF" w:tentative="1">
      <w:start w:val="1"/>
      <w:numFmt w:val="lowerLetter"/>
      <w:lvlText w:val="%2."/>
      <w:lvlJc w:val="left"/>
      <w:pPr>
        <w:ind w:left="1884" w:hanging="360"/>
      </w:pPr>
    </w:lvl>
    <w:lvl w:ilvl="2" w:tplc="FFFFFFFF" w:tentative="1">
      <w:start w:val="1"/>
      <w:numFmt w:val="lowerRoman"/>
      <w:lvlText w:val="%3."/>
      <w:lvlJc w:val="right"/>
      <w:pPr>
        <w:ind w:left="2604" w:hanging="180"/>
      </w:pPr>
    </w:lvl>
    <w:lvl w:ilvl="3" w:tplc="FFFFFFFF" w:tentative="1">
      <w:start w:val="1"/>
      <w:numFmt w:val="decimal"/>
      <w:lvlText w:val="%4."/>
      <w:lvlJc w:val="left"/>
      <w:pPr>
        <w:ind w:left="3324" w:hanging="360"/>
      </w:pPr>
    </w:lvl>
    <w:lvl w:ilvl="4" w:tplc="FFFFFFFF" w:tentative="1">
      <w:start w:val="1"/>
      <w:numFmt w:val="lowerLetter"/>
      <w:lvlText w:val="%5."/>
      <w:lvlJc w:val="left"/>
      <w:pPr>
        <w:ind w:left="4044" w:hanging="360"/>
      </w:pPr>
    </w:lvl>
    <w:lvl w:ilvl="5" w:tplc="FFFFFFFF" w:tentative="1">
      <w:start w:val="1"/>
      <w:numFmt w:val="lowerRoman"/>
      <w:lvlText w:val="%6."/>
      <w:lvlJc w:val="right"/>
      <w:pPr>
        <w:ind w:left="4764" w:hanging="180"/>
      </w:pPr>
    </w:lvl>
    <w:lvl w:ilvl="6" w:tplc="FFFFFFFF" w:tentative="1">
      <w:start w:val="1"/>
      <w:numFmt w:val="decimal"/>
      <w:lvlText w:val="%7."/>
      <w:lvlJc w:val="left"/>
      <w:pPr>
        <w:ind w:left="5484" w:hanging="360"/>
      </w:pPr>
    </w:lvl>
    <w:lvl w:ilvl="7" w:tplc="FFFFFFFF" w:tentative="1">
      <w:start w:val="1"/>
      <w:numFmt w:val="lowerLetter"/>
      <w:lvlText w:val="%8."/>
      <w:lvlJc w:val="left"/>
      <w:pPr>
        <w:ind w:left="6204" w:hanging="360"/>
      </w:pPr>
    </w:lvl>
    <w:lvl w:ilvl="8" w:tplc="FFFFFFFF" w:tentative="1">
      <w:start w:val="1"/>
      <w:numFmt w:val="lowerRoman"/>
      <w:lvlText w:val="%9."/>
      <w:lvlJc w:val="right"/>
      <w:pPr>
        <w:ind w:left="6924" w:hanging="180"/>
      </w:pPr>
    </w:lvl>
  </w:abstractNum>
  <w:abstractNum w:abstractNumId="11"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2"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3" w15:restartNumberingAfterBreak="0">
    <w:nsid w:val="722C6551"/>
    <w:multiLevelType w:val="multilevel"/>
    <w:tmpl w:val="4282D292"/>
    <w:lvl w:ilvl="0">
      <w:start w:val="1"/>
      <w:numFmt w:val="decimal"/>
      <w:lvlText w:val="%1."/>
      <w:lvlJc w:val="left"/>
      <w:pPr>
        <w:ind w:left="502" w:hanging="360"/>
      </w:pPr>
      <w:rPr>
        <w:rFonts w:hint="default"/>
        <w:b w:val="0"/>
        <w:bCs w:val="0"/>
        <w:sz w:val="24"/>
        <w:szCs w:val="24"/>
      </w:rPr>
    </w:lvl>
    <w:lvl w:ilvl="1">
      <w:start w:val="1"/>
      <w:numFmt w:val="decimal"/>
      <w:lvlText w:val="%1.%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C93C78"/>
    <w:multiLevelType w:val="multilevel"/>
    <w:tmpl w:val="2B6E62F8"/>
    <w:lvl w:ilvl="0">
      <w:start w:val="8"/>
      <w:numFmt w:val="decimal"/>
      <w:lvlText w:val="%1"/>
      <w:lvlJc w:val="left"/>
      <w:pPr>
        <w:ind w:left="360" w:hanging="360"/>
      </w:pPr>
      <w:rPr>
        <w:rFonts w:hint="default"/>
        <w:b/>
      </w:rPr>
    </w:lvl>
    <w:lvl w:ilvl="1">
      <w:start w:val="1"/>
      <w:numFmt w:val="decimal"/>
      <w:lvlText w:val="%1.%2"/>
      <w:lvlJc w:val="left"/>
      <w:pPr>
        <w:ind w:left="444" w:hanging="360"/>
      </w:pPr>
      <w:rPr>
        <w:rFonts w:hint="default"/>
        <w:b/>
      </w:rPr>
    </w:lvl>
    <w:lvl w:ilvl="2">
      <w:start w:val="1"/>
      <w:numFmt w:val="decimal"/>
      <w:lvlText w:val="%1.%2.%3"/>
      <w:lvlJc w:val="left"/>
      <w:pPr>
        <w:ind w:left="888" w:hanging="720"/>
      </w:pPr>
      <w:rPr>
        <w:rFonts w:hint="default"/>
        <w:b/>
      </w:rPr>
    </w:lvl>
    <w:lvl w:ilvl="3">
      <w:start w:val="1"/>
      <w:numFmt w:val="decimal"/>
      <w:lvlText w:val="%1.%2.%3.%4"/>
      <w:lvlJc w:val="left"/>
      <w:pPr>
        <w:ind w:left="972" w:hanging="720"/>
      </w:pPr>
      <w:rPr>
        <w:rFonts w:hint="default"/>
        <w:b/>
      </w:rPr>
    </w:lvl>
    <w:lvl w:ilvl="4">
      <w:start w:val="1"/>
      <w:numFmt w:val="decimal"/>
      <w:lvlText w:val="%1.%2.%3.%4.%5"/>
      <w:lvlJc w:val="left"/>
      <w:pPr>
        <w:ind w:left="1416" w:hanging="1080"/>
      </w:pPr>
      <w:rPr>
        <w:rFonts w:hint="default"/>
        <w:b/>
      </w:rPr>
    </w:lvl>
    <w:lvl w:ilvl="5">
      <w:start w:val="1"/>
      <w:numFmt w:val="decimal"/>
      <w:lvlText w:val="%1.%2.%3.%4.%5.%6"/>
      <w:lvlJc w:val="left"/>
      <w:pPr>
        <w:ind w:left="1500" w:hanging="1080"/>
      </w:pPr>
      <w:rPr>
        <w:rFonts w:hint="default"/>
        <w:b/>
      </w:rPr>
    </w:lvl>
    <w:lvl w:ilvl="6">
      <w:start w:val="1"/>
      <w:numFmt w:val="decimal"/>
      <w:lvlText w:val="%1.%2.%3.%4.%5.%6.%7"/>
      <w:lvlJc w:val="left"/>
      <w:pPr>
        <w:ind w:left="1584" w:hanging="1080"/>
      </w:pPr>
      <w:rPr>
        <w:rFonts w:hint="default"/>
        <w:b/>
      </w:rPr>
    </w:lvl>
    <w:lvl w:ilvl="7">
      <w:start w:val="1"/>
      <w:numFmt w:val="decimal"/>
      <w:lvlText w:val="%1.%2.%3.%4.%5.%6.%7.%8"/>
      <w:lvlJc w:val="left"/>
      <w:pPr>
        <w:ind w:left="2028" w:hanging="1440"/>
      </w:pPr>
      <w:rPr>
        <w:rFonts w:hint="default"/>
        <w:b/>
      </w:rPr>
    </w:lvl>
    <w:lvl w:ilvl="8">
      <w:start w:val="1"/>
      <w:numFmt w:val="decimal"/>
      <w:lvlText w:val="%1.%2.%3.%4.%5.%6.%7.%8.%9"/>
      <w:lvlJc w:val="left"/>
      <w:pPr>
        <w:ind w:left="2112" w:hanging="1440"/>
      </w:pPr>
      <w:rPr>
        <w:rFonts w:hint="default"/>
        <w:b/>
      </w:rPr>
    </w:lvl>
  </w:abstractNum>
  <w:num w:numId="1" w16cid:durableId="1135371017">
    <w:abstractNumId w:val="1"/>
  </w:num>
  <w:num w:numId="2" w16cid:durableId="1780561672">
    <w:abstractNumId w:val="4"/>
  </w:num>
  <w:num w:numId="3" w16cid:durableId="1428965026">
    <w:abstractNumId w:val="3"/>
  </w:num>
  <w:num w:numId="4" w16cid:durableId="1724019476">
    <w:abstractNumId w:val="13"/>
  </w:num>
  <w:num w:numId="5" w16cid:durableId="1956525256">
    <w:abstractNumId w:val="12"/>
  </w:num>
  <w:num w:numId="6" w16cid:durableId="1803813834">
    <w:abstractNumId w:val="0"/>
  </w:num>
  <w:num w:numId="7" w16cid:durableId="1630470354">
    <w:abstractNumId w:val="11"/>
  </w:num>
  <w:num w:numId="8" w16cid:durableId="844979299">
    <w:abstractNumId w:val="7"/>
  </w:num>
  <w:num w:numId="9" w16cid:durableId="396629030">
    <w:abstractNumId w:val="6"/>
  </w:num>
  <w:num w:numId="10" w16cid:durableId="683869258">
    <w:abstractNumId w:val="9"/>
  </w:num>
  <w:num w:numId="11" w16cid:durableId="574631857">
    <w:abstractNumId w:val="8"/>
  </w:num>
  <w:num w:numId="12" w16cid:durableId="2114126758">
    <w:abstractNumId w:val="10"/>
  </w:num>
  <w:num w:numId="13" w16cid:durableId="2062902660">
    <w:abstractNumId w:val="5"/>
  </w:num>
  <w:num w:numId="14" w16cid:durableId="625238315">
    <w:abstractNumId w:val="14"/>
  </w:num>
  <w:num w:numId="15" w16cid:durableId="111182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14FA7"/>
    <w:rsid w:val="0003627F"/>
    <w:rsid w:val="00036485"/>
    <w:rsid w:val="00044166"/>
    <w:rsid w:val="00092FC8"/>
    <w:rsid w:val="000C54FE"/>
    <w:rsid w:val="000C73E1"/>
    <w:rsid w:val="000D467E"/>
    <w:rsid w:val="000E7391"/>
    <w:rsid w:val="000F4B53"/>
    <w:rsid w:val="000F4D9F"/>
    <w:rsid w:val="001037B8"/>
    <w:rsid w:val="00105C8B"/>
    <w:rsid w:val="0011087B"/>
    <w:rsid w:val="00157415"/>
    <w:rsid w:val="001A1C3A"/>
    <w:rsid w:val="001B0264"/>
    <w:rsid w:val="001B2963"/>
    <w:rsid w:val="001B4996"/>
    <w:rsid w:val="001B718B"/>
    <w:rsid w:val="00202AA5"/>
    <w:rsid w:val="00230A36"/>
    <w:rsid w:val="00230B0B"/>
    <w:rsid w:val="002369FF"/>
    <w:rsid w:val="002443EF"/>
    <w:rsid w:val="00244EE7"/>
    <w:rsid w:val="002865BF"/>
    <w:rsid w:val="0029279C"/>
    <w:rsid w:val="002A156A"/>
    <w:rsid w:val="002B254C"/>
    <w:rsid w:val="002B4735"/>
    <w:rsid w:val="002D73C3"/>
    <w:rsid w:val="00314809"/>
    <w:rsid w:val="00317D2B"/>
    <w:rsid w:val="00331D3D"/>
    <w:rsid w:val="00362E96"/>
    <w:rsid w:val="00364350"/>
    <w:rsid w:val="00370682"/>
    <w:rsid w:val="0037502D"/>
    <w:rsid w:val="003879CA"/>
    <w:rsid w:val="0039399F"/>
    <w:rsid w:val="0039561E"/>
    <w:rsid w:val="003F1E21"/>
    <w:rsid w:val="00407449"/>
    <w:rsid w:val="00410D9A"/>
    <w:rsid w:val="00415E61"/>
    <w:rsid w:val="00421C83"/>
    <w:rsid w:val="00437A37"/>
    <w:rsid w:val="00437C1F"/>
    <w:rsid w:val="00440070"/>
    <w:rsid w:val="00443EA4"/>
    <w:rsid w:val="00445780"/>
    <w:rsid w:val="004572B5"/>
    <w:rsid w:val="004802BF"/>
    <w:rsid w:val="004840F7"/>
    <w:rsid w:val="004B773C"/>
    <w:rsid w:val="004E02DF"/>
    <w:rsid w:val="004E0BFD"/>
    <w:rsid w:val="004E454B"/>
    <w:rsid w:val="004F210A"/>
    <w:rsid w:val="004F4AEB"/>
    <w:rsid w:val="0050464F"/>
    <w:rsid w:val="00512CA9"/>
    <w:rsid w:val="00521867"/>
    <w:rsid w:val="005378D5"/>
    <w:rsid w:val="0054496E"/>
    <w:rsid w:val="005454E0"/>
    <w:rsid w:val="005710F7"/>
    <w:rsid w:val="0057606C"/>
    <w:rsid w:val="005928D2"/>
    <w:rsid w:val="005A74FE"/>
    <w:rsid w:val="005B31E4"/>
    <w:rsid w:val="00604BE0"/>
    <w:rsid w:val="00623714"/>
    <w:rsid w:val="006464E1"/>
    <w:rsid w:val="006607BD"/>
    <w:rsid w:val="006806E0"/>
    <w:rsid w:val="0068598F"/>
    <w:rsid w:val="0068674C"/>
    <w:rsid w:val="00686BF5"/>
    <w:rsid w:val="006A17A3"/>
    <w:rsid w:val="006A4DE7"/>
    <w:rsid w:val="006C1520"/>
    <w:rsid w:val="007074DC"/>
    <w:rsid w:val="00730F48"/>
    <w:rsid w:val="00743190"/>
    <w:rsid w:val="00760717"/>
    <w:rsid w:val="00762786"/>
    <w:rsid w:val="00772B0B"/>
    <w:rsid w:val="00784266"/>
    <w:rsid w:val="007A68E1"/>
    <w:rsid w:val="007B3A7A"/>
    <w:rsid w:val="007C1D00"/>
    <w:rsid w:val="0084491B"/>
    <w:rsid w:val="00846252"/>
    <w:rsid w:val="008A1352"/>
    <w:rsid w:val="008B45B9"/>
    <w:rsid w:val="008D2398"/>
    <w:rsid w:val="008E0000"/>
    <w:rsid w:val="008E35F0"/>
    <w:rsid w:val="0091417D"/>
    <w:rsid w:val="00914B97"/>
    <w:rsid w:val="0094194A"/>
    <w:rsid w:val="009925D4"/>
    <w:rsid w:val="009A72B9"/>
    <w:rsid w:val="009B5E2F"/>
    <w:rsid w:val="009D7F8E"/>
    <w:rsid w:val="009E62AD"/>
    <w:rsid w:val="00A011F9"/>
    <w:rsid w:val="00A27552"/>
    <w:rsid w:val="00A45918"/>
    <w:rsid w:val="00A4608B"/>
    <w:rsid w:val="00A52272"/>
    <w:rsid w:val="00A619F7"/>
    <w:rsid w:val="00A7499F"/>
    <w:rsid w:val="00A81303"/>
    <w:rsid w:val="00AA2191"/>
    <w:rsid w:val="00AC7095"/>
    <w:rsid w:val="00AD3D73"/>
    <w:rsid w:val="00AD7D3E"/>
    <w:rsid w:val="00AD7F66"/>
    <w:rsid w:val="00AF16B8"/>
    <w:rsid w:val="00B02EB3"/>
    <w:rsid w:val="00B543C0"/>
    <w:rsid w:val="00B84BF7"/>
    <w:rsid w:val="00BA0193"/>
    <w:rsid w:val="00BB3A9C"/>
    <w:rsid w:val="00BC4324"/>
    <w:rsid w:val="00BD79B1"/>
    <w:rsid w:val="00BF4CD5"/>
    <w:rsid w:val="00C14E8C"/>
    <w:rsid w:val="00C20DA4"/>
    <w:rsid w:val="00C40423"/>
    <w:rsid w:val="00C44CDD"/>
    <w:rsid w:val="00C753B3"/>
    <w:rsid w:val="00C80962"/>
    <w:rsid w:val="00C80FD3"/>
    <w:rsid w:val="00C87293"/>
    <w:rsid w:val="00CA78B4"/>
    <w:rsid w:val="00CB3C5A"/>
    <w:rsid w:val="00CC7AFA"/>
    <w:rsid w:val="00CD2BEC"/>
    <w:rsid w:val="00D05926"/>
    <w:rsid w:val="00D16974"/>
    <w:rsid w:val="00D529EC"/>
    <w:rsid w:val="00D641D5"/>
    <w:rsid w:val="00D72ED9"/>
    <w:rsid w:val="00D849F8"/>
    <w:rsid w:val="00DA735D"/>
    <w:rsid w:val="00DB72EE"/>
    <w:rsid w:val="00DF3A9A"/>
    <w:rsid w:val="00E035B9"/>
    <w:rsid w:val="00E12078"/>
    <w:rsid w:val="00E1676A"/>
    <w:rsid w:val="00E21155"/>
    <w:rsid w:val="00E3143E"/>
    <w:rsid w:val="00E3677F"/>
    <w:rsid w:val="00E46E88"/>
    <w:rsid w:val="00E80247"/>
    <w:rsid w:val="00E91402"/>
    <w:rsid w:val="00EA16BC"/>
    <w:rsid w:val="00EA42F9"/>
    <w:rsid w:val="00EB2DFE"/>
    <w:rsid w:val="00EE38F5"/>
    <w:rsid w:val="00EE4AF9"/>
    <w:rsid w:val="00EE6660"/>
    <w:rsid w:val="00EF6047"/>
    <w:rsid w:val="00F21892"/>
    <w:rsid w:val="00F25091"/>
    <w:rsid w:val="00F258C4"/>
    <w:rsid w:val="00F30B9C"/>
    <w:rsid w:val="00F43C5E"/>
    <w:rsid w:val="00F6032A"/>
    <w:rsid w:val="00F8130E"/>
    <w:rsid w:val="00F90EBA"/>
    <w:rsid w:val="00F928A6"/>
    <w:rsid w:val="00FA55CE"/>
    <w:rsid w:val="00FB67D0"/>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paragraph" w:styleId="a8">
    <w:name w:val="Revision"/>
    <w:hidden/>
    <w:uiPriority w:val="99"/>
    <w:semiHidden/>
    <w:rsid w:val="00844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C9FB-5C1D-42B2-A986-A93361FA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7</Pages>
  <Words>2389</Words>
  <Characters>11945</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5</cp:revision>
  <cp:lastPrinted>2022-05-15T13:06:00Z</cp:lastPrinted>
  <dcterms:created xsi:type="dcterms:W3CDTF">2022-05-25T03:01:00Z</dcterms:created>
  <dcterms:modified xsi:type="dcterms:W3CDTF">2022-05-25T20:46:00Z</dcterms:modified>
</cp:coreProperties>
</file>