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1F3BE" w14:textId="4B6804F8" w:rsidR="00D72ED9" w:rsidRPr="00D641D5" w:rsidRDefault="00D72ED9" w:rsidP="00D641D5">
      <w:pPr>
        <w:tabs>
          <w:tab w:val="left" w:pos="651"/>
        </w:tabs>
        <w:spacing w:after="0"/>
        <w:ind w:left="84"/>
        <w:rPr>
          <w:rFonts w:ascii="David" w:hAnsi="David" w:cs="David"/>
          <w:b/>
          <w:bCs/>
          <w:rtl/>
        </w:rPr>
      </w:pPr>
      <w:r w:rsidRPr="00D72ED9">
        <w:rPr>
          <w:rFonts w:ascii="David" w:hAnsi="David" w:cs="David"/>
          <w:b/>
          <w:bCs/>
          <w:rtl/>
        </w:rPr>
        <w:t>בבית הדין האזורי לעבודה בירושלים</w:t>
      </w:r>
      <w:r w:rsidRPr="00D72ED9">
        <w:rPr>
          <w:rFonts w:ascii="David" w:hAnsi="David" w:cs="David"/>
          <w:b/>
          <w:bCs/>
          <w:rtl/>
        </w:rPr>
        <w:tab/>
        <w:t xml:space="preserve">                                </w:t>
      </w:r>
      <w:r w:rsidRPr="00D72ED9">
        <w:rPr>
          <w:rFonts w:ascii="David" w:hAnsi="David" w:cs="David"/>
          <w:b/>
          <w:bCs/>
          <w:rtl/>
        </w:rPr>
        <w:tab/>
        <w:t xml:space="preserve">            </w:t>
      </w:r>
      <w:r w:rsidRPr="00D72ED9">
        <w:rPr>
          <w:rFonts w:ascii="David" w:hAnsi="David" w:cs="David"/>
          <w:b/>
          <w:bCs/>
          <w:rtl/>
        </w:rPr>
        <w:tab/>
        <w:t>סע</w:t>
      </w:r>
      <w:r>
        <w:rPr>
          <w:rFonts w:ascii="David" w:hAnsi="David" w:cs="David" w:hint="cs"/>
          <w:b/>
          <w:bCs/>
          <w:rtl/>
        </w:rPr>
        <w:t>"ש</w:t>
      </w:r>
      <w:r w:rsidRPr="00D72ED9">
        <w:rPr>
          <w:rFonts w:ascii="David" w:hAnsi="David" w:cs="David"/>
          <w:b/>
          <w:bCs/>
          <w:rtl/>
        </w:rPr>
        <w:t xml:space="preserve"> </w:t>
      </w:r>
      <w:r>
        <w:rPr>
          <w:rFonts w:ascii="David" w:hAnsi="David" w:cs="David" w:hint="cs"/>
          <w:b/>
          <w:bCs/>
          <w:rtl/>
        </w:rPr>
        <w:t>6928-10</w:t>
      </w:r>
      <w:bookmarkStart w:id="0" w:name="_GoBack"/>
      <w:bookmarkEnd w:id="0"/>
      <w:r>
        <w:rPr>
          <w:rFonts w:ascii="David" w:hAnsi="David" w:cs="David" w:hint="cs"/>
          <w:b/>
          <w:bCs/>
          <w:rtl/>
        </w:rPr>
        <w:t>-1</w:t>
      </w:r>
      <w:r w:rsidRPr="00D72ED9">
        <w:rPr>
          <w:rFonts w:ascii="David" w:hAnsi="David" w:cs="David"/>
          <w:b/>
          <w:bCs/>
          <w:sz w:val="26"/>
          <w:szCs w:val="26"/>
          <w:rtl/>
        </w:rPr>
        <w:tab/>
      </w:r>
    </w:p>
    <w:p w14:paraId="6350B968" w14:textId="77777777" w:rsidR="00D72ED9" w:rsidRPr="00D72ED9" w:rsidRDefault="00D72ED9" w:rsidP="00D641D5">
      <w:pPr>
        <w:spacing w:after="0"/>
        <w:ind w:left="-58"/>
        <w:jc w:val="center"/>
        <w:rPr>
          <w:rFonts w:ascii="David" w:hAnsi="David" w:cs="David"/>
          <w:sz w:val="28"/>
          <w:szCs w:val="28"/>
          <w:rtl/>
        </w:rPr>
      </w:pPr>
      <w:r w:rsidRPr="00D72ED9">
        <w:rPr>
          <w:rFonts w:ascii="David" w:hAnsi="David" w:cs="David"/>
          <w:b/>
          <w:bCs/>
          <w:sz w:val="28"/>
          <w:szCs w:val="28"/>
          <w:u w:val="single"/>
          <w:rtl/>
        </w:rPr>
        <w:t>כתב תביעה</w:t>
      </w:r>
    </w:p>
    <w:p w14:paraId="2AE5AE83" w14:textId="1B3E87E6" w:rsidR="00D72ED9" w:rsidRPr="009B5E2F" w:rsidRDefault="00D72ED9" w:rsidP="00D641D5">
      <w:pPr>
        <w:spacing w:after="0"/>
        <w:ind w:firstLine="360"/>
        <w:rPr>
          <w:rFonts w:ascii="David" w:hAnsi="David" w:cs="David"/>
          <w:b/>
          <w:bCs/>
          <w:sz w:val="24"/>
          <w:szCs w:val="24"/>
          <w:rtl/>
        </w:rPr>
      </w:pPr>
      <w:r w:rsidRPr="009B5E2F">
        <w:rPr>
          <w:rFonts w:ascii="David" w:hAnsi="David" w:cs="David" w:hint="cs"/>
          <w:b/>
          <w:bCs/>
          <w:sz w:val="24"/>
          <w:szCs w:val="24"/>
          <w:rtl/>
        </w:rPr>
        <w:t>שמעון הכסטר</w:t>
      </w:r>
      <w:r w:rsidRPr="009B5E2F">
        <w:rPr>
          <w:rFonts w:ascii="David" w:hAnsi="David" w:cs="David"/>
          <w:b/>
          <w:bCs/>
          <w:sz w:val="24"/>
          <w:szCs w:val="24"/>
          <w:rtl/>
        </w:rPr>
        <w:t xml:space="preserve">, ת.ז. </w:t>
      </w:r>
    </w:p>
    <w:p w14:paraId="4864A85D"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ע"י ב"כ עו"ד יעקב חסדאי</w:t>
      </w:r>
    </w:p>
    <w:p w14:paraId="589BCA4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מרח' המלך ג'ורג' 41,</w:t>
      </w:r>
    </w:p>
    <w:p w14:paraId="6BAC0578"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ת.ד. 7655 ירושלים 9107601</w:t>
      </w:r>
    </w:p>
    <w:p w14:paraId="415ABA37" w14:textId="77777777"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טל': 02-6233153  פקס: 02-6244924</w:t>
      </w:r>
    </w:p>
    <w:p w14:paraId="50A69FEE" w14:textId="0DE71C4C" w:rsidR="00D72ED9" w:rsidRPr="00D72ED9" w:rsidRDefault="00D72ED9" w:rsidP="00D641D5">
      <w:pPr>
        <w:spacing w:after="0"/>
        <w:ind w:firstLine="360"/>
        <w:rPr>
          <w:rFonts w:ascii="David" w:hAnsi="David" w:cs="David"/>
          <w:rtl/>
        </w:rPr>
      </w:pPr>
      <w:r w:rsidRPr="009B5E2F">
        <w:rPr>
          <w:rFonts w:ascii="David" w:hAnsi="David" w:cs="David"/>
          <w:sz w:val="24"/>
          <w:szCs w:val="24"/>
          <w:rtl/>
        </w:rPr>
        <w:t xml:space="preserve">דוא"ל: </w:t>
      </w:r>
      <w:hyperlink r:id="rId7" w:history="1">
        <w:r w:rsidRPr="009B5E2F">
          <w:rPr>
            <w:rStyle w:val="Hyperlink"/>
            <w:rFonts w:ascii="David" w:hAnsi="David" w:cs="David"/>
            <w:sz w:val="24"/>
            <w:szCs w:val="24"/>
          </w:rPr>
          <w:t>chisdai@gmail.com</w:t>
        </w:r>
      </w:hyperlink>
      <w:r w:rsidRPr="009B5E2F">
        <w:rPr>
          <w:rFonts w:ascii="David" w:hAnsi="David" w:cs="David"/>
          <w:sz w:val="24"/>
          <w:szCs w:val="24"/>
          <w:rtl/>
        </w:rPr>
        <w:tab/>
      </w:r>
      <w:r w:rsidRPr="009B5E2F">
        <w:rPr>
          <w:rFonts w:ascii="David" w:hAnsi="David" w:cs="David"/>
          <w:sz w:val="24"/>
          <w:szCs w:val="24"/>
          <w:rtl/>
        </w:rPr>
        <w:tab/>
      </w:r>
      <w:r w:rsidRPr="00D72ED9">
        <w:rPr>
          <w:rFonts w:ascii="David" w:hAnsi="David" w:cs="David"/>
          <w:rtl/>
        </w:rPr>
        <w:tab/>
      </w:r>
      <w:r w:rsidRPr="00D72ED9">
        <w:rPr>
          <w:rFonts w:ascii="David" w:hAnsi="David" w:cs="David"/>
          <w:rtl/>
        </w:rPr>
        <w:tab/>
      </w:r>
      <w:r w:rsidRPr="007074DC">
        <w:rPr>
          <w:rFonts w:ascii="David" w:hAnsi="David" w:cs="David"/>
          <w:b/>
          <w:bCs/>
          <w:sz w:val="24"/>
          <w:szCs w:val="24"/>
          <w:u w:val="single"/>
          <w:rtl/>
        </w:rPr>
        <w:t>התובע</w:t>
      </w:r>
    </w:p>
    <w:p w14:paraId="23524009" w14:textId="77777777" w:rsidR="00D72ED9" w:rsidRPr="009B5E2F" w:rsidRDefault="00D72ED9" w:rsidP="00D641D5">
      <w:pPr>
        <w:spacing w:after="0"/>
        <w:ind w:firstLine="360"/>
        <w:rPr>
          <w:rFonts w:ascii="David" w:hAnsi="David" w:cs="David"/>
          <w:sz w:val="24"/>
          <w:szCs w:val="24"/>
          <w:rtl/>
        </w:rPr>
      </w:pPr>
    </w:p>
    <w:p w14:paraId="256F5331" w14:textId="77777777" w:rsidR="00D72ED9" w:rsidRPr="009B5E2F" w:rsidRDefault="00D72ED9" w:rsidP="00D641D5">
      <w:pPr>
        <w:spacing w:after="0"/>
        <w:ind w:firstLine="360"/>
        <w:rPr>
          <w:rFonts w:ascii="David" w:hAnsi="David" w:cs="David"/>
          <w:b/>
          <w:bCs/>
          <w:sz w:val="24"/>
          <w:szCs w:val="24"/>
          <w:rtl/>
        </w:rPr>
      </w:pPr>
      <w:r w:rsidRPr="009B5E2F">
        <w:rPr>
          <w:rFonts w:ascii="David" w:hAnsi="David" w:cs="David"/>
          <w:b/>
          <w:bCs/>
          <w:sz w:val="24"/>
          <w:szCs w:val="24"/>
          <w:rtl/>
        </w:rPr>
        <w:t>- נ ג ד -</w:t>
      </w:r>
    </w:p>
    <w:p w14:paraId="3AD741F0" w14:textId="77777777" w:rsidR="00D72ED9" w:rsidRPr="009B5E2F" w:rsidRDefault="00D72ED9" w:rsidP="00D641D5">
      <w:pPr>
        <w:spacing w:after="0"/>
        <w:ind w:firstLine="360"/>
        <w:rPr>
          <w:rFonts w:ascii="David" w:hAnsi="David" w:cs="David"/>
          <w:b/>
          <w:bCs/>
          <w:sz w:val="24"/>
          <w:szCs w:val="24"/>
          <w:rtl/>
        </w:rPr>
      </w:pPr>
    </w:p>
    <w:p w14:paraId="6F09646F" w14:textId="29A23525" w:rsidR="00D72ED9" w:rsidRPr="009B5E2F" w:rsidRDefault="00D72ED9" w:rsidP="00D641D5">
      <w:pPr>
        <w:spacing w:after="0"/>
        <w:ind w:firstLine="360"/>
        <w:rPr>
          <w:rFonts w:ascii="David" w:hAnsi="David" w:cs="David"/>
          <w:sz w:val="24"/>
          <w:szCs w:val="24"/>
          <w:rtl/>
        </w:rPr>
      </w:pPr>
      <w:r w:rsidRPr="009B5E2F">
        <w:rPr>
          <w:rFonts w:ascii="David" w:hAnsi="David" w:cs="David" w:hint="cs"/>
          <w:b/>
          <w:bCs/>
          <w:sz w:val="24"/>
          <w:szCs w:val="24"/>
          <w:rtl/>
        </w:rPr>
        <w:t>מדינת ישראל</w:t>
      </w:r>
    </w:p>
    <w:p w14:paraId="117B2985" w14:textId="54EB4408" w:rsidR="00D72ED9" w:rsidRPr="009B5E2F" w:rsidRDefault="00D72ED9" w:rsidP="00D641D5">
      <w:pPr>
        <w:spacing w:after="0"/>
        <w:ind w:firstLine="360"/>
        <w:rPr>
          <w:rFonts w:ascii="David" w:hAnsi="David" w:cs="David"/>
          <w:sz w:val="24"/>
          <w:szCs w:val="24"/>
          <w:rtl/>
        </w:rPr>
      </w:pPr>
      <w:r w:rsidRPr="009B5E2F">
        <w:rPr>
          <w:rFonts w:ascii="David" w:hAnsi="David" w:cs="David"/>
          <w:sz w:val="24"/>
          <w:szCs w:val="24"/>
          <w:rtl/>
        </w:rPr>
        <w:t xml:space="preserve">ע"י </w:t>
      </w:r>
      <w:r w:rsidRPr="009B5E2F">
        <w:rPr>
          <w:rFonts w:ascii="David" w:hAnsi="David" w:cs="David" w:hint="cs"/>
          <w:sz w:val="24"/>
          <w:szCs w:val="24"/>
          <w:rtl/>
        </w:rPr>
        <w:t>פרקליטות המדינה</w:t>
      </w:r>
    </w:p>
    <w:p w14:paraId="6DA911E5" w14:textId="35994AA8" w:rsidR="00D72ED9" w:rsidRPr="009B5E2F" w:rsidRDefault="00D72ED9" w:rsidP="00D641D5">
      <w:pPr>
        <w:shd w:val="clear" w:color="auto" w:fill="FFFFFF"/>
        <w:spacing w:after="0"/>
        <w:ind w:firstLine="360"/>
        <w:rPr>
          <w:rFonts w:ascii="David" w:hAnsi="David" w:cs="David"/>
          <w:sz w:val="24"/>
          <w:szCs w:val="24"/>
          <w:rtl/>
        </w:rPr>
      </w:pPr>
      <w:r w:rsidRPr="009B5E2F">
        <w:rPr>
          <w:rFonts w:ascii="David" w:hAnsi="David" w:cs="David"/>
          <w:color w:val="222222"/>
          <w:sz w:val="24"/>
          <w:szCs w:val="24"/>
          <w:rtl/>
        </w:rPr>
        <w:t xml:space="preserve">טל: </w:t>
      </w:r>
      <w:r w:rsidRPr="009B5E2F">
        <w:rPr>
          <w:rFonts w:ascii="David" w:hAnsi="David" w:cs="David" w:hint="cs"/>
          <w:color w:val="222222"/>
          <w:sz w:val="24"/>
          <w:szCs w:val="24"/>
          <w:rtl/>
        </w:rPr>
        <w:t xml:space="preserve">.......... </w:t>
      </w:r>
      <w:r w:rsidRPr="009B5E2F">
        <w:rPr>
          <w:rFonts w:ascii="David" w:hAnsi="David" w:cs="David"/>
          <w:color w:val="222222"/>
          <w:sz w:val="24"/>
          <w:szCs w:val="24"/>
          <w:rtl/>
        </w:rPr>
        <w:t>פקס:</w:t>
      </w:r>
      <w:r w:rsidRPr="009B5E2F">
        <w:rPr>
          <w:rFonts w:ascii="David" w:hAnsi="David" w:cs="David"/>
          <w:color w:val="222222"/>
          <w:sz w:val="24"/>
          <w:szCs w:val="24"/>
        </w:rPr>
        <w:t> </w:t>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Pr="009B5E2F">
        <w:rPr>
          <w:rFonts w:ascii="David" w:hAnsi="David" w:cs="David"/>
          <w:sz w:val="24"/>
          <w:szCs w:val="24"/>
          <w:rtl/>
        </w:rPr>
        <w:tab/>
      </w:r>
      <w:r w:rsidR="007074DC">
        <w:rPr>
          <w:rFonts w:ascii="David" w:hAnsi="David" w:cs="David"/>
          <w:sz w:val="24"/>
          <w:szCs w:val="24"/>
          <w:rtl/>
        </w:rPr>
        <w:tab/>
      </w:r>
      <w:r w:rsidRPr="009B5E2F">
        <w:rPr>
          <w:rFonts w:ascii="David" w:hAnsi="David" w:cs="David"/>
          <w:sz w:val="24"/>
          <w:szCs w:val="24"/>
          <w:rtl/>
        </w:rPr>
        <w:tab/>
      </w:r>
      <w:r w:rsidR="007074DC">
        <w:rPr>
          <w:rFonts w:ascii="David" w:hAnsi="David" w:cs="David" w:hint="cs"/>
          <w:b/>
          <w:bCs/>
          <w:sz w:val="24"/>
          <w:szCs w:val="24"/>
          <w:u w:val="single"/>
          <w:rtl/>
        </w:rPr>
        <w:t>הנתבעת</w:t>
      </w:r>
    </w:p>
    <w:p w14:paraId="0A206CB7" w14:textId="77777777" w:rsidR="00D72ED9" w:rsidRPr="009B5E2F" w:rsidRDefault="00D72ED9" w:rsidP="00D72ED9">
      <w:pPr>
        <w:spacing w:after="0"/>
        <w:rPr>
          <w:rFonts w:ascii="David" w:hAnsi="David" w:cs="David"/>
          <w:b/>
          <w:bCs/>
          <w:sz w:val="24"/>
          <w:szCs w:val="24"/>
          <w:rtl/>
        </w:rPr>
      </w:pPr>
    </w:p>
    <w:p w14:paraId="18F758F6" w14:textId="77777777" w:rsidR="00D72ED9" w:rsidRPr="009B5E2F" w:rsidRDefault="00D72ED9" w:rsidP="00D72ED9">
      <w:pPr>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ראשון</w:t>
      </w:r>
    </w:p>
    <w:p w14:paraId="641C9CD9" w14:textId="77777777" w:rsidR="00D72ED9" w:rsidRPr="009B5E2F" w:rsidRDefault="00D72ED9" w:rsidP="00D72ED9">
      <w:pPr>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מהות התביעה</w:t>
      </w:r>
    </w:p>
    <w:p w14:paraId="72F704B3" w14:textId="0C9CD2D5" w:rsidR="00D72ED9" w:rsidRPr="009B5E2F" w:rsidRDefault="00D72ED9" w:rsidP="00D72ED9">
      <w:pPr>
        <w:spacing w:after="0" w:line="360" w:lineRule="auto"/>
        <w:ind w:firstLine="84"/>
        <w:jc w:val="both"/>
        <w:rPr>
          <w:rFonts w:ascii="David" w:hAnsi="David" w:cs="David"/>
          <w:sz w:val="24"/>
          <w:szCs w:val="24"/>
        </w:rPr>
      </w:pPr>
      <w:r w:rsidRPr="009B5E2F">
        <w:rPr>
          <w:rFonts w:ascii="David" w:hAnsi="David" w:cs="David" w:hint="cs"/>
          <w:sz w:val="24"/>
          <w:szCs w:val="24"/>
          <w:rtl/>
        </w:rPr>
        <w:t xml:space="preserve">תביעה </w:t>
      </w:r>
      <w:r w:rsidR="00623714">
        <w:rPr>
          <w:rFonts w:ascii="David" w:hAnsi="David" w:cs="David" w:hint="cs"/>
          <w:sz w:val="24"/>
          <w:szCs w:val="24"/>
          <w:rtl/>
        </w:rPr>
        <w:t xml:space="preserve">לסעד הצהרתי בעניין </w:t>
      </w:r>
      <w:r w:rsidRPr="009B5E2F">
        <w:rPr>
          <w:rFonts w:ascii="David" w:hAnsi="David" w:cs="David" w:hint="cs"/>
          <w:sz w:val="24"/>
          <w:szCs w:val="24"/>
          <w:rtl/>
        </w:rPr>
        <w:t>תיקון חישוב זכויות גימלה לתשלום הפרשים ולתשלום פיצויים.</w:t>
      </w:r>
    </w:p>
    <w:p w14:paraId="55DBE746" w14:textId="717C5EB5" w:rsidR="00D72ED9" w:rsidRPr="009B5E2F" w:rsidRDefault="00D72ED9" w:rsidP="00D72ED9">
      <w:pPr>
        <w:pStyle w:val="a3"/>
        <w:spacing w:after="0" w:line="360" w:lineRule="auto"/>
        <w:ind w:left="84"/>
        <w:rPr>
          <w:rFonts w:ascii="David" w:hAnsi="David" w:cs="David"/>
          <w:b/>
          <w:bCs/>
          <w:sz w:val="24"/>
          <w:szCs w:val="24"/>
          <w:rtl/>
        </w:rPr>
      </w:pPr>
      <w:r w:rsidRPr="009B5E2F">
        <w:rPr>
          <w:rFonts w:ascii="David" w:hAnsi="David" w:cs="David"/>
          <w:b/>
          <w:bCs/>
          <w:sz w:val="24"/>
          <w:szCs w:val="24"/>
          <w:u w:val="single"/>
          <w:rtl/>
        </w:rPr>
        <w:t>שווי נושא התובענה</w:t>
      </w:r>
      <w:r w:rsidRPr="009B5E2F">
        <w:rPr>
          <w:rFonts w:ascii="David" w:hAnsi="David" w:cs="David"/>
          <w:b/>
          <w:bCs/>
          <w:sz w:val="24"/>
          <w:szCs w:val="24"/>
          <w:rtl/>
        </w:rPr>
        <w:t xml:space="preserve"> – </w:t>
      </w:r>
      <w:r w:rsidR="00CB3C5A" w:rsidRPr="009B5E2F">
        <w:rPr>
          <w:rFonts w:ascii="David" w:hAnsi="David" w:cs="David" w:hint="cs"/>
          <w:b/>
          <w:bCs/>
          <w:sz w:val="24"/>
          <w:szCs w:val="24"/>
          <w:rtl/>
        </w:rPr>
        <w:t xml:space="preserve">...... </w:t>
      </w:r>
      <w:r w:rsidRPr="009B5E2F">
        <w:rPr>
          <w:rFonts w:ascii="David" w:hAnsi="David" w:cs="David"/>
          <w:b/>
          <w:bCs/>
          <w:sz w:val="24"/>
          <w:szCs w:val="24"/>
          <w:rtl/>
        </w:rPr>
        <w:t xml:space="preserve">₪ </w:t>
      </w:r>
    </w:p>
    <w:p w14:paraId="70444DF4" w14:textId="3B14568B" w:rsidR="00D72ED9" w:rsidRPr="009B5E2F" w:rsidRDefault="00D72ED9" w:rsidP="00D72ED9">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סכום אגרת בית הדין</w:t>
      </w:r>
      <w:r w:rsidRPr="009B5E2F">
        <w:rPr>
          <w:rFonts w:ascii="David" w:hAnsi="David" w:cs="David"/>
          <w:sz w:val="24"/>
          <w:szCs w:val="24"/>
          <w:rtl/>
        </w:rPr>
        <w:t xml:space="preserve"> –על פי תקנה 1 – 1% מסכום התביעה, סה"כ </w:t>
      </w:r>
      <w:r w:rsidR="00CB3C5A" w:rsidRPr="009B5E2F">
        <w:rPr>
          <w:rFonts w:ascii="David" w:hAnsi="David" w:cs="David" w:hint="cs"/>
          <w:sz w:val="24"/>
          <w:szCs w:val="24"/>
          <w:rtl/>
        </w:rPr>
        <w:t xml:space="preserve">....... </w:t>
      </w:r>
      <w:r w:rsidRPr="009B5E2F">
        <w:rPr>
          <w:rFonts w:ascii="David" w:hAnsi="David" w:cs="David"/>
          <w:sz w:val="24"/>
          <w:szCs w:val="24"/>
          <w:rtl/>
        </w:rPr>
        <w:t xml:space="preserve">₪. </w:t>
      </w:r>
    </w:p>
    <w:p w14:paraId="076F8E91" w14:textId="12277C14" w:rsidR="00D72ED9" w:rsidRPr="009B5E2F" w:rsidRDefault="00D72ED9" w:rsidP="00CB3C5A">
      <w:pPr>
        <w:pStyle w:val="a3"/>
        <w:spacing w:after="0" w:line="360" w:lineRule="auto"/>
        <w:ind w:left="84"/>
        <w:rPr>
          <w:rFonts w:ascii="David" w:hAnsi="David" w:cs="David"/>
          <w:sz w:val="24"/>
          <w:szCs w:val="24"/>
          <w:rtl/>
        </w:rPr>
      </w:pPr>
      <w:r w:rsidRPr="009B5E2F">
        <w:rPr>
          <w:rFonts w:ascii="David" w:hAnsi="David" w:cs="David"/>
          <w:b/>
          <w:bCs/>
          <w:sz w:val="24"/>
          <w:szCs w:val="24"/>
          <w:u w:val="single"/>
          <w:rtl/>
        </w:rPr>
        <w:t>הליך בעניין קשור</w:t>
      </w:r>
      <w:r w:rsidRPr="009B5E2F">
        <w:rPr>
          <w:rFonts w:ascii="David" w:hAnsi="David" w:cs="David"/>
          <w:sz w:val="24"/>
          <w:szCs w:val="24"/>
          <w:rtl/>
        </w:rPr>
        <w:t xml:space="preserve">: </w:t>
      </w:r>
      <w:r w:rsidR="00202AA5">
        <w:rPr>
          <w:rFonts w:ascii="David" w:hAnsi="David" w:cs="David" w:hint="cs"/>
          <w:sz w:val="24"/>
          <w:szCs w:val="24"/>
          <w:rtl/>
        </w:rPr>
        <w:t>ע"ע 2514-07-20 הכסטר נ. מדינת ישראל</w:t>
      </w:r>
    </w:p>
    <w:p w14:paraId="5DBD0D24" w14:textId="77777777" w:rsidR="00D72ED9" w:rsidRPr="009B5E2F" w:rsidRDefault="00D72ED9" w:rsidP="00D72ED9">
      <w:pPr>
        <w:pStyle w:val="a3"/>
        <w:spacing w:after="0" w:line="360" w:lineRule="auto"/>
        <w:ind w:left="84"/>
        <w:rPr>
          <w:rFonts w:ascii="David" w:hAnsi="David" w:cs="David"/>
          <w:b/>
          <w:bCs/>
          <w:sz w:val="24"/>
          <w:szCs w:val="24"/>
          <w:u w:val="single"/>
          <w:rtl/>
        </w:rPr>
      </w:pPr>
    </w:p>
    <w:p w14:paraId="38AE0E52" w14:textId="77777777" w:rsidR="00D72ED9" w:rsidRPr="009B5E2F" w:rsidRDefault="00D72ED9" w:rsidP="00D72ED9">
      <w:pPr>
        <w:pStyle w:val="a3"/>
        <w:spacing w:after="0" w:line="360" w:lineRule="auto"/>
        <w:ind w:left="-199"/>
        <w:rPr>
          <w:rFonts w:ascii="David" w:hAnsi="David" w:cs="David"/>
          <w:b/>
          <w:bCs/>
          <w:sz w:val="24"/>
          <w:szCs w:val="24"/>
          <w:u w:val="single"/>
          <w:rtl/>
        </w:rPr>
      </w:pPr>
      <w:r w:rsidRPr="009B5E2F">
        <w:rPr>
          <w:rFonts w:ascii="David" w:hAnsi="David" w:cs="David"/>
          <w:b/>
          <w:bCs/>
          <w:sz w:val="24"/>
          <w:szCs w:val="24"/>
          <w:u w:val="single"/>
          <w:rtl/>
        </w:rPr>
        <w:t>חלק שני</w:t>
      </w:r>
    </w:p>
    <w:p w14:paraId="08683D61"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הצדדים להליך</w:t>
      </w:r>
    </w:p>
    <w:p w14:paraId="220760B2" w14:textId="5071EE5B" w:rsidR="00D72ED9" w:rsidRPr="009B5E2F" w:rsidRDefault="00CB3C5A" w:rsidP="00D72ED9">
      <w:pPr>
        <w:pStyle w:val="a3"/>
        <w:numPr>
          <w:ilvl w:val="0"/>
          <w:numId w:val="4"/>
        </w:numPr>
        <w:spacing w:after="0" w:line="360" w:lineRule="auto"/>
        <w:jc w:val="both"/>
        <w:rPr>
          <w:rFonts w:ascii="David" w:hAnsi="David" w:cs="David"/>
          <w:sz w:val="24"/>
          <w:szCs w:val="24"/>
          <w:rtl/>
        </w:rPr>
      </w:pPr>
      <w:r w:rsidRPr="009B5E2F">
        <w:rPr>
          <w:rFonts w:ascii="David" w:hAnsi="David" w:cs="David" w:hint="cs"/>
          <w:sz w:val="24"/>
          <w:szCs w:val="24"/>
          <w:rtl/>
        </w:rPr>
        <w:t>התובע הוא גימלאי של שירות המדינה שפרש לאחר 42 שנות שירות בתפקיד חשב בכיר.</w:t>
      </w:r>
    </w:p>
    <w:p w14:paraId="1DD6CDE3" w14:textId="7786186C" w:rsidR="00D72ED9" w:rsidRDefault="00CB3C5A" w:rsidP="00CB3C5A">
      <w:pPr>
        <w:pStyle w:val="a3"/>
        <w:numPr>
          <w:ilvl w:val="0"/>
          <w:numId w:val="4"/>
        </w:numPr>
        <w:spacing w:after="0" w:line="360" w:lineRule="auto"/>
        <w:rPr>
          <w:rFonts w:ascii="David" w:hAnsi="David" w:cs="David"/>
          <w:sz w:val="24"/>
          <w:szCs w:val="24"/>
        </w:rPr>
      </w:pPr>
      <w:r w:rsidRPr="009B5E2F">
        <w:rPr>
          <w:rFonts w:ascii="David" w:hAnsi="David" w:cs="David" w:hint="cs"/>
          <w:sz w:val="24"/>
          <w:szCs w:val="24"/>
          <w:rtl/>
        </w:rPr>
        <w:t>הנתבעת היא מדינת ישראל, ע"י נציבות שירות המדינה והממונה על הגמלאות.</w:t>
      </w:r>
    </w:p>
    <w:p w14:paraId="24C6DB6E" w14:textId="77777777" w:rsidR="00CB3C5A" w:rsidRPr="009B5E2F" w:rsidRDefault="00CB3C5A" w:rsidP="00CB3C5A">
      <w:pPr>
        <w:pStyle w:val="a3"/>
        <w:spacing w:after="0" w:line="360" w:lineRule="auto"/>
        <w:ind w:left="444"/>
        <w:rPr>
          <w:rFonts w:ascii="David" w:hAnsi="David" w:cs="David"/>
          <w:sz w:val="24"/>
          <w:szCs w:val="24"/>
          <w:rtl/>
        </w:rPr>
      </w:pPr>
    </w:p>
    <w:p w14:paraId="54A53297" w14:textId="77777777" w:rsidR="00D72ED9" w:rsidRPr="009B5E2F" w:rsidRDefault="00D72ED9" w:rsidP="00D72ED9">
      <w:pPr>
        <w:pStyle w:val="a3"/>
        <w:spacing w:after="0" w:line="360" w:lineRule="auto"/>
        <w:ind w:left="84"/>
        <w:rPr>
          <w:rFonts w:ascii="David" w:hAnsi="David" w:cs="David"/>
          <w:b/>
          <w:bCs/>
          <w:sz w:val="24"/>
          <w:szCs w:val="24"/>
          <w:u w:val="single"/>
          <w:rtl/>
        </w:rPr>
      </w:pPr>
      <w:r w:rsidRPr="009B5E2F">
        <w:rPr>
          <w:rFonts w:ascii="David" w:hAnsi="David" w:cs="David"/>
          <w:b/>
          <w:bCs/>
          <w:sz w:val="24"/>
          <w:szCs w:val="24"/>
          <w:u w:val="single"/>
          <w:rtl/>
        </w:rPr>
        <w:t>הסעד</w:t>
      </w:r>
    </w:p>
    <w:p w14:paraId="60929C60" w14:textId="41747E3C" w:rsidR="00D72ED9" w:rsidRPr="009B5E2F" w:rsidRDefault="00CB3C5A" w:rsidP="00D72ED9">
      <w:pPr>
        <w:pStyle w:val="a3"/>
        <w:numPr>
          <w:ilvl w:val="0"/>
          <w:numId w:val="4"/>
        </w:numPr>
        <w:spacing w:after="0" w:line="360" w:lineRule="auto"/>
        <w:jc w:val="both"/>
        <w:rPr>
          <w:rFonts w:ascii="David" w:hAnsi="David" w:cs="David"/>
          <w:sz w:val="24"/>
          <w:szCs w:val="24"/>
        </w:rPr>
      </w:pPr>
      <w:r w:rsidRPr="009B5E2F">
        <w:rPr>
          <w:rFonts w:ascii="David" w:hAnsi="David" w:cs="David" w:hint="cs"/>
          <w:sz w:val="24"/>
          <w:szCs w:val="24"/>
          <w:rtl/>
        </w:rPr>
        <w:t>התובע מבקש:</w:t>
      </w:r>
    </w:p>
    <w:p w14:paraId="2D1B8B5B" w14:textId="3595233B" w:rsidR="00CB3C5A" w:rsidRPr="009B5E2F"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סעד הצהרתי בדבר הדרך לחישוב גימלתו ובדבר חישוב ההפרש המגיע לו.</w:t>
      </w:r>
    </w:p>
    <w:p w14:paraId="357553E5" w14:textId="2A7ABC5B" w:rsidR="00CB3C5A" w:rsidRDefault="00CB3C5A" w:rsidP="00CB3C5A">
      <w:pPr>
        <w:pStyle w:val="a3"/>
        <w:numPr>
          <w:ilvl w:val="0"/>
          <w:numId w:val="5"/>
        </w:numPr>
        <w:spacing w:after="0" w:line="360" w:lineRule="auto"/>
        <w:jc w:val="both"/>
        <w:rPr>
          <w:rFonts w:ascii="David" w:hAnsi="David" w:cs="David"/>
          <w:sz w:val="24"/>
          <w:szCs w:val="24"/>
        </w:rPr>
      </w:pPr>
      <w:r w:rsidRPr="009B5E2F">
        <w:rPr>
          <w:rFonts w:ascii="David" w:hAnsi="David" w:cs="David" w:hint="cs"/>
          <w:sz w:val="24"/>
          <w:szCs w:val="24"/>
          <w:rtl/>
        </w:rPr>
        <w:t>פיצוי כספי על אופן הטיפול בפניות המערער במשך שנים רבות.</w:t>
      </w:r>
    </w:p>
    <w:p w14:paraId="1B6EA79A" w14:textId="77777777" w:rsidR="004F210A" w:rsidRPr="009B5E2F" w:rsidRDefault="004F210A" w:rsidP="004F210A">
      <w:pPr>
        <w:pStyle w:val="a3"/>
        <w:numPr>
          <w:ilvl w:val="0"/>
          <w:numId w:val="5"/>
        </w:numPr>
        <w:spacing w:after="0" w:line="360" w:lineRule="auto"/>
        <w:rPr>
          <w:rFonts w:ascii="David" w:hAnsi="David" w:cs="David"/>
          <w:sz w:val="24"/>
          <w:szCs w:val="24"/>
        </w:rPr>
      </w:pPr>
      <w:r>
        <w:rPr>
          <w:rFonts w:ascii="David" w:hAnsi="David" w:cs="David" w:hint="cs"/>
          <w:sz w:val="24"/>
          <w:szCs w:val="24"/>
          <w:rtl/>
        </w:rPr>
        <w:t>קביעה כי לא חלה התיישנות על תביעה זו.</w:t>
      </w:r>
    </w:p>
    <w:p w14:paraId="2B44BFDB" w14:textId="77777777" w:rsidR="00D72ED9" w:rsidRPr="009B5E2F" w:rsidRDefault="00D72ED9" w:rsidP="00CB3C5A">
      <w:pPr>
        <w:spacing w:after="0" w:line="360" w:lineRule="auto"/>
        <w:rPr>
          <w:rFonts w:ascii="David" w:hAnsi="David" w:cs="David"/>
          <w:b/>
          <w:bCs/>
          <w:sz w:val="24"/>
          <w:szCs w:val="24"/>
          <w:u w:val="single"/>
          <w:rtl/>
        </w:rPr>
      </w:pPr>
    </w:p>
    <w:p w14:paraId="5DA24823" w14:textId="35B63CBC" w:rsidR="00D72ED9" w:rsidRPr="009B5E2F" w:rsidRDefault="00D72ED9" w:rsidP="00CB3C5A">
      <w:pPr>
        <w:spacing w:after="0" w:line="360" w:lineRule="auto"/>
        <w:rPr>
          <w:rFonts w:ascii="David" w:hAnsi="David" w:cs="David"/>
          <w:b/>
          <w:bCs/>
          <w:sz w:val="24"/>
          <w:szCs w:val="24"/>
          <w:u w:val="single"/>
          <w:rtl/>
        </w:rPr>
      </w:pPr>
      <w:r w:rsidRPr="009B5E2F">
        <w:rPr>
          <w:rFonts w:ascii="David" w:hAnsi="David" w:cs="David"/>
          <w:b/>
          <w:bCs/>
          <w:sz w:val="24"/>
          <w:szCs w:val="24"/>
          <w:u w:val="single"/>
          <w:rtl/>
        </w:rPr>
        <w:t>העובדות</w:t>
      </w:r>
    </w:p>
    <w:p w14:paraId="63CACC11" w14:textId="1DE7C0B0" w:rsidR="00AD7D3E" w:rsidRDefault="005378D5" w:rsidP="00914B97">
      <w:pPr>
        <w:pStyle w:val="a3"/>
        <w:numPr>
          <w:ilvl w:val="0"/>
          <w:numId w:val="4"/>
        </w:numPr>
        <w:spacing w:after="0" w:line="360" w:lineRule="auto"/>
        <w:jc w:val="both"/>
        <w:rPr>
          <w:rFonts w:ascii="David" w:hAnsi="David" w:cs="David"/>
          <w:sz w:val="24"/>
          <w:szCs w:val="24"/>
        </w:rPr>
      </w:pPr>
      <w:r w:rsidRPr="00914B97">
        <w:rPr>
          <w:rFonts w:ascii="David" w:hAnsi="David" w:cs="David"/>
          <w:sz w:val="24"/>
          <w:szCs w:val="24"/>
          <w:rtl/>
        </w:rPr>
        <w:t>התובע הועסק בשירות המדינה משנת 1970 עד שנת 1990 כעובד קבוע על פי כתב מינוי. בשנת 1990 שונה מעמדו והוא החל לעבוד על פי חוזה אישי (הסכם הבכירים</w:t>
      </w:r>
      <w:r w:rsidR="00F25091">
        <w:rPr>
          <w:rFonts w:ascii="David" w:hAnsi="David" w:cs="David" w:hint="cs"/>
          <w:sz w:val="24"/>
          <w:szCs w:val="24"/>
          <w:rtl/>
        </w:rPr>
        <w:t xml:space="preserve">- </w:t>
      </w:r>
      <w:r w:rsidR="00F25091">
        <w:rPr>
          <w:rFonts w:ascii="David" w:hAnsi="David" w:cs="David" w:hint="cs"/>
          <w:b/>
          <w:bCs/>
          <w:sz w:val="24"/>
          <w:szCs w:val="24"/>
          <w:rtl/>
        </w:rPr>
        <w:t>נספח 1</w:t>
      </w:r>
      <w:r w:rsidRPr="00914B97">
        <w:rPr>
          <w:rFonts w:ascii="David" w:hAnsi="David" w:cs="David"/>
          <w:sz w:val="24"/>
          <w:szCs w:val="24"/>
          <w:rtl/>
        </w:rPr>
        <w:t>). על פי חוזה זה המשיך בעבודתו עד תאריך 31.7.2012 ואז פרש לגימלאות.</w:t>
      </w:r>
      <w:r w:rsidR="00F25091">
        <w:rPr>
          <w:rFonts w:ascii="David" w:hAnsi="David" w:cs="David" w:hint="cs"/>
          <w:sz w:val="24"/>
          <w:szCs w:val="24"/>
          <w:rtl/>
        </w:rPr>
        <w:t xml:space="preserve"> בשנת .... קיבל פיצויים עבור שבע שנות עבודה לפי הסכם הבכירים באופן שנותרו לו זכויות גימלה עבור עשרים שנות עבודה לפי כתב מינוי ו-22 שנות עבודה על פי הסכם הבכירים.</w:t>
      </w:r>
    </w:p>
    <w:p w14:paraId="1B79DCCA" w14:textId="6E42000E" w:rsidR="00F25091" w:rsidRDefault="00F25091" w:rsidP="00F25091">
      <w:pPr>
        <w:pStyle w:val="a3"/>
        <w:numPr>
          <w:ilvl w:val="0"/>
          <w:numId w:val="4"/>
        </w:numPr>
        <w:spacing w:after="0" w:line="360" w:lineRule="auto"/>
        <w:jc w:val="both"/>
        <w:rPr>
          <w:rFonts w:ascii="David" w:hAnsi="David" w:cs="David"/>
          <w:sz w:val="24"/>
          <w:szCs w:val="24"/>
          <w:rtl/>
        </w:rPr>
      </w:pPr>
      <w:r>
        <w:rPr>
          <w:rFonts w:ascii="David" w:hAnsi="David" w:cs="David" w:hint="cs"/>
          <w:sz w:val="24"/>
          <w:szCs w:val="24"/>
          <w:rtl/>
        </w:rPr>
        <w:t>במשך כחצי שנה לא קיבל התובע כל גימלה ולאחר שפנה בכתב ובע"פ אל נש"מ ואל הממונה על הגמלאות ק</w:t>
      </w:r>
      <w:r w:rsidR="00E46E88">
        <w:rPr>
          <w:rFonts w:ascii="David" w:hAnsi="David" w:cs="David" w:hint="cs"/>
          <w:sz w:val="24"/>
          <w:szCs w:val="24"/>
          <w:rtl/>
        </w:rPr>
        <w:t>י</w:t>
      </w:r>
      <w:r>
        <w:rPr>
          <w:rFonts w:ascii="David" w:hAnsi="David" w:cs="David" w:hint="cs"/>
          <w:sz w:val="24"/>
          <w:szCs w:val="24"/>
          <w:rtl/>
        </w:rPr>
        <w:t>בל גימלה החל מחודש ...........</w:t>
      </w:r>
    </w:p>
    <w:p w14:paraId="413B395F" w14:textId="23BD9978" w:rsidR="002443EF" w:rsidRDefault="002443EF" w:rsidP="002443EF">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lastRenderedPageBreak/>
        <w:t>שיעור הקיצבה שנקבע לתובע נרשם לראשונה במכתב של מר הארונוב מנציבות שירות המדינה אל הגב' חנה ש</w:t>
      </w:r>
      <w:r w:rsidR="00443EA4">
        <w:rPr>
          <w:rFonts w:ascii="David" w:hAnsi="David" w:cs="David" w:hint="cs"/>
          <w:sz w:val="24"/>
          <w:szCs w:val="24"/>
          <w:rtl/>
        </w:rPr>
        <w:t>ו</w:t>
      </w:r>
      <w:r>
        <w:rPr>
          <w:rFonts w:ascii="David" w:hAnsi="David" w:cs="David" w:hint="cs"/>
          <w:sz w:val="24"/>
          <w:szCs w:val="24"/>
          <w:rtl/>
        </w:rPr>
        <w:t>ורץ במשרד האוצר בתאריך 21 אוגוסט 2012 (</w:t>
      </w:r>
      <w:r w:rsidRPr="002443EF">
        <w:rPr>
          <w:rFonts w:ascii="David" w:hAnsi="David" w:cs="David" w:hint="cs"/>
          <w:b/>
          <w:bCs/>
          <w:sz w:val="24"/>
          <w:szCs w:val="24"/>
          <w:rtl/>
        </w:rPr>
        <w:t xml:space="preserve">נספח </w:t>
      </w:r>
      <w:r w:rsidR="00F25091">
        <w:rPr>
          <w:rFonts w:ascii="David" w:hAnsi="David" w:cs="David" w:hint="cs"/>
          <w:b/>
          <w:bCs/>
          <w:sz w:val="24"/>
          <w:szCs w:val="24"/>
          <w:rtl/>
        </w:rPr>
        <w:t>2</w:t>
      </w:r>
      <w:r>
        <w:rPr>
          <w:rFonts w:ascii="David" w:hAnsi="David" w:cs="David" w:hint="cs"/>
          <w:sz w:val="24"/>
          <w:szCs w:val="24"/>
          <w:rtl/>
        </w:rPr>
        <w:t>). מכתב זה לא הגיע אל התובע.</w:t>
      </w:r>
    </w:p>
    <w:p w14:paraId="414D9BD4" w14:textId="7AFF0677" w:rsidR="002443EF"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לאחר קבלת הקיצבה ומכתבו של מר אהרונוב נוכח התובע לדעת כי קיצבתו חושבה בחסר וכי הוא זכאי לקיצבה גבוהה יותר.</w:t>
      </w:r>
    </w:p>
    <w:p w14:paraId="24A7FF9D" w14:textId="2609CEAC" w:rsidR="006A4DE7" w:rsidRDefault="006A4DE7" w:rsidP="002443EF">
      <w:pPr>
        <w:pStyle w:val="a3"/>
        <w:spacing w:after="0" w:line="360" w:lineRule="auto"/>
        <w:ind w:left="444"/>
        <w:jc w:val="both"/>
        <w:rPr>
          <w:rFonts w:ascii="David" w:hAnsi="David" w:cs="David"/>
          <w:sz w:val="24"/>
          <w:szCs w:val="24"/>
          <w:rtl/>
        </w:rPr>
      </w:pPr>
      <w:r>
        <w:rPr>
          <w:rFonts w:ascii="David" w:hAnsi="David" w:cs="David" w:hint="cs"/>
          <w:sz w:val="24"/>
          <w:szCs w:val="24"/>
          <w:rtl/>
        </w:rPr>
        <w:t>מכאן ואילך ועד לשנת 2019 פנה התובע פעמים רבות אל נש"מ ואל הממונה על הגימלאות אך כל פניותיו נענו בהתחמקות או בה</w:t>
      </w:r>
      <w:r w:rsidR="001A1C3A">
        <w:rPr>
          <w:rFonts w:ascii="David" w:hAnsi="David" w:cs="David" w:hint="cs"/>
          <w:sz w:val="24"/>
          <w:szCs w:val="24"/>
          <w:rtl/>
        </w:rPr>
        <w:t>ב</w:t>
      </w:r>
      <w:r>
        <w:rPr>
          <w:rFonts w:ascii="David" w:hAnsi="David" w:cs="David" w:hint="cs"/>
          <w:sz w:val="24"/>
          <w:szCs w:val="24"/>
          <w:rtl/>
        </w:rPr>
        <w:t>טחות "לבדוק את הנושא".</w:t>
      </w:r>
    </w:p>
    <w:p w14:paraId="6FB77D07" w14:textId="4C0A5D1E" w:rsidR="005378D5" w:rsidRPr="00D72ED9" w:rsidRDefault="005378D5" w:rsidP="002443EF">
      <w:pPr>
        <w:pStyle w:val="a3"/>
        <w:numPr>
          <w:ilvl w:val="0"/>
          <w:numId w:val="4"/>
        </w:numPr>
        <w:spacing w:after="0" w:line="360" w:lineRule="auto"/>
        <w:jc w:val="both"/>
        <w:rPr>
          <w:rFonts w:ascii="David" w:hAnsi="David" w:cs="David"/>
          <w:sz w:val="24"/>
          <w:szCs w:val="24"/>
          <w:rtl/>
        </w:rPr>
      </w:pPr>
      <w:r w:rsidRPr="00D72ED9">
        <w:rPr>
          <w:rFonts w:ascii="David" w:hAnsi="David" w:cs="David"/>
          <w:sz w:val="24"/>
          <w:szCs w:val="24"/>
          <w:rtl/>
        </w:rPr>
        <w:t xml:space="preserve">בתאריך 3.10.2019 הגיש התובע תביעה לבית הדין האיזורי לעבודה בירושלים </w:t>
      </w:r>
      <w:r w:rsidR="002443EF">
        <w:rPr>
          <w:rFonts w:ascii="David" w:hAnsi="David" w:cs="David" w:hint="cs"/>
          <w:sz w:val="24"/>
          <w:szCs w:val="24"/>
          <w:rtl/>
        </w:rPr>
        <w:t xml:space="preserve">בתיק זה </w:t>
      </w:r>
      <w:r w:rsidRPr="00D72ED9">
        <w:rPr>
          <w:rFonts w:ascii="David" w:hAnsi="David" w:cs="David"/>
          <w:sz w:val="24"/>
          <w:szCs w:val="24"/>
          <w:rtl/>
        </w:rPr>
        <w:t>בנושאים שונים הקשורים לסדרי פרישתו ולתנאי הפרישה. כל סעיפי התביעה נדחו בעיקר מטעמי התיישנות.</w:t>
      </w:r>
    </w:p>
    <w:p w14:paraId="47929653" w14:textId="001A3B3B" w:rsidR="005378D5" w:rsidRPr="00D72ED9" w:rsidRDefault="005378D5" w:rsidP="002443EF">
      <w:pPr>
        <w:spacing w:after="0" w:line="360" w:lineRule="auto"/>
        <w:ind w:left="444"/>
        <w:jc w:val="both"/>
        <w:rPr>
          <w:rFonts w:ascii="David" w:hAnsi="David" w:cs="David"/>
          <w:sz w:val="24"/>
          <w:szCs w:val="24"/>
          <w:rtl/>
        </w:rPr>
      </w:pPr>
      <w:r w:rsidRPr="00D72ED9">
        <w:rPr>
          <w:rFonts w:ascii="David" w:hAnsi="David" w:cs="David"/>
          <w:sz w:val="24"/>
          <w:szCs w:val="24"/>
          <w:rtl/>
        </w:rPr>
        <w:t>התובע הגיש ערעור לבית הדין הארצי ובפסק הדין של בית הדין הארצי מיום 12.10.2021 נקבע כי חלקים מערעורו נדחים ואילו חלקים אחרים יחזרו לדיון בבית הדין האיזורי</w:t>
      </w:r>
      <w:r w:rsidR="006A4DE7">
        <w:rPr>
          <w:rFonts w:ascii="David" w:hAnsi="David" w:cs="David" w:hint="cs"/>
          <w:sz w:val="24"/>
          <w:szCs w:val="24"/>
          <w:rtl/>
        </w:rPr>
        <w:t xml:space="preserve"> (</w:t>
      </w:r>
      <w:r w:rsidR="006A4DE7" w:rsidRPr="006A4DE7">
        <w:rPr>
          <w:rFonts w:ascii="David" w:hAnsi="David" w:cs="David" w:hint="cs"/>
          <w:b/>
          <w:bCs/>
          <w:sz w:val="24"/>
          <w:szCs w:val="24"/>
          <w:rtl/>
        </w:rPr>
        <w:t xml:space="preserve">נספח </w:t>
      </w:r>
      <w:r w:rsidR="00F25091">
        <w:rPr>
          <w:rFonts w:ascii="David" w:hAnsi="David" w:cs="David" w:hint="cs"/>
          <w:b/>
          <w:bCs/>
          <w:sz w:val="24"/>
          <w:szCs w:val="24"/>
          <w:rtl/>
        </w:rPr>
        <w:t>3</w:t>
      </w:r>
      <w:r w:rsidR="006A4DE7">
        <w:rPr>
          <w:rFonts w:ascii="David" w:hAnsi="David" w:cs="David" w:hint="cs"/>
          <w:sz w:val="24"/>
          <w:szCs w:val="24"/>
          <w:rtl/>
        </w:rPr>
        <w:t>)</w:t>
      </w:r>
      <w:r w:rsidRPr="00D72ED9">
        <w:rPr>
          <w:rFonts w:ascii="David" w:hAnsi="David" w:cs="David"/>
          <w:sz w:val="24"/>
          <w:szCs w:val="24"/>
          <w:rtl/>
        </w:rPr>
        <w:t>.</w:t>
      </w:r>
    </w:p>
    <w:p w14:paraId="1F6FBA89" w14:textId="1547C751" w:rsidR="005378D5" w:rsidRPr="00D72ED9" w:rsidRDefault="005378D5" w:rsidP="00914B97">
      <w:pPr>
        <w:pStyle w:val="a3"/>
        <w:numPr>
          <w:ilvl w:val="0"/>
          <w:numId w:val="4"/>
        </w:numPr>
        <w:spacing w:after="0" w:line="360" w:lineRule="auto"/>
        <w:ind w:left="368"/>
        <w:jc w:val="both"/>
        <w:rPr>
          <w:rFonts w:ascii="David" w:hAnsi="David" w:cs="David"/>
          <w:sz w:val="24"/>
          <w:szCs w:val="24"/>
          <w:rtl/>
        </w:rPr>
      </w:pPr>
      <w:r w:rsidRPr="00D72ED9">
        <w:rPr>
          <w:rFonts w:ascii="David" w:hAnsi="David" w:cs="David"/>
          <w:sz w:val="24"/>
          <w:szCs w:val="24"/>
          <w:rtl/>
        </w:rPr>
        <w:t xml:space="preserve">הנושאים שהוחזרו לדיון והכרעה בבית הדין האיזורי </w:t>
      </w:r>
      <w:r w:rsidR="00A7499F" w:rsidRPr="00D72ED9">
        <w:rPr>
          <w:rFonts w:ascii="David" w:hAnsi="David" w:cs="David"/>
          <w:sz w:val="24"/>
          <w:szCs w:val="24"/>
          <w:rtl/>
        </w:rPr>
        <w:t>הם:</w:t>
      </w:r>
    </w:p>
    <w:p w14:paraId="5EB11ADF" w14:textId="751CC7A2"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הנוסחה לחישוב המשכורת הקובעת לפי הסכם הבכירים.</w:t>
      </w:r>
    </w:p>
    <w:p w14:paraId="7C206131" w14:textId="13F225C5" w:rsidR="00A7499F" w:rsidRPr="00D72ED9" w:rsidRDefault="00A7499F" w:rsidP="006A4DE7">
      <w:pPr>
        <w:pStyle w:val="a3"/>
        <w:numPr>
          <w:ilvl w:val="0"/>
          <w:numId w:val="7"/>
        </w:numPr>
        <w:spacing w:after="0" w:line="360" w:lineRule="auto"/>
        <w:jc w:val="both"/>
        <w:rPr>
          <w:rFonts w:ascii="David" w:hAnsi="David" w:cs="David"/>
          <w:sz w:val="24"/>
          <w:szCs w:val="24"/>
        </w:rPr>
      </w:pPr>
      <w:r w:rsidRPr="00D72ED9">
        <w:rPr>
          <w:rFonts w:ascii="David" w:hAnsi="David" w:cs="David"/>
          <w:sz w:val="24"/>
          <w:szCs w:val="24"/>
          <w:rtl/>
        </w:rPr>
        <w:t>זכאות המערער לדרגת פרישה (ס' 33 של פסה"ד).</w:t>
      </w:r>
    </w:p>
    <w:p w14:paraId="4454DFB6" w14:textId="0939E390" w:rsidR="00A7499F" w:rsidRPr="00D72ED9" w:rsidRDefault="00A7499F" w:rsidP="00914B97">
      <w:pPr>
        <w:spacing w:after="0" w:line="360" w:lineRule="auto"/>
        <w:ind w:left="368"/>
        <w:jc w:val="both"/>
        <w:rPr>
          <w:rFonts w:ascii="David" w:hAnsi="David" w:cs="David"/>
          <w:sz w:val="24"/>
          <w:szCs w:val="24"/>
          <w:rtl/>
        </w:rPr>
      </w:pPr>
      <w:r w:rsidRPr="00D72ED9">
        <w:rPr>
          <w:rFonts w:ascii="David" w:hAnsi="David" w:cs="David"/>
          <w:sz w:val="24"/>
          <w:szCs w:val="24"/>
          <w:rtl/>
        </w:rPr>
        <w:t>בית הדין הארצי הוסיף כי בבירור שאלות אלה יש לבחון האם ההחלטות בנושא זה נתקבלו ע"י הממונה על הגמלאות על פי סמכותו בדין וכפופות להתיישנות שבחוק או שהן בסמכות נציב שירות המדינה וההתיישנות עליהן על פי חוק ההתיישנות היא זו שבדין.</w:t>
      </w:r>
    </w:p>
    <w:p w14:paraId="7F49DED7" w14:textId="13118DFF" w:rsidR="00E91402" w:rsidRPr="006A4DE7" w:rsidRDefault="00E91402" w:rsidP="006A4DE7">
      <w:pPr>
        <w:pStyle w:val="a3"/>
        <w:numPr>
          <w:ilvl w:val="0"/>
          <w:numId w:val="4"/>
        </w:numPr>
        <w:spacing w:after="0" w:line="360" w:lineRule="auto"/>
        <w:jc w:val="both"/>
        <w:rPr>
          <w:rFonts w:ascii="David" w:hAnsi="David" w:cs="David"/>
          <w:sz w:val="24"/>
          <w:szCs w:val="24"/>
          <w:rtl/>
        </w:rPr>
      </w:pPr>
      <w:r w:rsidRPr="006A4DE7">
        <w:rPr>
          <w:rFonts w:ascii="David" w:hAnsi="David" w:cs="David"/>
          <w:sz w:val="24"/>
          <w:szCs w:val="24"/>
          <w:rtl/>
        </w:rPr>
        <w:t>בנוסף לנושאים אלה החזיר בית הדין הארצי לכב' בית דין זה גם סמכות לדון בתביעה לפיצוי כספי בעניין אופן הטיפול בפניותיו של התובע לרשויות השונות בנושא תנאי פרישתו (ס' 50 של פס' הדין הארצי).</w:t>
      </w:r>
    </w:p>
    <w:p w14:paraId="6421248F" w14:textId="665FEED4" w:rsidR="00A7499F" w:rsidRDefault="00A7499F" w:rsidP="006A4DE7">
      <w:pPr>
        <w:pStyle w:val="a3"/>
        <w:numPr>
          <w:ilvl w:val="0"/>
          <w:numId w:val="4"/>
        </w:numPr>
        <w:spacing w:after="0" w:line="360" w:lineRule="auto"/>
        <w:ind w:left="368"/>
        <w:jc w:val="both"/>
        <w:rPr>
          <w:rFonts w:ascii="David" w:hAnsi="David" w:cs="David"/>
          <w:sz w:val="24"/>
          <w:szCs w:val="24"/>
        </w:rPr>
      </w:pPr>
      <w:r w:rsidRPr="00E91402">
        <w:rPr>
          <w:rFonts w:ascii="David" w:hAnsi="David" w:cs="David"/>
          <w:sz w:val="24"/>
          <w:szCs w:val="24"/>
          <w:rtl/>
        </w:rPr>
        <w:t xml:space="preserve">על יסוד פסק דין זה חוזר התובע אל בית הדין </w:t>
      </w:r>
      <w:r w:rsidR="006A4DE7">
        <w:rPr>
          <w:rFonts w:ascii="David" w:hAnsi="David" w:cs="David" w:hint="cs"/>
          <w:sz w:val="24"/>
          <w:szCs w:val="24"/>
          <w:rtl/>
        </w:rPr>
        <w:t>נכבד זה</w:t>
      </w:r>
      <w:r w:rsidRPr="00E91402">
        <w:rPr>
          <w:rFonts w:ascii="David" w:hAnsi="David" w:cs="David"/>
          <w:sz w:val="24"/>
          <w:szCs w:val="24"/>
          <w:rtl/>
        </w:rPr>
        <w:t xml:space="preserve"> ומבקש להכריע בשאלות שקבע בית הדין הארצי.</w:t>
      </w:r>
    </w:p>
    <w:p w14:paraId="65FFDB22" w14:textId="77777777" w:rsidR="001B0264" w:rsidRDefault="001B0264" w:rsidP="001B0264">
      <w:pPr>
        <w:pStyle w:val="a3"/>
        <w:spacing w:after="0" w:line="360" w:lineRule="auto"/>
        <w:jc w:val="both"/>
        <w:rPr>
          <w:rFonts w:ascii="David" w:hAnsi="David" w:cs="David"/>
          <w:sz w:val="24"/>
          <w:szCs w:val="24"/>
        </w:rPr>
      </w:pPr>
    </w:p>
    <w:p w14:paraId="017C5649" w14:textId="79A4C21D" w:rsidR="00E91402" w:rsidRPr="001B0264" w:rsidRDefault="001B0264" w:rsidP="00E91402">
      <w:pPr>
        <w:spacing w:after="0" w:line="360" w:lineRule="auto"/>
        <w:ind w:left="360"/>
        <w:jc w:val="both"/>
        <w:rPr>
          <w:rFonts w:ascii="David" w:hAnsi="David" w:cs="David"/>
          <w:b/>
          <w:bCs/>
          <w:sz w:val="24"/>
          <w:szCs w:val="24"/>
          <w:u w:val="single"/>
          <w:rtl/>
        </w:rPr>
      </w:pPr>
      <w:r w:rsidRPr="001B0264">
        <w:rPr>
          <w:rFonts w:ascii="David" w:hAnsi="David" w:cs="David" w:hint="cs"/>
          <w:b/>
          <w:bCs/>
          <w:sz w:val="24"/>
          <w:szCs w:val="24"/>
          <w:u w:val="single"/>
          <w:rtl/>
        </w:rPr>
        <w:t>הטיעונים המשפטיים</w:t>
      </w:r>
    </w:p>
    <w:p w14:paraId="3FFA22AD" w14:textId="5AC06568" w:rsidR="000F4D9F" w:rsidRDefault="000F4D9F"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כאמור, הנתונים הקובעים את שיעור גימלתו של התובע נקבעו לראשונה במכתבו של מר אהרונוב</w:t>
      </w:r>
      <w:r w:rsidR="00C20DA4">
        <w:rPr>
          <w:rFonts w:ascii="David" w:hAnsi="David" w:cs="David" w:hint="cs"/>
          <w:sz w:val="24"/>
          <w:szCs w:val="24"/>
          <w:rtl/>
        </w:rPr>
        <w:t xml:space="preserve"> מנש"מ</w:t>
      </w:r>
      <w:r>
        <w:rPr>
          <w:rFonts w:ascii="David" w:hAnsi="David" w:cs="David" w:hint="cs"/>
          <w:sz w:val="24"/>
          <w:szCs w:val="24"/>
          <w:rtl/>
        </w:rPr>
        <w:t xml:space="preserve"> אל משרד האוצר ביום 21.8.12</w:t>
      </w:r>
      <w:r w:rsidR="00C20DA4">
        <w:rPr>
          <w:rFonts w:ascii="David" w:hAnsi="David" w:cs="David" w:hint="cs"/>
          <w:sz w:val="24"/>
          <w:szCs w:val="24"/>
          <w:rtl/>
        </w:rPr>
        <w:t xml:space="preserve"> (</w:t>
      </w:r>
      <w:r w:rsidR="00C20DA4">
        <w:rPr>
          <w:rFonts w:ascii="David" w:hAnsi="David" w:cs="David" w:hint="cs"/>
          <w:b/>
          <w:bCs/>
          <w:sz w:val="24"/>
          <w:szCs w:val="24"/>
          <w:rtl/>
        </w:rPr>
        <w:t>נספח 2</w:t>
      </w:r>
      <w:r w:rsidR="00C20DA4">
        <w:rPr>
          <w:rFonts w:ascii="David" w:hAnsi="David" w:cs="David" w:hint="cs"/>
          <w:sz w:val="24"/>
          <w:szCs w:val="24"/>
          <w:rtl/>
        </w:rPr>
        <w:t>)</w:t>
      </w:r>
      <w:r>
        <w:rPr>
          <w:rFonts w:ascii="David" w:hAnsi="David" w:cs="David" w:hint="cs"/>
          <w:sz w:val="24"/>
          <w:szCs w:val="24"/>
          <w:rtl/>
        </w:rPr>
        <w:t>.</w:t>
      </w:r>
    </w:p>
    <w:p w14:paraId="5D1B2B39" w14:textId="37A0ADD8" w:rsidR="000F4D9F" w:rsidRDefault="000F4D9F"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 xml:space="preserve">מכתב זה היה הבסיס והיסוד לכל ההחלטות </w:t>
      </w:r>
      <w:r w:rsidR="00C20DA4">
        <w:rPr>
          <w:rFonts w:ascii="David" w:hAnsi="David" w:cs="David" w:hint="cs"/>
          <w:sz w:val="24"/>
          <w:szCs w:val="24"/>
          <w:rtl/>
        </w:rPr>
        <w:t xml:space="preserve">והחישובים שקבע </w:t>
      </w:r>
      <w:r>
        <w:rPr>
          <w:rFonts w:ascii="David" w:hAnsi="David" w:cs="David" w:hint="cs"/>
          <w:sz w:val="24"/>
          <w:szCs w:val="24"/>
          <w:rtl/>
        </w:rPr>
        <w:t>בהמשך הממונה על הגימלאות ובהתאם לנתוני</w:t>
      </w:r>
      <w:r w:rsidR="00C20DA4">
        <w:rPr>
          <w:rFonts w:ascii="David" w:hAnsi="David" w:cs="David" w:hint="cs"/>
          <w:sz w:val="24"/>
          <w:szCs w:val="24"/>
          <w:rtl/>
        </w:rPr>
        <w:t xml:space="preserve"> נש"מ</w:t>
      </w:r>
      <w:r>
        <w:rPr>
          <w:rFonts w:ascii="David" w:hAnsi="David" w:cs="David" w:hint="cs"/>
          <w:sz w:val="24"/>
          <w:szCs w:val="24"/>
          <w:rtl/>
        </w:rPr>
        <w:t xml:space="preserve"> חושבה ושולמה מאז גימלתו.</w:t>
      </w:r>
    </w:p>
    <w:p w14:paraId="2A3A0DA3" w14:textId="5D56F035" w:rsidR="00C20DA4" w:rsidRDefault="00C20DA4" w:rsidP="000F4D9F">
      <w:pPr>
        <w:pStyle w:val="a3"/>
        <w:spacing w:after="0" w:line="360" w:lineRule="auto"/>
        <w:ind w:left="444"/>
        <w:jc w:val="both"/>
        <w:rPr>
          <w:rFonts w:ascii="David" w:hAnsi="David" w:cs="David"/>
          <w:sz w:val="24"/>
          <w:szCs w:val="24"/>
          <w:rtl/>
        </w:rPr>
      </w:pPr>
      <w:r>
        <w:rPr>
          <w:rFonts w:ascii="David" w:hAnsi="David" w:cs="David" w:hint="cs"/>
          <w:sz w:val="24"/>
          <w:szCs w:val="24"/>
          <w:rtl/>
        </w:rPr>
        <w:t>מכתבו של מר אהרונוב הוא גם מוקד השגותיו של התובע על דרך חישוב גימלתו. התובע חולק על קביעתו (ס' 3) כי המשכורת הקובעת תהיה עפ"י דרגה 44+ וכן על נוסחת החישוב שנרשמה בס' 4.</w:t>
      </w:r>
    </w:p>
    <w:p w14:paraId="6822AA03" w14:textId="53409A18" w:rsidR="000F4D9F" w:rsidRDefault="000F4D9F" w:rsidP="00C20D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למכתב </w:t>
      </w:r>
      <w:r w:rsidR="0011087B">
        <w:rPr>
          <w:rFonts w:ascii="David" w:hAnsi="David" w:cs="David" w:hint="cs"/>
          <w:sz w:val="24"/>
          <w:szCs w:val="24"/>
          <w:rtl/>
        </w:rPr>
        <w:t xml:space="preserve">זה </w:t>
      </w:r>
      <w:r w:rsidR="00C20DA4">
        <w:rPr>
          <w:rFonts w:ascii="David" w:hAnsi="David" w:cs="David" w:hint="cs"/>
          <w:sz w:val="24"/>
          <w:szCs w:val="24"/>
          <w:rtl/>
        </w:rPr>
        <w:t xml:space="preserve">גם </w:t>
      </w:r>
      <w:r w:rsidR="0011087B">
        <w:rPr>
          <w:rFonts w:ascii="David" w:hAnsi="David" w:cs="David" w:hint="cs"/>
          <w:sz w:val="24"/>
          <w:szCs w:val="24"/>
          <w:rtl/>
        </w:rPr>
        <w:t>משמעות לשאלת התיישנות תביעתו. מן המכתב ומהצעדים וההתכתבויות בעקבותיו עולה בבירור כי זכויות התובע נקבעו ונוסחו על ידי נציב שירות המדינה וכי תקופת ההתיישנות של תביעתו צרכה להיקבע על פי נתון ראשוני זה.</w:t>
      </w:r>
    </w:p>
    <w:p w14:paraId="70647F28" w14:textId="6517E201" w:rsidR="00443EA4" w:rsidRDefault="00443EA4" w:rsidP="00443EA4">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מסקנה זו מתאשרת גם במכתבה של הגב' חנה שוורץ, מנהלת תחום הגימלאות בחשב הכללי, מיום 10 דצמבר 2012, שבו היא מציינת בס' 1 ואף מדגישה כי קיצבת הפרישה עפ"י ס' 20 לחוק, בשיעור של 70% מהמשכורת הקובעת של חוזה בכירים, בהתאם לאישור נש"מ מיום </w:t>
      </w:r>
      <w:r>
        <w:rPr>
          <w:rFonts w:ascii="David" w:hAnsi="David" w:cs="David" w:hint="cs"/>
          <w:sz w:val="24"/>
          <w:szCs w:val="24"/>
          <w:rtl/>
        </w:rPr>
        <w:lastRenderedPageBreak/>
        <w:t>21.8.2012 ... (</w:t>
      </w:r>
      <w:r w:rsidRPr="00C80962">
        <w:rPr>
          <w:rFonts w:ascii="David" w:hAnsi="David" w:cs="David" w:hint="cs"/>
          <w:b/>
          <w:bCs/>
          <w:sz w:val="24"/>
          <w:szCs w:val="24"/>
          <w:rtl/>
        </w:rPr>
        <w:t xml:space="preserve">נספח </w:t>
      </w:r>
      <w:r w:rsidR="006C1520">
        <w:rPr>
          <w:rFonts w:ascii="David" w:hAnsi="David" w:cs="David" w:hint="cs"/>
          <w:b/>
          <w:bCs/>
          <w:sz w:val="24"/>
          <w:szCs w:val="24"/>
          <w:rtl/>
        </w:rPr>
        <w:t>2</w:t>
      </w:r>
      <w:r>
        <w:rPr>
          <w:rFonts w:ascii="David" w:hAnsi="David" w:cs="David" w:hint="cs"/>
          <w:sz w:val="24"/>
          <w:szCs w:val="24"/>
          <w:rtl/>
        </w:rPr>
        <w:t>) כלומר מכתבו של מר אהרונוב הוא הבסיס להליכים שנקט הממונה על הגימלאות.</w:t>
      </w:r>
    </w:p>
    <w:p w14:paraId="65E425AE" w14:textId="040A0A33" w:rsidR="001B0264" w:rsidRDefault="001B0264" w:rsidP="001B0264">
      <w:pPr>
        <w:pStyle w:val="a3"/>
        <w:numPr>
          <w:ilvl w:val="0"/>
          <w:numId w:val="4"/>
        </w:numPr>
        <w:spacing w:after="0" w:line="360" w:lineRule="auto"/>
        <w:jc w:val="both"/>
        <w:rPr>
          <w:rFonts w:ascii="David" w:hAnsi="David" w:cs="David"/>
          <w:sz w:val="24"/>
          <w:szCs w:val="24"/>
        </w:rPr>
      </w:pPr>
      <w:r w:rsidRPr="0011087B">
        <w:rPr>
          <w:rFonts w:ascii="David" w:hAnsi="David" w:cs="David" w:hint="cs"/>
          <w:sz w:val="24"/>
          <w:szCs w:val="24"/>
          <w:rtl/>
        </w:rPr>
        <w:t>התובע חולק על האמור בס' 3 של המכתב שקבע כי משכורתו עד לתאריך 31.3.1990 תהיה עפ"י דרגה 44+. התובע סבור כי היה צורך לקבוע שדרגת הפרישה היא 46+ שהיא הדרגה העליונה בשיא הותק.</w:t>
      </w:r>
    </w:p>
    <w:p w14:paraId="10360C4A" w14:textId="1A856809" w:rsidR="00EF6047" w:rsidRDefault="00EF6047" w:rsidP="00EF6047">
      <w:pPr>
        <w:spacing w:after="0" w:line="360" w:lineRule="auto"/>
        <w:jc w:val="both"/>
        <w:rPr>
          <w:rFonts w:ascii="David" w:hAnsi="David" w:cs="David"/>
          <w:sz w:val="24"/>
          <w:szCs w:val="24"/>
          <w:rtl/>
        </w:rPr>
      </w:pPr>
    </w:p>
    <w:p w14:paraId="6CD1DDB9" w14:textId="77777777" w:rsidR="00EF6047" w:rsidRPr="00EF6047" w:rsidRDefault="00EF6047" w:rsidP="00EF6047">
      <w:pPr>
        <w:pStyle w:val="a3"/>
        <w:spacing w:after="0" w:line="360" w:lineRule="auto"/>
        <w:ind w:left="444"/>
        <w:jc w:val="both"/>
        <w:rPr>
          <w:rFonts w:ascii="David" w:hAnsi="David" w:cs="David"/>
          <w:b/>
          <w:bCs/>
          <w:sz w:val="24"/>
          <w:szCs w:val="24"/>
          <w:u w:val="single"/>
        </w:rPr>
      </w:pPr>
      <w:r>
        <w:rPr>
          <w:rFonts w:ascii="David" w:hAnsi="David" w:cs="David" w:hint="cs"/>
          <w:b/>
          <w:bCs/>
          <w:sz w:val="24"/>
          <w:szCs w:val="24"/>
          <w:u w:val="single"/>
          <w:rtl/>
        </w:rPr>
        <w:t>ואלה נימוקי התביעה:</w:t>
      </w:r>
    </w:p>
    <w:p w14:paraId="27071A66" w14:textId="2D6919E8" w:rsidR="001B0264" w:rsidRDefault="00EF6047"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w:t>
      </w:r>
      <w:r w:rsidR="001B0264">
        <w:rPr>
          <w:rFonts w:ascii="David" w:hAnsi="David" w:cs="David" w:hint="cs"/>
          <w:sz w:val="24"/>
          <w:szCs w:val="24"/>
          <w:rtl/>
        </w:rPr>
        <w:t>ס' 12א' בהסכם הבכירים עליו חתם התובע (</w:t>
      </w:r>
      <w:r w:rsidR="001B0264" w:rsidRPr="001B0264">
        <w:rPr>
          <w:rFonts w:ascii="David" w:hAnsi="David" w:cs="David" w:hint="cs"/>
          <w:b/>
          <w:bCs/>
          <w:sz w:val="24"/>
          <w:szCs w:val="24"/>
          <w:rtl/>
        </w:rPr>
        <w:t xml:space="preserve">נספח </w:t>
      </w:r>
      <w:r>
        <w:rPr>
          <w:rFonts w:ascii="David" w:hAnsi="David" w:cs="David" w:hint="cs"/>
          <w:b/>
          <w:bCs/>
          <w:sz w:val="24"/>
          <w:szCs w:val="24"/>
          <w:rtl/>
        </w:rPr>
        <w:t>1</w:t>
      </w:r>
      <w:r w:rsidR="00C80962">
        <w:rPr>
          <w:rFonts w:ascii="David" w:hAnsi="David" w:cs="David" w:hint="cs"/>
          <w:b/>
          <w:bCs/>
          <w:sz w:val="24"/>
          <w:szCs w:val="24"/>
          <w:rtl/>
        </w:rPr>
        <w:t>)</w:t>
      </w:r>
      <w:r w:rsidRPr="00EF6047">
        <w:rPr>
          <w:rFonts w:ascii="David" w:hAnsi="David" w:cs="David" w:hint="cs"/>
          <w:sz w:val="24"/>
          <w:szCs w:val="24"/>
          <w:rtl/>
        </w:rPr>
        <w:t xml:space="preserve"> </w:t>
      </w:r>
      <w:r>
        <w:rPr>
          <w:rFonts w:ascii="David" w:hAnsi="David" w:cs="David" w:hint="cs"/>
          <w:sz w:val="24"/>
          <w:szCs w:val="24"/>
          <w:rtl/>
        </w:rPr>
        <w:t>(צוטט בפסה"ד של ביה"ד הארצי בע' 7)</w:t>
      </w:r>
      <w:r>
        <w:rPr>
          <w:rFonts w:ascii="David" w:hAnsi="David" w:cs="David" w:hint="cs"/>
          <w:b/>
          <w:bCs/>
          <w:sz w:val="24"/>
          <w:szCs w:val="24"/>
          <w:rtl/>
        </w:rPr>
        <w:t>,</w:t>
      </w:r>
      <w:r w:rsidR="00C80962">
        <w:rPr>
          <w:rFonts w:ascii="David" w:hAnsi="David" w:cs="David" w:hint="cs"/>
          <w:b/>
          <w:bCs/>
          <w:sz w:val="24"/>
          <w:szCs w:val="24"/>
          <w:rtl/>
        </w:rPr>
        <w:t xml:space="preserve"> </w:t>
      </w:r>
      <w:r w:rsidR="001B0264">
        <w:rPr>
          <w:rFonts w:ascii="David" w:hAnsi="David" w:cs="David" w:hint="cs"/>
          <w:sz w:val="24"/>
          <w:szCs w:val="24"/>
          <w:rtl/>
        </w:rPr>
        <w:t>נכתב כי לעובד היתה דרגה 12 בעת חתימתו על ההסכם, דרגה שהיתה אחת לפני השיא.</w:t>
      </w:r>
    </w:p>
    <w:p w14:paraId="64F1ABD3" w14:textId="5D0FC64B" w:rsidR="0037502D" w:rsidRPr="00C80962" w:rsidRDefault="001B0264"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 xml:space="preserve">בעת פרישתו כבר לא היתה קיימת דרגה 12 ובסולם הדרגות הדרגה שלפני </w:t>
      </w:r>
      <w:r w:rsidR="0037502D" w:rsidRPr="00C80962">
        <w:rPr>
          <w:rFonts w:ascii="David" w:hAnsi="David" w:cs="David" w:hint="cs"/>
          <w:sz w:val="24"/>
          <w:szCs w:val="24"/>
          <w:rtl/>
        </w:rPr>
        <w:t>היתה 45, אולם בעת פרישתו כבר היה התובע בתפקיד "חשב בכיר" ובהתאם לס' 12 א' 2 ב' של הסכם הבכירים היה זכאי לתקן של "דרגת שיא" "</w:t>
      </w:r>
      <w:r w:rsidR="0037502D" w:rsidRPr="00C80962">
        <w:rPr>
          <w:rFonts w:ascii="David" w:hAnsi="David" w:cs="David" w:hint="cs"/>
          <w:b/>
          <w:bCs/>
          <w:sz w:val="24"/>
          <w:szCs w:val="24"/>
          <w:rtl/>
        </w:rPr>
        <w:t>כפי שיהיה ערב פרישתו מהשירות</w:t>
      </w:r>
      <w:r w:rsidR="0037502D" w:rsidRPr="00C80962">
        <w:rPr>
          <w:rFonts w:ascii="David" w:hAnsi="David" w:cs="David" w:hint="cs"/>
          <w:sz w:val="24"/>
          <w:szCs w:val="24"/>
          <w:rtl/>
        </w:rPr>
        <w:t>".</w:t>
      </w:r>
      <w:r w:rsidR="00C80962">
        <w:rPr>
          <w:rFonts w:ascii="David" w:hAnsi="David" w:cs="David" w:hint="cs"/>
          <w:sz w:val="24"/>
          <w:szCs w:val="24"/>
          <w:rtl/>
        </w:rPr>
        <w:t xml:space="preserve"> דרגת השיא בעת פרישתו מהשירות ובהתאם לתפקידו היתה 46+. </w:t>
      </w:r>
    </w:p>
    <w:p w14:paraId="7B7581C4" w14:textId="20B42547"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להשלמת טענה זו יוסיף התובע את העובדה שבכל תלושי המשכורת שלו בתקופת "הסכם הבכירים" בטור "נתוני עזר" "ברוטו לכתב מינוי" והסכום הרשום היה בהתאם לס' 46+. בנוסף ניכו משכרו 2% השתתפות במימון הוצאות פנסיה, ו</w:t>
      </w:r>
      <w:r w:rsidR="00C80962">
        <w:rPr>
          <w:rFonts w:ascii="David" w:hAnsi="David" w:cs="David" w:hint="cs"/>
          <w:sz w:val="24"/>
          <w:szCs w:val="24"/>
          <w:rtl/>
        </w:rPr>
        <w:t xml:space="preserve">גם </w:t>
      </w:r>
      <w:r>
        <w:rPr>
          <w:rFonts w:ascii="David" w:hAnsi="David" w:cs="David" w:hint="cs"/>
          <w:sz w:val="24"/>
          <w:szCs w:val="24"/>
          <w:rtl/>
        </w:rPr>
        <w:t>ניכוי זה נעשה לפי דרגה 46+ בשיא הותק</w:t>
      </w:r>
      <w:r w:rsidR="00C80962">
        <w:rPr>
          <w:rFonts w:ascii="David" w:hAnsi="David" w:cs="David" w:hint="cs"/>
          <w:sz w:val="24"/>
          <w:szCs w:val="24"/>
          <w:rtl/>
        </w:rPr>
        <w:t xml:space="preserve"> (</w:t>
      </w:r>
      <w:r w:rsidR="00C80962" w:rsidRPr="00C80962">
        <w:rPr>
          <w:rFonts w:ascii="David" w:hAnsi="David" w:cs="David" w:hint="cs"/>
          <w:b/>
          <w:bCs/>
          <w:sz w:val="24"/>
          <w:szCs w:val="24"/>
          <w:rtl/>
        </w:rPr>
        <w:t xml:space="preserve">נספח </w:t>
      </w:r>
      <w:r w:rsidR="00C80962">
        <w:rPr>
          <w:rFonts w:ascii="David" w:hAnsi="David" w:cs="David" w:hint="cs"/>
          <w:b/>
          <w:bCs/>
          <w:sz w:val="24"/>
          <w:szCs w:val="24"/>
          <w:rtl/>
        </w:rPr>
        <w:t>5</w:t>
      </w:r>
      <w:r w:rsidR="00C80962" w:rsidRPr="00C80962">
        <w:rPr>
          <w:rFonts w:ascii="David" w:hAnsi="David" w:cs="David" w:hint="cs"/>
          <w:b/>
          <w:bCs/>
          <w:sz w:val="24"/>
          <w:szCs w:val="24"/>
          <w:rtl/>
        </w:rPr>
        <w:t xml:space="preserve"> </w:t>
      </w:r>
      <w:r w:rsidR="006C1520">
        <w:rPr>
          <w:rFonts w:ascii="David" w:hAnsi="David" w:cs="David" w:hint="cs"/>
          <w:b/>
          <w:bCs/>
          <w:sz w:val="24"/>
          <w:szCs w:val="24"/>
          <w:rtl/>
        </w:rPr>
        <w:t xml:space="preserve">- </w:t>
      </w:r>
      <w:r w:rsidR="00C80962" w:rsidRPr="00C80962">
        <w:rPr>
          <w:rFonts w:ascii="David" w:hAnsi="David" w:cs="David" w:hint="cs"/>
          <w:b/>
          <w:bCs/>
          <w:sz w:val="24"/>
          <w:szCs w:val="24"/>
          <w:rtl/>
        </w:rPr>
        <w:t>תלוש שכר מחודש ...</w:t>
      </w:r>
      <w:r w:rsidRPr="00C80962">
        <w:rPr>
          <w:rFonts w:ascii="David" w:hAnsi="David" w:cs="David" w:hint="cs"/>
          <w:b/>
          <w:bCs/>
          <w:sz w:val="24"/>
          <w:szCs w:val="24"/>
          <w:rtl/>
        </w:rPr>
        <w:t>.</w:t>
      </w:r>
      <w:r w:rsidR="00C80962">
        <w:rPr>
          <w:rFonts w:ascii="David" w:hAnsi="David" w:cs="David" w:hint="cs"/>
          <w:sz w:val="24"/>
          <w:szCs w:val="24"/>
          <w:rtl/>
        </w:rPr>
        <w:t>)</w:t>
      </w:r>
    </w:p>
    <w:p w14:paraId="00C62CA0" w14:textId="7C4DBECD" w:rsidR="0037502D" w:rsidRPr="00C80962" w:rsidRDefault="0037502D" w:rsidP="00C80962">
      <w:pPr>
        <w:spacing w:after="0" w:line="360" w:lineRule="auto"/>
        <w:ind w:left="444"/>
        <w:jc w:val="both"/>
        <w:rPr>
          <w:rFonts w:ascii="David" w:hAnsi="David" w:cs="David"/>
          <w:sz w:val="24"/>
          <w:szCs w:val="24"/>
        </w:rPr>
      </w:pPr>
      <w:r w:rsidRPr="00C80962">
        <w:rPr>
          <w:rFonts w:ascii="David" w:hAnsi="David" w:cs="David" w:hint="cs"/>
          <w:sz w:val="24"/>
          <w:szCs w:val="24"/>
          <w:rtl/>
        </w:rPr>
        <w:t>כדי להוכיח את מעמדו של התובע כ"חשב בכיר" מצ"ב מכתב של המשנה לנציב שירות המדינה מתאריך 24.1.2005 המאשר את זכויות הובע כ"חשב בכיר" לכל דבר ועניין (</w:t>
      </w:r>
      <w:r w:rsidRPr="00C80962">
        <w:rPr>
          <w:rFonts w:ascii="David" w:hAnsi="David" w:cs="David" w:hint="cs"/>
          <w:b/>
          <w:bCs/>
          <w:sz w:val="24"/>
          <w:szCs w:val="24"/>
          <w:rtl/>
        </w:rPr>
        <w:t xml:space="preserve">נספח </w:t>
      </w:r>
      <w:r w:rsidR="00C80962">
        <w:rPr>
          <w:rFonts w:ascii="David" w:hAnsi="David" w:cs="David" w:hint="cs"/>
          <w:b/>
          <w:bCs/>
          <w:sz w:val="24"/>
          <w:szCs w:val="24"/>
          <w:rtl/>
        </w:rPr>
        <w:t>6</w:t>
      </w:r>
      <w:r w:rsidRPr="00C80962">
        <w:rPr>
          <w:rFonts w:ascii="David" w:hAnsi="David" w:cs="David" w:hint="cs"/>
          <w:sz w:val="24"/>
          <w:szCs w:val="24"/>
          <w:rtl/>
        </w:rPr>
        <w:t>).</w:t>
      </w:r>
    </w:p>
    <w:p w14:paraId="686CD8CF" w14:textId="372A4A49"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בס' 4 של מכתבו של מר אהרונוב מפורטת בטבלה שיטת חישוב הגימ</w:t>
      </w:r>
      <w:r w:rsidR="00C80962">
        <w:rPr>
          <w:rFonts w:ascii="David" w:hAnsi="David" w:cs="David" w:hint="cs"/>
          <w:sz w:val="24"/>
          <w:szCs w:val="24"/>
          <w:rtl/>
        </w:rPr>
        <w:t>ל</w:t>
      </w:r>
      <w:r>
        <w:rPr>
          <w:rFonts w:ascii="David" w:hAnsi="David" w:cs="David" w:hint="cs"/>
          <w:sz w:val="24"/>
          <w:szCs w:val="24"/>
          <w:rtl/>
        </w:rPr>
        <w:t>ה של התובע "</w:t>
      </w:r>
      <w:r>
        <w:rPr>
          <w:rFonts w:ascii="David" w:hAnsi="David" w:cs="David" w:hint="cs"/>
          <w:b/>
          <w:bCs/>
          <w:sz w:val="24"/>
          <w:szCs w:val="24"/>
          <w:rtl/>
        </w:rPr>
        <w:t>עפ"י ממוצע חשבוני משוקלל שבין המשכורת הקובעת בס' 2 לעיל",</w:t>
      </w:r>
      <w:r>
        <w:rPr>
          <w:rFonts w:ascii="David" w:hAnsi="David" w:cs="David" w:hint="cs"/>
          <w:sz w:val="24"/>
          <w:szCs w:val="24"/>
          <w:rtl/>
        </w:rPr>
        <w:t xml:space="preserve"> כלומר מחושב ממוצע בין המשכורת בתקופת המינוי לבין המשכורת בתקופת ההסכם. הוראה זו של נש"מ עומדת בניגוד מוחלט להוראת ס' 12ב' בהסכם הבכירים הקובעת: "</w:t>
      </w:r>
      <w:r>
        <w:rPr>
          <w:rFonts w:ascii="David" w:hAnsi="David" w:cs="David" w:hint="cs"/>
          <w:b/>
          <w:bCs/>
          <w:sz w:val="24"/>
          <w:szCs w:val="24"/>
          <w:rtl/>
        </w:rPr>
        <w:t>המשכורת הקובעת שעל בסיסה תשולם קיצבתו של העובד עבור תקופת עבודה בחוזה מיוחד זה, תהיה המשכורת הכוללת לפי ס' 6 לעיל וכפי שתעודכן לפי ס' 8 לעיל"</w:t>
      </w:r>
      <w:r>
        <w:rPr>
          <w:rFonts w:ascii="David" w:hAnsi="David" w:cs="David" w:hint="cs"/>
          <w:sz w:val="24"/>
          <w:szCs w:val="24"/>
          <w:rtl/>
        </w:rPr>
        <w:t xml:space="preserve">. </w:t>
      </w:r>
    </w:p>
    <w:p w14:paraId="2181EFFD" w14:textId="6B993B80" w:rsidR="0037502D" w:rsidRDefault="0037502D"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 xml:space="preserve">התובע עבד 20.3 שנים בכתב מינוי ו-22.3 שנים בהסכם בכירים. שיטת החישוב במכתבו של מר אהרונוב מנש"מ </w:t>
      </w:r>
      <w:r w:rsidR="00FB67D0">
        <w:rPr>
          <w:rFonts w:ascii="David" w:hAnsi="David" w:cs="David" w:hint="cs"/>
          <w:sz w:val="24"/>
          <w:szCs w:val="24"/>
          <w:rtl/>
        </w:rPr>
        <w:t>מקנה ערך שנים כמעט שווה לתקופת המינוי ולתקופת ההסכם.</w:t>
      </w:r>
    </w:p>
    <w:p w14:paraId="64EF7910" w14:textId="6C007BB8" w:rsidR="00FB67D0" w:rsidRDefault="00FB67D0" w:rsidP="00512CA9">
      <w:pPr>
        <w:spacing w:after="0" w:line="360" w:lineRule="auto"/>
        <w:ind w:left="444"/>
        <w:jc w:val="both"/>
        <w:rPr>
          <w:rFonts w:ascii="David" w:hAnsi="David" w:cs="David"/>
          <w:sz w:val="24"/>
          <w:szCs w:val="24"/>
          <w:rtl/>
        </w:rPr>
      </w:pPr>
      <w:r w:rsidRPr="00C80962">
        <w:rPr>
          <w:rFonts w:ascii="David" w:hAnsi="David" w:cs="David" w:hint="cs"/>
          <w:sz w:val="24"/>
          <w:szCs w:val="24"/>
          <w:rtl/>
        </w:rPr>
        <w:t>לבקשת התובע קיבל מכתב ממי שהיה סגן ראש מינהל הסגל בנש"מ מר יוסי יהודה, המפרט כיצד היה צריך לחשב את זכויות הגימלה וממנו עולה כי את תקופת ההסכם יש לחשב "</w:t>
      </w:r>
      <w:r w:rsidRPr="00C80962">
        <w:rPr>
          <w:rFonts w:ascii="David" w:hAnsi="David" w:cs="David" w:hint="cs"/>
          <w:b/>
          <w:bCs/>
          <w:sz w:val="24"/>
          <w:szCs w:val="24"/>
          <w:rtl/>
        </w:rPr>
        <w:t xml:space="preserve">על כל תקופת העבודה </w:t>
      </w:r>
      <w:r w:rsidRPr="00C80962">
        <w:rPr>
          <w:rFonts w:ascii="David" w:hAnsi="David" w:cs="David" w:hint="cs"/>
          <w:b/>
          <w:bCs/>
          <w:sz w:val="24"/>
          <w:szCs w:val="24"/>
          <w:u w:val="single"/>
          <w:rtl/>
        </w:rPr>
        <w:t>בחוזה</w:t>
      </w:r>
      <w:r w:rsidR="00EB2DFE" w:rsidRPr="00C80962">
        <w:rPr>
          <w:rFonts w:ascii="David" w:hAnsi="David" w:cs="David" w:hint="cs"/>
          <w:b/>
          <w:bCs/>
          <w:sz w:val="24"/>
          <w:szCs w:val="24"/>
          <w:rtl/>
        </w:rPr>
        <w:t xml:space="preserve"> ללא שיקלול כלשהו (ס' 12 לחוזה) (נספח </w:t>
      </w:r>
      <w:r w:rsidR="00B543C0">
        <w:rPr>
          <w:rFonts w:ascii="David" w:hAnsi="David" w:cs="David" w:hint="cs"/>
          <w:b/>
          <w:bCs/>
          <w:sz w:val="24"/>
          <w:szCs w:val="24"/>
          <w:rtl/>
        </w:rPr>
        <w:t>7</w:t>
      </w:r>
      <w:r w:rsidR="00EB2DFE" w:rsidRPr="00C80962">
        <w:rPr>
          <w:rFonts w:ascii="David" w:hAnsi="David" w:cs="David" w:hint="cs"/>
          <w:b/>
          <w:bCs/>
          <w:sz w:val="24"/>
          <w:szCs w:val="24"/>
          <w:rtl/>
        </w:rPr>
        <w:t>)</w:t>
      </w:r>
      <w:r w:rsidR="00EB2DFE" w:rsidRPr="00C80962">
        <w:rPr>
          <w:rFonts w:ascii="David" w:hAnsi="David" w:cs="David" w:hint="cs"/>
          <w:sz w:val="24"/>
          <w:szCs w:val="24"/>
          <w:rtl/>
        </w:rPr>
        <w:t>.</w:t>
      </w:r>
    </w:p>
    <w:p w14:paraId="69972712" w14:textId="77777777" w:rsidR="00B543C0" w:rsidRPr="00C80962" w:rsidRDefault="00B543C0" w:rsidP="00C80962">
      <w:pPr>
        <w:spacing w:after="0" w:line="360" w:lineRule="auto"/>
        <w:ind w:left="360"/>
        <w:jc w:val="both"/>
        <w:rPr>
          <w:rFonts w:ascii="David" w:hAnsi="David" w:cs="David"/>
          <w:sz w:val="24"/>
          <w:szCs w:val="24"/>
          <w:rtl/>
        </w:rPr>
      </w:pPr>
    </w:p>
    <w:p w14:paraId="3368DACC" w14:textId="0BB377B0" w:rsidR="00EB2DFE" w:rsidRPr="00EB2DFE" w:rsidRDefault="00EB2DFE" w:rsidP="00FC7A24">
      <w:pPr>
        <w:spacing w:after="0" w:line="360" w:lineRule="auto"/>
        <w:ind w:firstLine="444"/>
        <w:jc w:val="both"/>
        <w:rPr>
          <w:rFonts w:ascii="David" w:hAnsi="David" w:cs="David"/>
          <w:b/>
          <w:bCs/>
          <w:sz w:val="24"/>
          <w:szCs w:val="24"/>
          <w:u w:val="single"/>
        </w:rPr>
      </w:pPr>
      <w:r>
        <w:rPr>
          <w:rFonts w:ascii="David" w:hAnsi="David" w:cs="David" w:hint="cs"/>
          <w:b/>
          <w:bCs/>
          <w:sz w:val="24"/>
          <w:szCs w:val="24"/>
          <w:u w:val="single"/>
          <w:rtl/>
        </w:rPr>
        <w:t>פיצוי על דרך הטיפול בפניות התובע</w:t>
      </w:r>
    </w:p>
    <w:p w14:paraId="7D2AFB65" w14:textId="6D184853" w:rsidR="00FB67D0" w:rsidRDefault="00EB2DFE"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מסע הייסורים של התובע החל מיד עם פרישתו ב-31.7.12, כאשר במשך 5 חודשים לא קיבל ... פנסיה. בניגוד לכל נהלי ההוצאה של עובד בתקשיר ובחוק הגמלאות המחייבים הודעה מראש על פרישה, קיבל התובע את "מסמך הפרישה" חצי שנה אחרי פרישתו בפועל.</w:t>
      </w:r>
    </w:p>
    <w:p w14:paraId="579B7DC1" w14:textId="0FC3E03B" w:rsidR="00EB2DFE" w:rsidRPr="00C80962" w:rsidRDefault="00EB2DFE"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t>מכתבו של מר אהרונוב בעניין פרישתו של התובע (</w:t>
      </w:r>
      <w:r w:rsidRPr="00C80962">
        <w:rPr>
          <w:rFonts w:ascii="David" w:hAnsi="David" w:cs="David" w:hint="cs"/>
          <w:b/>
          <w:bCs/>
          <w:sz w:val="24"/>
          <w:szCs w:val="24"/>
          <w:rtl/>
        </w:rPr>
        <w:t xml:space="preserve">נספח </w:t>
      </w:r>
      <w:r w:rsidR="00B543C0">
        <w:rPr>
          <w:rFonts w:ascii="David" w:hAnsi="David" w:cs="David" w:hint="cs"/>
          <w:b/>
          <w:bCs/>
          <w:sz w:val="24"/>
          <w:szCs w:val="24"/>
          <w:rtl/>
        </w:rPr>
        <w:t>2</w:t>
      </w:r>
      <w:r w:rsidRPr="00C80962">
        <w:rPr>
          <w:rFonts w:ascii="David" w:hAnsi="David" w:cs="David" w:hint="cs"/>
          <w:b/>
          <w:bCs/>
          <w:sz w:val="24"/>
          <w:szCs w:val="24"/>
          <w:rtl/>
        </w:rPr>
        <w:t xml:space="preserve">) </w:t>
      </w:r>
      <w:r w:rsidRPr="00C80962">
        <w:rPr>
          <w:rFonts w:ascii="David" w:hAnsi="David" w:cs="David" w:hint="cs"/>
          <w:sz w:val="24"/>
          <w:szCs w:val="24"/>
          <w:rtl/>
        </w:rPr>
        <w:t xml:space="preserve">נשלח למשרד האוצר ולא לממונה על הגמלאות בתאריך 21.8.12. </w:t>
      </w:r>
    </w:p>
    <w:p w14:paraId="4869CCF5" w14:textId="42FCEF0E" w:rsidR="0068674C" w:rsidRPr="00C80962" w:rsidRDefault="0068674C" w:rsidP="00C80962">
      <w:pPr>
        <w:spacing w:after="0" w:line="360" w:lineRule="auto"/>
        <w:ind w:left="444"/>
        <w:jc w:val="both"/>
        <w:rPr>
          <w:rFonts w:ascii="David" w:hAnsi="David" w:cs="David"/>
          <w:sz w:val="24"/>
          <w:szCs w:val="24"/>
          <w:rtl/>
        </w:rPr>
      </w:pPr>
      <w:r w:rsidRPr="00C80962">
        <w:rPr>
          <w:rFonts w:ascii="David" w:hAnsi="David" w:cs="David" w:hint="cs"/>
          <w:sz w:val="24"/>
          <w:szCs w:val="24"/>
          <w:rtl/>
        </w:rPr>
        <w:lastRenderedPageBreak/>
        <w:t>המכתב הגיע אל התובע רק לאחר שפנה אל הממונה על הגימלאות בחודש ינואר 2013. את ההודעה הרשמית ממנהל הגמלאות קיבל רק בדצמבר 2012 ונאמר בה בס' 1 כי יקבל 70% מהמשכורת הקובעת על פי הסכם הבכירים (</w:t>
      </w:r>
      <w:r w:rsidRPr="00C80962">
        <w:rPr>
          <w:rFonts w:ascii="David" w:hAnsi="David" w:cs="David" w:hint="cs"/>
          <w:b/>
          <w:bCs/>
          <w:sz w:val="24"/>
          <w:szCs w:val="24"/>
          <w:rtl/>
        </w:rPr>
        <w:t xml:space="preserve">נספח </w:t>
      </w:r>
      <w:r w:rsidR="00B543C0">
        <w:rPr>
          <w:rFonts w:ascii="David" w:hAnsi="David" w:cs="David" w:hint="cs"/>
          <w:b/>
          <w:bCs/>
          <w:sz w:val="24"/>
          <w:szCs w:val="24"/>
          <w:rtl/>
        </w:rPr>
        <w:t>8</w:t>
      </w:r>
      <w:r w:rsidRPr="00C80962">
        <w:rPr>
          <w:rFonts w:ascii="David" w:hAnsi="David" w:cs="David" w:hint="cs"/>
          <w:sz w:val="24"/>
          <w:szCs w:val="24"/>
          <w:rtl/>
        </w:rPr>
        <w:t>).</w:t>
      </w:r>
    </w:p>
    <w:p w14:paraId="1C59DD48" w14:textId="4CC71297" w:rsidR="0068674C" w:rsidRDefault="0068674C" w:rsidP="00B543C0">
      <w:pPr>
        <w:pStyle w:val="a3"/>
        <w:numPr>
          <w:ilvl w:val="0"/>
          <w:numId w:val="4"/>
        </w:numPr>
        <w:spacing w:after="0" w:line="360" w:lineRule="auto"/>
        <w:jc w:val="both"/>
        <w:rPr>
          <w:rFonts w:ascii="David" w:hAnsi="David" w:cs="David"/>
          <w:b/>
          <w:bCs/>
          <w:sz w:val="24"/>
          <w:szCs w:val="24"/>
        </w:rPr>
      </w:pPr>
      <w:r>
        <w:rPr>
          <w:rFonts w:ascii="David" w:hAnsi="David" w:cs="David" w:hint="cs"/>
          <w:sz w:val="24"/>
          <w:szCs w:val="24"/>
          <w:rtl/>
        </w:rPr>
        <w:t>הטיפול בגימלתו של התובע החל בפועל בדצמבר 2012. ב-8 ינואר 2013 כתב התובע למר אהרונוב והעלה השגות על חישוב זכויותיו במכתבו. לאחר מספר שיחות טלפוניות כתב התובע שוב לאהרונוב ב-20.3.2013. ההתכתבות בין הובע לנש"מ נמשכה עד שנת 2017</w:t>
      </w:r>
      <w:r w:rsidR="00B543C0">
        <w:rPr>
          <w:rFonts w:ascii="David" w:hAnsi="David" w:cs="David" w:hint="cs"/>
          <w:sz w:val="24"/>
          <w:szCs w:val="24"/>
          <w:rtl/>
        </w:rPr>
        <w:t>.</w:t>
      </w:r>
      <w:r>
        <w:rPr>
          <w:rFonts w:ascii="David" w:hAnsi="David" w:cs="David" w:hint="cs"/>
          <w:sz w:val="24"/>
          <w:szCs w:val="24"/>
          <w:rtl/>
        </w:rPr>
        <w:t xml:space="preserve"> כל הפניות לפגישה או לבירור נענו בשלילה, עד אשר הגיש התובע את תביעתו לבית הדין האיזורי ב-3.10.2019.</w:t>
      </w:r>
    </w:p>
    <w:p w14:paraId="0C20F7F6" w14:textId="359F9B30" w:rsidR="00A619F7" w:rsidRDefault="00A619F7" w:rsidP="00B543C0">
      <w:pPr>
        <w:pStyle w:val="a3"/>
        <w:numPr>
          <w:ilvl w:val="0"/>
          <w:numId w:val="4"/>
        </w:numPr>
        <w:spacing w:after="0" w:line="360" w:lineRule="auto"/>
        <w:jc w:val="both"/>
        <w:rPr>
          <w:rFonts w:ascii="David" w:hAnsi="David" w:cs="David"/>
          <w:sz w:val="24"/>
          <w:szCs w:val="24"/>
        </w:rPr>
      </w:pPr>
      <w:r w:rsidRPr="00A619F7">
        <w:rPr>
          <w:rFonts w:ascii="David" w:hAnsi="David" w:cs="David" w:hint="cs"/>
          <w:sz w:val="24"/>
          <w:szCs w:val="24"/>
          <w:rtl/>
        </w:rPr>
        <w:t xml:space="preserve">כדי </w:t>
      </w:r>
      <w:r>
        <w:rPr>
          <w:rFonts w:ascii="David" w:hAnsi="David" w:cs="David" w:hint="cs"/>
          <w:sz w:val="24"/>
          <w:szCs w:val="24"/>
          <w:rtl/>
        </w:rPr>
        <w:t>לא להעמיס על תיק זה, להלן מועדים ותמצית של תשובת הרשויות השונות לפניות של התובע במשך למעלה מארבע שנים:</w:t>
      </w:r>
    </w:p>
    <w:p w14:paraId="47114718" w14:textId="417F4966"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ביום 13.2.13 כותר מר ציון לוי, מנהל אגף בכיר לגימלאות בנש"מ: "</w:t>
      </w:r>
      <w:r>
        <w:rPr>
          <w:rFonts w:ascii="David" w:hAnsi="David" w:cs="David" w:hint="cs"/>
          <w:b/>
          <w:bCs/>
          <w:sz w:val="24"/>
          <w:szCs w:val="24"/>
          <w:rtl/>
        </w:rPr>
        <w:t>מבצעים חשיבה ובדיקה. לאחר סיומם נשוב ונשיבך."</w:t>
      </w:r>
    </w:p>
    <w:p w14:paraId="4B2F9383" w14:textId="20728CC9"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sidRPr="00A619F7">
        <w:rPr>
          <w:rFonts w:ascii="David" w:hAnsi="David" w:cs="David" w:hint="cs"/>
          <w:sz w:val="24"/>
          <w:szCs w:val="24"/>
          <w:rtl/>
        </w:rPr>
        <w:t>ביום 21.5.13</w:t>
      </w:r>
      <w:r>
        <w:rPr>
          <w:rFonts w:ascii="David" w:hAnsi="David" w:cs="David" w:hint="cs"/>
          <w:sz w:val="24"/>
          <w:szCs w:val="24"/>
          <w:rtl/>
        </w:rPr>
        <w:t xml:space="preserve"> כותב מר מ. אהרונוב, סגן בכיר לנציב השירות: "</w:t>
      </w:r>
      <w:r>
        <w:rPr>
          <w:rFonts w:ascii="David" w:hAnsi="David" w:cs="David" w:hint="cs"/>
          <w:b/>
          <w:bCs/>
          <w:sz w:val="24"/>
          <w:szCs w:val="24"/>
          <w:rtl/>
        </w:rPr>
        <w:t>נושא חישוב הגמלה נבדק בימים אלה ע"י מר לוי, שיודיעך דבר בהמשך."</w:t>
      </w:r>
    </w:p>
    <w:p w14:paraId="658FC619" w14:textId="41392837" w:rsidR="00A619F7" w:rsidRP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22.5.13 כותב מר אהרונוב: </w:t>
      </w:r>
      <w:r>
        <w:rPr>
          <w:rFonts w:ascii="David" w:hAnsi="David" w:cs="David" w:hint="cs"/>
          <w:b/>
          <w:bCs/>
          <w:sz w:val="24"/>
          <w:szCs w:val="24"/>
          <w:rtl/>
        </w:rPr>
        <w:t>"הנושא הפנסיוני שלך נמצא בבדיקה עקרונית... עד אשר תסתיים הבדיקה נידרש להמתין".</w:t>
      </w:r>
    </w:p>
    <w:p w14:paraId="48C8916F" w14:textId="1141849F" w:rsidR="00A619F7"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21.7.14 כותב מר ציון לוי, מנש"מ: </w:t>
      </w:r>
      <w:r>
        <w:rPr>
          <w:rFonts w:ascii="David" w:hAnsi="David" w:cs="David" w:hint="cs"/>
          <w:b/>
          <w:bCs/>
          <w:sz w:val="24"/>
          <w:szCs w:val="24"/>
          <w:rtl/>
        </w:rPr>
        <w:t>"מבצעים חשיבה מחודשת... שבסיומה נשוב ונודיעך".</w:t>
      </w:r>
    </w:p>
    <w:p w14:paraId="198989C7" w14:textId="4E1E7FAE" w:rsidR="00A619F7" w:rsidRPr="00DB72EE" w:rsidRDefault="00A619F7"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ביו 15.2.15 כותבת עו"ד עליזה אבן, מהלשכה המשפטית של נש"מ (בתיאום על מר לוי): "</w:t>
      </w:r>
      <w:r>
        <w:rPr>
          <w:rFonts w:ascii="David" w:hAnsi="David" w:cs="David" w:hint="cs"/>
          <w:b/>
          <w:bCs/>
          <w:sz w:val="24"/>
          <w:szCs w:val="24"/>
          <w:rtl/>
        </w:rPr>
        <w:t>פנייתך נמצאת בבדיקה... עם תום הבירור נודיעך</w:t>
      </w:r>
      <w:r w:rsidR="00DB72EE">
        <w:rPr>
          <w:rFonts w:ascii="David" w:hAnsi="David" w:cs="David" w:hint="cs"/>
          <w:b/>
          <w:bCs/>
          <w:sz w:val="24"/>
          <w:szCs w:val="24"/>
          <w:rtl/>
        </w:rPr>
        <w:t>".</w:t>
      </w:r>
    </w:p>
    <w:p w14:paraId="03150244" w14:textId="2087C503" w:rsidR="00DB72EE" w:rsidRDefault="00DB72EE" w:rsidP="00A619F7">
      <w:pPr>
        <w:pStyle w:val="a3"/>
        <w:numPr>
          <w:ilvl w:val="0"/>
          <w:numId w:val="9"/>
        </w:numPr>
        <w:spacing w:after="0" w:line="360" w:lineRule="auto"/>
        <w:ind w:hanging="352"/>
        <w:jc w:val="both"/>
        <w:rPr>
          <w:rFonts w:ascii="David" w:hAnsi="David" w:cs="David"/>
          <w:sz w:val="24"/>
          <w:szCs w:val="24"/>
        </w:rPr>
      </w:pPr>
      <w:r>
        <w:rPr>
          <w:rFonts w:ascii="David" w:hAnsi="David" w:cs="David" w:hint="cs"/>
          <w:sz w:val="24"/>
          <w:szCs w:val="24"/>
          <w:rtl/>
        </w:rPr>
        <w:t xml:space="preserve">ביום 29.5.17 עו"ד ר. דול, היועץ המשפטי של הנציבות (אל נציב תלונות הציבור): </w:t>
      </w:r>
      <w:r>
        <w:rPr>
          <w:rFonts w:ascii="David" w:hAnsi="David" w:cs="David" w:hint="cs"/>
          <w:b/>
          <w:bCs/>
          <w:sz w:val="24"/>
          <w:szCs w:val="24"/>
          <w:rtl/>
        </w:rPr>
        <w:t>"אנו עדיין בוחנים את הבקשה"</w:t>
      </w:r>
      <w:r>
        <w:rPr>
          <w:rFonts w:ascii="David" w:hAnsi="David" w:cs="David" w:hint="cs"/>
          <w:sz w:val="24"/>
          <w:szCs w:val="24"/>
          <w:rtl/>
        </w:rPr>
        <w:t>.</w:t>
      </w:r>
    </w:p>
    <w:p w14:paraId="139DCA4D" w14:textId="5DB5CF1B" w:rsidR="00DB72EE" w:rsidRPr="00DB72EE" w:rsidRDefault="00DB72EE" w:rsidP="00DB72EE">
      <w:pPr>
        <w:spacing w:after="0" w:line="360" w:lineRule="auto"/>
        <w:ind w:left="444"/>
        <w:jc w:val="both"/>
        <w:rPr>
          <w:rFonts w:ascii="David" w:hAnsi="David" w:cs="David"/>
          <w:sz w:val="24"/>
          <w:szCs w:val="24"/>
        </w:rPr>
      </w:pPr>
      <w:r>
        <w:rPr>
          <w:rFonts w:ascii="David" w:hAnsi="David" w:cs="David" w:hint="cs"/>
          <w:sz w:val="24"/>
          <w:szCs w:val="24"/>
          <w:rtl/>
        </w:rPr>
        <w:t>לתשובות מתמחקות אלה ולדחייה של הטיפול בפניות התובע משמעות גם לנושא ההתיישבנות. אף אם מניחים שההתיישנות אורכה בהתאם לחוק הגימלאות 60 יום, הרי העיכובים בתשלום הגימלה וההתחמקויות מטיפול בפניות התובע, הם סיבה נוספת ומוצדקת להארכת תקופת ההתיישנות.</w:t>
      </w:r>
    </w:p>
    <w:p w14:paraId="26115645" w14:textId="05A58D4D" w:rsidR="0068674C" w:rsidRDefault="0068674C" w:rsidP="00B543C0">
      <w:pPr>
        <w:spacing w:after="0" w:line="360" w:lineRule="auto"/>
        <w:ind w:firstLine="444"/>
        <w:jc w:val="both"/>
        <w:rPr>
          <w:rFonts w:ascii="David" w:hAnsi="David" w:cs="David"/>
          <w:sz w:val="24"/>
          <w:szCs w:val="24"/>
          <w:rtl/>
        </w:rPr>
      </w:pPr>
      <w:r w:rsidRPr="00B543C0">
        <w:rPr>
          <w:rFonts w:ascii="David" w:hAnsi="David" w:cs="David" w:hint="cs"/>
          <w:sz w:val="24"/>
          <w:szCs w:val="24"/>
          <w:rtl/>
        </w:rPr>
        <w:t xml:space="preserve">על 6 שנים של פניות בלתי פוסקות לרשויות המדינה מבקש התובע פיצוי של 150,000 ₪. </w:t>
      </w:r>
    </w:p>
    <w:p w14:paraId="1D5CA152" w14:textId="77777777" w:rsidR="00B543C0" w:rsidRPr="00B543C0" w:rsidRDefault="00B543C0" w:rsidP="00B543C0">
      <w:pPr>
        <w:spacing w:after="0" w:line="360" w:lineRule="auto"/>
        <w:ind w:firstLine="444"/>
        <w:jc w:val="both"/>
        <w:rPr>
          <w:rFonts w:ascii="David" w:hAnsi="David" w:cs="David"/>
          <w:b/>
          <w:bCs/>
          <w:sz w:val="24"/>
          <w:szCs w:val="24"/>
        </w:rPr>
      </w:pPr>
    </w:p>
    <w:p w14:paraId="186E6871" w14:textId="005BE0A3" w:rsidR="0068674C" w:rsidRDefault="0068674C" w:rsidP="0068674C">
      <w:pPr>
        <w:spacing w:after="0" w:line="360" w:lineRule="auto"/>
        <w:ind w:left="360"/>
        <w:jc w:val="both"/>
        <w:rPr>
          <w:rFonts w:ascii="David" w:hAnsi="David" w:cs="David"/>
          <w:b/>
          <w:bCs/>
          <w:sz w:val="24"/>
          <w:szCs w:val="24"/>
          <w:u w:val="single"/>
          <w:rtl/>
        </w:rPr>
      </w:pPr>
      <w:r w:rsidRPr="0068674C">
        <w:rPr>
          <w:rFonts w:ascii="David" w:hAnsi="David" w:cs="David" w:hint="cs"/>
          <w:b/>
          <w:bCs/>
          <w:sz w:val="24"/>
          <w:szCs w:val="24"/>
          <w:u w:val="single"/>
          <w:rtl/>
        </w:rPr>
        <w:t>סיכום</w:t>
      </w:r>
    </w:p>
    <w:p w14:paraId="5FC58842" w14:textId="73CAF304" w:rsidR="0068674C" w:rsidRDefault="0068674C" w:rsidP="006A4DE7">
      <w:pPr>
        <w:pStyle w:val="a3"/>
        <w:numPr>
          <w:ilvl w:val="0"/>
          <w:numId w:val="4"/>
        </w:numPr>
        <w:spacing w:after="0" w:line="360" w:lineRule="auto"/>
        <w:jc w:val="both"/>
        <w:rPr>
          <w:rFonts w:ascii="David" w:hAnsi="David" w:cs="David"/>
          <w:sz w:val="24"/>
          <w:szCs w:val="24"/>
        </w:rPr>
      </w:pPr>
      <w:r>
        <w:rPr>
          <w:rFonts w:ascii="David" w:hAnsi="David" w:cs="David" w:hint="cs"/>
          <w:sz w:val="24"/>
          <w:szCs w:val="24"/>
          <w:rtl/>
        </w:rPr>
        <w:t>על יסוד הטענות שפורטו בכתב תביעה זה מתבקש כב' בית הדין ליתן לתובע את הסעדים הבאים:</w:t>
      </w:r>
    </w:p>
    <w:p w14:paraId="4BD9DB1C" w14:textId="6ECD7120" w:rsidR="0068674C" w:rsidRP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סעד הצהרתי</w:t>
      </w:r>
    </w:p>
    <w:p w14:paraId="5A79D947" w14:textId="7132F7FE"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לקבוע כי התובע זכאי היה החל ממועד פרישתו לקבל גימלה על כל תקופת עבודתו בחוזה בכירים לפי דרגה של 46+ וגימלה על יתרת שנות עבודתו על פי מינוי.</w:t>
      </w:r>
    </w:p>
    <w:p w14:paraId="4B60AFE7" w14:textId="44F5703D"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וכי הפרשי השכר על השנים מאז פרישתו ישוערכו לפי זכאותו הנוכחית לגימלה.</w:t>
      </w:r>
    </w:p>
    <w:p w14:paraId="2BCCE72D" w14:textId="66379FE0" w:rsidR="0068674C" w:rsidRDefault="0068674C" w:rsidP="00B02EB3">
      <w:pPr>
        <w:pStyle w:val="a3"/>
        <w:numPr>
          <w:ilvl w:val="0"/>
          <w:numId w:val="6"/>
        </w:numPr>
        <w:spacing w:after="0" w:line="360" w:lineRule="auto"/>
        <w:ind w:left="793"/>
        <w:jc w:val="both"/>
        <w:rPr>
          <w:rFonts w:ascii="David" w:hAnsi="David" w:cs="David"/>
          <w:sz w:val="24"/>
          <w:szCs w:val="24"/>
          <w:u w:val="single"/>
        </w:rPr>
      </w:pPr>
      <w:r w:rsidRPr="0068674C">
        <w:rPr>
          <w:rFonts w:ascii="David" w:hAnsi="David" w:cs="David" w:hint="cs"/>
          <w:sz w:val="24"/>
          <w:szCs w:val="24"/>
          <w:u w:val="single"/>
          <w:rtl/>
        </w:rPr>
        <w:t xml:space="preserve">סעד כספי </w:t>
      </w:r>
    </w:p>
    <w:p w14:paraId="7EFD4A75" w14:textId="1955D404"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בית הדין הנכבד מתבקש לקבוע כי על הטיפול הרשלני והממושך בזכויותיו של התובע לגימלה ישולם לו פיצוי בשיעור של 150,000 ₪.</w:t>
      </w:r>
    </w:p>
    <w:p w14:paraId="0CB36876" w14:textId="71550B0B" w:rsidR="0068674C" w:rsidRDefault="0068674C" w:rsidP="00B02EB3">
      <w:pPr>
        <w:pStyle w:val="a3"/>
        <w:spacing w:after="0" w:line="360" w:lineRule="auto"/>
        <w:ind w:left="793"/>
        <w:jc w:val="both"/>
        <w:rPr>
          <w:rFonts w:ascii="David" w:hAnsi="David" w:cs="David"/>
          <w:sz w:val="24"/>
          <w:szCs w:val="24"/>
          <w:rtl/>
        </w:rPr>
      </w:pPr>
      <w:r>
        <w:rPr>
          <w:rFonts w:ascii="David" w:hAnsi="David" w:cs="David" w:hint="cs"/>
          <w:sz w:val="24"/>
          <w:szCs w:val="24"/>
          <w:rtl/>
        </w:rPr>
        <w:t>וכן לחייב את הנתבעים בתשלום שכ"ט והוצאות משפט.</w:t>
      </w:r>
    </w:p>
    <w:p w14:paraId="5B2D98A3" w14:textId="0CE0B912" w:rsidR="009B5E2F" w:rsidRDefault="009B5E2F" w:rsidP="00B02EB3">
      <w:pPr>
        <w:pStyle w:val="a3"/>
        <w:numPr>
          <w:ilvl w:val="0"/>
          <w:numId w:val="6"/>
        </w:numPr>
        <w:spacing w:after="0" w:line="360" w:lineRule="auto"/>
        <w:ind w:left="793"/>
        <w:jc w:val="both"/>
      </w:pPr>
      <w:r w:rsidRPr="00F90EBA">
        <w:rPr>
          <w:rFonts w:ascii="David" w:hAnsi="David" w:cs="David" w:hint="cs"/>
          <w:sz w:val="24"/>
          <w:szCs w:val="24"/>
          <w:rtl/>
        </w:rPr>
        <w:lastRenderedPageBreak/>
        <w:t>בנוסף מתבקש בית הדין לקבוע כי אגרת בית הדין ששולמה בתביעה הראשונה בסך 13,000 ₪ תחושב במסגרת האגרה של תביעה זו ובמידת הצורך יושב לתובע הפרש התשלום.</w:t>
      </w:r>
    </w:p>
    <w:p w14:paraId="48634DC3" w14:textId="1A4F5A0F"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99A274D" w:rsidR="00B02EB3" w:rsidRPr="00F90EBA" w:rsidRDefault="00B02EB3" w:rsidP="00B02EB3">
      <w:pPr>
        <w:spacing w:after="0" w:line="360" w:lineRule="auto"/>
        <w:jc w:val="both"/>
        <w:rPr>
          <w:rtl/>
        </w:rPr>
      </w:pPr>
      <w:r>
        <w:rPr>
          <w:noProof/>
          <w:rtl/>
        </w:rPr>
        <mc:AlternateContent>
          <mc:Choice Requires="wps">
            <w:drawing>
              <wp:anchor distT="0" distB="0" distL="114300" distR="114300" simplePos="0" relativeHeight="251660288" behindDoc="0" locked="0" layoutInCell="1" allowOverlap="1" wp14:anchorId="56FCBF84" wp14:editId="3E22C099">
                <wp:simplePos x="0" y="0"/>
                <wp:positionH relativeFrom="column">
                  <wp:posOffset>356235</wp:posOffset>
                </wp:positionH>
                <wp:positionV relativeFrom="paragraph">
                  <wp:posOffset>177165</wp:posOffset>
                </wp:positionV>
                <wp:extent cx="1417955"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98903D" id="מחבר ישר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" strokecolor="#4579b8 [3044]"/>
            </w:pict>
          </mc:Fallback>
        </mc:AlternateConten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עו"ד יעקב חסדאי</w:t>
      </w:r>
    </w:p>
    <w:p w14:paraId="273432C8" w14:textId="30C91C3E" w:rsidR="009B5E2F" w:rsidRPr="00D641D5" w:rsidRDefault="009B5E2F" w:rsidP="00D641D5">
      <w:pPr>
        <w:pStyle w:val="a3"/>
        <w:ind w:left="6120"/>
        <w:rPr>
          <w:rFonts w:ascii="David" w:hAnsi="David" w:cs="David"/>
          <w:b/>
          <w:bCs/>
          <w:rtl/>
        </w:rPr>
      </w:pPr>
      <w:r w:rsidRPr="00D641D5">
        <w:rPr>
          <w:rFonts w:ascii="David" w:hAnsi="David" w:cs="David"/>
          <w:b/>
          <w:bCs/>
          <w:rtl/>
        </w:rPr>
        <w:t>ב"כ התובע</w:t>
      </w:r>
    </w:p>
    <w:sectPr w:rsidR="009B5E2F" w:rsidRPr="00D641D5" w:rsidSect="004B773C">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F2997" w14:textId="77777777" w:rsidR="00F46430" w:rsidRDefault="00F46430" w:rsidP="00F25091">
      <w:pPr>
        <w:spacing w:after="0" w:line="240" w:lineRule="auto"/>
      </w:pPr>
      <w:r>
        <w:separator/>
      </w:r>
    </w:p>
  </w:endnote>
  <w:endnote w:type="continuationSeparator" w:id="0">
    <w:p w14:paraId="231311E4" w14:textId="77777777" w:rsidR="00F46430" w:rsidRDefault="00F46430"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79842243"/>
      <w:docPartObj>
        <w:docPartGallery w:val="Page Numbers (Bottom of Page)"/>
        <w:docPartUnique/>
      </w:docPartObj>
    </w:sdtPr>
    <w:sdtEndPr/>
    <w:sdtContent>
      <w:p w14:paraId="7297BB3B" w14:textId="306D7CAD" w:rsidR="00F25091" w:rsidRDefault="00F25091">
        <w:pPr>
          <w:pStyle w:val="a6"/>
          <w:jc w:val="center"/>
        </w:pPr>
        <w:r>
          <w:fldChar w:fldCharType="begin"/>
        </w:r>
        <w:r>
          <w:instrText>PAGE   \* MERGEFORMAT</w:instrText>
        </w:r>
        <w:r>
          <w:fldChar w:fldCharType="separate"/>
        </w:r>
        <w:r w:rsidR="00570C32" w:rsidRPr="00570C32">
          <w:rPr>
            <w:noProof/>
            <w:rtl/>
            <w:lang w:val="he-IL"/>
          </w:rPr>
          <w:t>1</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E6685" w14:textId="77777777" w:rsidR="00F46430" w:rsidRDefault="00F46430" w:rsidP="00F25091">
      <w:pPr>
        <w:spacing w:after="0" w:line="240" w:lineRule="auto"/>
      </w:pPr>
      <w:r>
        <w:separator/>
      </w:r>
    </w:p>
  </w:footnote>
  <w:footnote w:type="continuationSeparator" w:id="0">
    <w:p w14:paraId="620F2480" w14:textId="77777777" w:rsidR="00F46430" w:rsidRDefault="00F46430" w:rsidP="00F25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5"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6"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1"/>
  </w:num>
  <w:num w:numId="2">
    <w:abstractNumId w:val="3"/>
  </w:num>
  <w:num w:numId="3">
    <w:abstractNumId w:val="2"/>
  </w:num>
  <w:num w:numId="4">
    <w:abstractNumId w:val="8"/>
  </w:num>
  <w:num w:numId="5">
    <w:abstractNumId w:val="7"/>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D3E"/>
    <w:rsid w:val="000F4B53"/>
    <w:rsid w:val="000F4D9F"/>
    <w:rsid w:val="0011087B"/>
    <w:rsid w:val="001A1C3A"/>
    <w:rsid w:val="001B0264"/>
    <w:rsid w:val="00202AA5"/>
    <w:rsid w:val="002443EF"/>
    <w:rsid w:val="0037502D"/>
    <w:rsid w:val="00443EA4"/>
    <w:rsid w:val="004B773C"/>
    <w:rsid w:val="004F210A"/>
    <w:rsid w:val="00512CA9"/>
    <w:rsid w:val="005378D5"/>
    <w:rsid w:val="00570C32"/>
    <w:rsid w:val="00623714"/>
    <w:rsid w:val="0068674C"/>
    <w:rsid w:val="006A4DE7"/>
    <w:rsid w:val="006C1520"/>
    <w:rsid w:val="007074DC"/>
    <w:rsid w:val="00762786"/>
    <w:rsid w:val="00914B97"/>
    <w:rsid w:val="009925D4"/>
    <w:rsid w:val="009B5E2F"/>
    <w:rsid w:val="00A619F7"/>
    <w:rsid w:val="00A7499F"/>
    <w:rsid w:val="00AD7D3E"/>
    <w:rsid w:val="00B02EB3"/>
    <w:rsid w:val="00B543C0"/>
    <w:rsid w:val="00BD79B1"/>
    <w:rsid w:val="00C20DA4"/>
    <w:rsid w:val="00C80962"/>
    <w:rsid w:val="00CB3C5A"/>
    <w:rsid w:val="00D641D5"/>
    <w:rsid w:val="00D72ED9"/>
    <w:rsid w:val="00DB72EE"/>
    <w:rsid w:val="00E46E88"/>
    <w:rsid w:val="00E80247"/>
    <w:rsid w:val="00E91402"/>
    <w:rsid w:val="00EB2DFE"/>
    <w:rsid w:val="00EF6047"/>
    <w:rsid w:val="00F21892"/>
    <w:rsid w:val="00F25091"/>
    <w:rsid w:val="00F46430"/>
    <w:rsid w:val="00F90EBA"/>
    <w:rsid w:val="00FB67D0"/>
    <w:rsid w:val="00FC7A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1C784"/>
  <w15:chartTrackingRefBased/>
  <w15:docId w15:val="{2D143C6F-1E0D-404C-8753-D4A9E0EE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hisd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1383</Words>
  <Characters>6915</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Shimon</cp:lastModifiedBy>
  <cp:revision>2</cp:revision>
  <cp:lastPrinted>2022-05-15T13:06:00Z</cp:lastPrinted>
  <dcterms:created xsi:type="dcterms:W3CDTF">2022-05-16T08:11:00Z</dcterms:created>
  <dcterms:modified xsi:type="dcterms:W3CDTF">2022-05-16T08:11:00Z</dcterms:modified>
</cp:coreProperties>
</file>