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Talking Points – Mischlingskinder Presentation</w:t>
      </w:r>
    </w:p>
    <w:p>
      <w:r>
        <w:rPr>
          <w:sz w:val="22"/>
        </w:rPr>
        <w:t>Anchor points for oral delivery (7-minute presentation)</w:t>
      </w:r>
    </w:p>
    <w:p>
      <w:r>
        <w:rPr>
          <w:b/>
          <w:sz w:val="28"/>
        </w:rPr>
        <w:t>Slide 1 – Title &amp; Framing</w:t>
      </w:r>
    </w:p>
    <w:p>
      <w:r>
        <w:rPr>
          <w:sz w:val="22"/>
        </w:rPr>
        <w:t>My topic is Afro-German ‘occupation children’ in post-war West Germany, often called Mischlingskinder at the time.</w:t>
      </w:r>
    </w:p>
    <w:p>
      <w:r>
        <w:rPr>
          <w:sz w:val="22"/>
        </w:rPr>
        <w:t>I use this term only as a historical category, because it already reveals how race was understood after 1945.</w:t>
      </w:r>
    </w:p>
    <w:p>
      <w:r>
        <w:rPr>
          <w:sz w:val="22"/>
        </w:rPr>
        <w:t>My main question is not how many children there were, but how German society dealt with them.</w:t>
      </w:r>
    </w:p>
    <w:p>
      <w:r>
        <w:rPr>
          <w:sz w:val="22"/>
        </w:rPr>
        <w:t>Their experiences show how racial thinking persisted after Nazism through welfare, schooling, and humanitarian language.</w:t>
      </w:r>
    </w:p>
    <w:p>
      <w:r>
        <w:rPr>
          <w:b/>
          <w:sz w:val="28"/>
        </w:rPr>
        <w:t>Slide 2 – Who were they and why were they visible?</w:t>
      </w:r>
    </w:p>
    <w:p>
      <w:r>
        <w:rPr>
          <w:sz w:val="22"/>
        </w:rPr>
        <w:t>These were children born to German mothers and Black Allied soldiers, especially African American GIs.</w:t>
      </w:r>
    </w:p>
    <w:p>
      <w:r>
        <w:rPr>
          <w:sz w:val="22"/>
        </w:rPr>
        <w:t>Numerically they were not a large group; estimates for the U.S. zone often cite around five thousand.</w:t>
      </w:r>
    </w:p>
    <w:p>
      <w:r>
        <w:rPr>
          <w:sz w:val="22"/>
        </w:rPr>
        <w:t>What mattered more was their visibility in a society rebuilding ideas of family, whiteness, and normality.</w:t>
      </w:r>
    </w:p>
    <w:p>
      <w:r>
        <w:rPr>
          <w:sz w:val="22"/>
        </w:rPr>
        <w:t>As a result, private family lives became a public social problem.</w:t>
      </w:r>
    </w:p>
    <w:p>
      <w:r>
        <w:rPr>
          <w:b/>
          <w:sz w:val="28"/>
        </w:rPr>
        <w:t>Slide 3 – How marginalization worked</w:t>
      </w:r>
    </w:p>
    <w:p>
      <w:r>
        <w:rPr>
          <w:sz w:val="22"/>
        </w:rPr>
        <w:t>Marginalization worked through several linked mechanisms rather than open hostility alone.</w:t>
      </w:r>
    </w:p>
    <w:p>
      <w:r>
        <w:rPr>
          <w:sz w:val="22"/>
        </w:rPr>
        <w:t>First, stigma around mothers through moralizing ideas of fraternization.</w:t>
      </w:r>
    </w:p>
    <w:p>
      <w:r>
        <w:rPr>
          <w:sz w:val="22"/>
        </w:rPr>
        <w:t>Second, institutions such as the Jugendamt, foster care, and children’s homes that treated these children as special cases.</w:t>
      </w:r>
    </w:p>
    <w:p>
      <w:r>
        <w:rPr>
          <w:sz w:val="22"/>
        </w:rPr>
        <w:t>Third, schooling and everyday racism, including bullying, exoticization, and lowered expectations.</w:t>
      </w:r>
    </w:p>
    <w:p>
      <w:r>
        <w:rPr>
          <w:sz w:val="22"/>
        </w:rPr>
        <w:t>Exclusion was therefore structured and bureaucratic, not accidental.</w:t>
      </w:r>
    </w:p>
    <w:p>
      <w:r>
        <w:rPr>
          <w:b/>
          <w:sz w:val="28"/>
        </w:rPr>
        <w:t>Slide 4 – Lived experience: Ika Hügel‑Marshall</w:t>
      </w:r>
    </w:p>
    <w:p>
      <w:r>
        <w:rPr>
          <w:sz w:val="22"/>
        </w:rPr>
        <w:t>Memoirs help us understand what marginalization felt like in everyday life.</w:t>
      </w:r>
    </w:p>
    <w:p>
      <w:r>
        <w:rPr>
          <w:sz w:val="22"/>
        </w:rPr>
        <w:t>Ika Hügel‑Marshall, born in 1947, describes a double stigma of Blackness and illegitimacy.</w:t>
      </w:r>
    </w:p>
    <w:p>
      <w:r>
        <w:rPr>
          <w:sz w:val="22"/>
        </w:rPr>
        <w:t>Her experiences include institutionalization, silence around origins, and social invisibility.</w:t>
      </w:r>
    </w:p>
    <w:p>
      <w:r>
        <w:rPr>
          <w:sz w:val="22"/>
        </w:rPr>
        <w:t>Her story reveals the texture of marginalization rather than representing all cases.</w:t>
      </w:r>
    </w:p>
    <w:p>
      <w:r>
        <w:rPr>
          <w:b/>
          <w:sz w:val="28"/>
        </w:rPr>
        <w:t>Slide 5 – Separation as protection</w:t>
      </w:r>
    </w:p>
    <w:p>
      <w:r>
        <w:rPr>
          <w:sz w:val="22"/>
        </w:rPr>
        <w:t>A central post-war debate was whether these children could belong in German society at all.</w:t>
      </w:r>
    </w:p>
    <w:p>
      <w:r>
        <w:rPr>
          <w:sz w:val="22"/>
        </w:rPr>
        <w:t>One proposed solution was removal through children’s homes or adoption, especially to the United States.</w:t>
      </w:r>
    </w:p>
    <w:p>
      <w:r>
        <w:rPr>
          <w:sz w:val="22"/>
        </w:rPr>
        <w:t>This was framed as humanitarian protection from racism.</w:t>
      </w:r>
    </w:p>
    <w:p>
      <w:r>
        <w:rPr>
          <w:sz w:val="22"/>
        </w:rPr>
        <w:t>At the same time, it functioned to export the problem rather than address racism within Germany.</w:t>
      </w:r>
    </w:p>
    <w:p>
      <w:r>
        <w:rPr>
          <w:b/>
          <w:sz w:val="28"/>
        </w:rPr>
        <w:t>Slide 6 – Adoptee voices and identity search</w:t>
      </w:r>
    </w:p>
    <w:p>
      <w:r>
        <w:rPr>
          <w:sz w:val="22"/>
        </w:rPr>
        <w:t>The long-term effects of these policies appear in adoptee narratives decades later.</w:t>
      </w:r>
    </w:p>
    <w:p>
      <w:r>
        <w:rPr>
          <w:sz w:val="22"/>
        </w:rPr>
        <w:t>Many describe being told, explicitly or implicitly, that they did not belong.</w:t>
      </w:r>
    </w:p>
    <w:p>
      <w:r>
        <w:rPr>
          <w:sz w:val="22"/>
        </w:rPr>
        <w:t>Documentaries and interviews show long identity searches for parents, language, and place.</w:t>
      </w:r>
    </w:p>
    <w:p>
      <w:r>
        <w:rPr>
          <w:sz w:val="22"/>
        </w:rPr>
        <w:t>These searches represent the afterlife of post-war welfare and adoption decisions.</w:t>
      </w:r>
    </w:p>
    <w:p>
      <w:r>
        <w:rPr>
          <w:b/>
          <w:sz w:val="28"/>
        </w:rPr>
        <w:t>Slide 7 – Representation: Toxi (1952)</w:t>
      </w:r>
    </w:p>
    <w:p>
      <w:r>
        <w:rPr>
          <w:sz w:val="22"/>
        </w:rPr>
        <w:t>Popular culture offers insight into how society processed the issue.</w:t>
      </w:r>
    </w:p>
    <w:p>
      <w:r>
        <w:rPr>
          <w:sz w:val="22"/>
        </w:rPr>
        <w:t>The film Toxi from 1952 presents sympathy for a Black occupation child.</w:t>
      </w:r>
    </w:p>
    <w:p>
      <w:r>
        <w:rPr>
          <w:sz w:val="22"/>
        </w:rPr>
        <w:t>Belonging is conditional and framed as a moral lesson for white Germans.</w:t>
      </w:r>
    </w:p>
    <w:p>
      <w:r>
        <w:rPr>
          <w:sz w:val="22"/>
        </w:rPr>
        <w:t>Empathy stops short of equality.</w:t>
      </w:r>
    </w:p>
    <w:p>
      <w:r>
        <w:rPr>
          <w:b/>
          <w:sz w:val="28"/>
        </w:rPr>
        <w:t>Slide 8 – Conclusion</w:t>
      </w:r>
    </w:p>
    <w:p>
      <w:r>
        <w:rPr>
          <w:sz w:val="22"/>
        </w:rPr>
        <w:t>Marginalization was multi-layered: social, institutional, and everyday.</w:t>
      </w:r>
    </w:p>
    <w:p>
      <w:r>
        <w:rPr>
          <w:sz w:val="22"/>
        </w:rPr>
        <w:t>Care often meant classification and separation rather than inclusion.</w:t>
      </w:r>
    </w:p>
    <w:p>
      <w:r>
        <w:rPr>
          <w:sz w:val="22"/>
        </w:rPr>
        <w:t>Later Afro-German writers and activists reframed these children from cases into subjects.</w:t>
      </w:r>
    </w:p>
    <w:p>
      <w:r>
        <w:rPr>
          <w:sz w:val="22"/>
        </w:rPr>
        <w:t>These children show how post-Nazi democracy continued to negotiate race through welfare and schooling.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