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sz w:val="32"/>
        </w:rPr>
        <w:t>ONE‑PAGE CUE CARD — Mischlingskinder Presentation</w:t>
      </w:r>
    </w:p>
    <w:p>
      <w:pPr>
        <w:spacing w:after="80"/>
      </w:pPr>
      <w:r>
        <w:rPr>
          <w:sz w:val="22"/>
        </w:rPr>
        <w:t>• Slide 1 – Framing: Afro‑German occupation children; 'Mischlingskinder' as historical term; focus on marginalization, not numbers.</w:t>
      </w:r>
    </w:p>
    <w:p>
      <w:pPr>
        <w:spacing w:after="80"/>
      </w:pPr>
      <w:r>
        <w:rPr>
          <w:sz w:val="22"/>
        </w:rPr>
        <w:t>• Slide 2 – Who/visibility: German mothers + Black Allied soldiers; small numbers, high visibility; private lives → public problem.</w:t>
      </w:r>
    </w:p>
    <w:p>
      <w:pPr>
        <w:spacing w:after="80"/>
      </w:pPr>
      <w:r>
        <w:rPr>
          <w:sz w:val="22"/>
        </w:rPr>
        <w:t>• Slide 3 – Mechanisms: stigma around mothers; institutions (Jugendamt, homes); schools + everyday racism; exclusion was structured.</w:t>
      </w:r>
    </w:p>
    <w:p>
      <w:pPr>
        <w:spacing w:after="80"/>
      </w:pPr>
      <w:r>
        <w:rPr>
          <w:sz w:val="22"/>
        </w:rPr>
        <w:t>• Slide 4 – Lived experience: Ika Hügel‑Marshall; double stigma (Black + illegitimate); institutionalization; identity search.</w:t>
      </w:r>
    </w:p>
    <w:p>
      <w:pPr>
        <w:spacing w:after="80"/>
      </w:pPr>
      <w:r>
        <w:rPr>
          <w:sz w:val="22"/>
        </w:rPr>
        <w:t>• Slide 5 – Adoption: framed as humanitarian protection; functioned to remove difference rather than confront racism.</w:t>
      </w:r>
    </w:p>
    <w:p>
      <w:pPr>
        <w:spacing w:after="80"/>
      </w:pPr>
      <w:r>
        <w:rPr>
          <w:sz w:val="22"/>
        </w:rPr>
        <w:t>• Slide 6 – Afterlife: adoptee narratives; long identity searches; consequences of postwar welfare decisions.</w:t>
      </w:r>
    </w:p>
    <w:p>
      <w:pPr>
        <w:spacing w:after="80"/>
      </w:pPr>
      <w:r>
        <w:rPr>
          <w:sz w:val="22"/>
        </w:rPr>
        <w:t>• Slide 7 – Culture: Toxi (1952); sympathy without equality; conditional belonging.</w:t>
      </w:r>
    </w:p>
    <w:p>
      <w:pPr>
        <w:spacing w:after="80"/>
      </w:pPr>
      <w:r>
        <w:rPr>
          <w:sz w:val="22"/>
        </w:rPr>
        <w:t>• Slide 8 – Conclusion: post‑Nazi democracy renegotiated race through welfare, schooling, and humanitarian discourse.</w:t>
      </w:r>
    </w:p>
    <w:p>
      <w:r>
        <w:br w:type="page"/>
      </w:r>
    </w:p>
    <w:p>
      <w:pPr>
        <w:spacing w:after="160"/>
      </w:pPr>
      <w:r>
        <w:rPr>
          <w:b/>
          <w:sz w:val="32"/>
        </w:rPr>
        <w:t>LIKELY Q&amp;A — REHEARSED ANSWERS</w:t>
      </w:r>
    </w:p>
    <w:p>
      <w:r>
        <w:rPr>
          <w:b/>
          <w:sz w:val="22"/>
        </w:rPr>
        <w:t>Q: Why focus on marginalization instead of legal status or citizenship?</w:t>
      </w:r>
    </w:p>
    <w:p>
      <w:pPr>
        <w:spacing w:after="160"/>
      </w:pPr>
      <w:r>
        <w:rPr>
          <w:sz w:val="22"/>
        </w:rPr>
        <w:t>A: Because many children were legally German or could become German. The key issue was social belonging: how institutions, schools, and welfare practices treated them as different despite formal inclusion.</w:t>
      </w:r>
    </w:p>
    <w:p>
      <w:r>
        <w:rPr>
          <w:b/>
          <w:sz w:val="22"/>
        </w:rPr>
        <w:t>Q: Were Germans simply racist in the 1950s?</w:t>
      </w:r>
    </w:p>
    <w:p>
      <w:pPr>
        <w:spacing w:after="160"/>
      </w:pPr>
      <w:r>
        <w:rPr>
          <w:sz w:val="22"/>
        </w:rPr>
        <w:t>A: The issue is not only individual prejudice but institutionalized practices. Exclusion often appeared in the language of care, expertise, and child welfare rather than open hostility.</w:t>
      </w:r>
    </w:p>
    <w:p>
      <w:r>
        <w:rPr>
          <w:b/>
          <w:sz w:val="22"/>
        </w:rPr>
        <w:t>Q: Was adoption a good or bad solution?</w:t>
      </w:r>
    </w:p>
    <w:p>
      <w:pPr>
        <w:spacing w:after="160"/>
      </w:pPr>
      <w:r>
        <w:rPr>
          <w:sz w:val="22"/>
        </w:rPr>
        <w:t>A: Historians avoid a moral binary. Adoption could improve individual lives, but structurally it allowed German society to avoid confronting racism by removing the children instead.</w:t>
      </w:r>
    </w:p>
    <w:p>
      <w:r>
        <w:rPr>
          <w:b/>
          <w:sz w:val="22"/>
        </w:rPr>
        <w:t>Q: How representative is Ika Hügel‑Marshall’s experience?</w:t>
      </w:r>
    </w:p>
    <w:p>
      <w:pPr>
        <w:spacing w:after="160"/>
      </w:pPr>
      <w:r>
        <w:rPr>
          <w:sz w:val="22"/>
        </w:rPr>
        <w:t>A: Her memoir is not statistically representative, but it is analytically valuable. It reveals emotional and institutional experiences that administrative sources usually obscure.</w:t>
      </w:r>
    </w:p>
    <w:p>
      <w:r>
        <w:rPr>
          <w:b/>
          <w:sz w:val="22"/>
        </w:rPr>
        <w:t>Q: How many children were there really?</w:t>
      </w:r>
    </w:p>
    <w:p>
      <w:pPr>
        <w:spacing w:after="160"/>
      </w:pPr>
      <w:r>
        <w:rPr>
          <w:sz w:val="22"/>
        </w:rPr>
        <w:t>A: Estimates vary, with around 5,000 often cited for the U.S. zone. Historically, their symbolic visibility mattered more than their numerical size.</w:t>
      </w:r>
    </w:p>
    <w:p>
      <w:r>
        <w:rPr>
          <w:b/>
          <w:sz w:val="22"/>
        </w:rPr>
        <w:t>Q: Why use the term 'Mischlingskinder' at all?</w:t>
      </w:r>
    </w:p>
    <w:p>
      <w:pPr>
        <w:spacing w:after="160"/>
      </w:pPr>
      <w:r>
        <w:rPr>
          <w:sz w:val="22"/>
        </w:rPr>
        <w:t>A: Because it shows how racial categories survived after 1945. Using it critically reveals continuity in racial thinking rather than endorsing the term.</w:t>
      </w:r>
    </w:p>
    <w:p>
      <w:r>
        <w:rPr>
          <w:b/>
          <w:sz w:val="22"/>
        </w:rPr>
        <w:t>Q: Why is Toxi important if it is fictional?</w:t>
      </w:r>
    </w:p>
    <w:p>
      <w:pPr>
        <w:spacing w:after="160"/>
      </w:pPr>
      <w:r>
        <w:rPr>
          <w:sz w:val="22"/>
        </w:rPr>
        <w:t>A: The film reflects mainstream attitudes. It shows sympathy while still limiting belonging, which helps us understand cultural boundaries of inclusion in the early Federal Republic.</w:t>
      </w:r>
    </w:p>
    <w:p>
      <w:r>
        <w:rPr>
          <w:b/>
          <w:sz w:val="22"/>
        </w:rPr>
        <w:t>Q: What is the broader historical significance of this case?</w:t>
      </w:r>
    </w:p>
    <w:p>
      <w:pPr>
        <w:spacing w:after="160"/>
      </w:pPr>
      <w:r>
        <w:rPr>
          <w:sz w:val="22"/>
        </w:rPr>
        <w:t>A: It demonstrates that post‑Nazi democracy did not become post‑racial. Racial thinking was reworked into welfare policy, schooling, and humanitarian discourse.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