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4F4" w:rsidRPr="00CC0174" w:rsidRDefault="00BC34F4" w:rsidP="00BC34F4">
      <w:pPr>
        <w:keepNext/>
        <w:keepLines/>
        <w:bidi/>
        <w:spacing w:before="480" w:line="360" w:lineRule="auto"/>
        <w:jc w:val="center"/>
        <w:outlineLvl w:val="0"/>
        <w:rPr>
          <w:rFonts w:ascii="Times New Roman" w:eastAsia="MS Gothic" w:hAnsi="Times New Roman" w:cs="Times New Roman"/>
          <w:b/>
          <w:bCs/>
          <w:color w:val="365F91"/>
          <w:sz w:val="28"/>
          <w:szCs w:val="28"/>
          <w:lang w:bidi="ar-SA"/>
        </w:rPr>
      </w:pPr>
      <w:r w:rsidRPr="00CC0174">
        <w:rPr>
          <w:rFonts w:ascii="Calibri" w:eastAsia="MS Gothic" w:hAnsi="Calibri" w:cs="Times New Roman"/>
          <w:b/>
          <w:bCs/>
          <w:color w:val="365F91"/>
          <w:sz w:val="28"/>
          <w:szCs w:val="28"/>
          <w:rtl/>
        </w:rPr>
        <w:t>עבודת סוף קורס</w:t>
      </w:r>
      <w:r w:rsidRPr="00CC0174">
        <w:rPr>
          <w:rFonts w:ascii="Calibri" w:eastAsia="MS Gothic" w:hAnsi="Calibri" w:cs="Times New Roman"/>
          <w:b/>
          <w:bCs/>
          <w:color w:val="365F91"/>
          <w:sz w:val="28"/>
          <w:szCs w:val="28"/>
          <w:rtl/>
          <w:lang w:bidi="ar-SA"/>
        </w:rPr>
        <w:t xml:space="preserve">: </w:t>
      </w:r>
      <w:r w:rsidRPr="00CC0174">
        <w:rPr>
          <w:rFonts w:ascii="Calibri" w:eastAsia="MS Gothic" w:hAnsi="Calibri" w:cs="Times New Roman"/>
          <w:b/>
          <w:bCs/>
          <w:color w:val="365F91"/>
          <w:sz w:val="28"/>
          <w:szCs w:val="28"/>
          <w:rtl/>
        </w:rPr>
        <w:t>האינטגרציה האירופית עומדת לדיבייט</w:t>
      </w:r>
    </w:p>
    <w:p w:rsidR="00BC34F4" w:rsidRPr="00CC0174" w:rsidRDefault="00BC34F4" w:rsidP="00BC34F4">
      <w:pPr>
        <w:bidi/>
        <w:spacing w:before="100" w:beforeAutospacing="1" w:after="100" w:afterAutospacing="1" w:line="360" w:lineRule="auto"/>
        <w:rPr>
          <w:rFonts w:ascii="Times New Roman" w:eastAsia="Times New Roman" w:hAnsi="Times New Roman" w:cs="Times New Roman"/>
          <w:sz w:val="24"/>
          <w:szCs w:val="24"/>
        </w:rPr>
      </w:pPr>
      <w:r w:rsidRPr="00CC0174">
        <w:rPr>
          <w:rFonts w:ascii="Times New Roman" w:eastAsia="Times New Roman" w:hAnsi="Times New Roman" w:cs="Times New Roman"/>
          <w:b/>
          <w:bCs/>
          <w:sz w:val="24"/>
          <w:szCs w:val="24"/>
          <w:rtl/>
        </w:rPr>
        <w:t>שם הסטודנט</w:t>
      </w:r>
      <w:r w:rsidRPr="00CC0174">
        <w:rPr>
          <w:rFonts w:ascii="Times New Roman" w:eastAsia="Times New Roman" w:hAnsi="Times New Roman" w:cs="Times New Roman"/>
          <w:b/>
          <w:bCs/>
          <w:sz w:val="24"/>
          <w:szCs w:val="24"/>
        </w:rPr>
        <w:t>:</w:t>
      </w:r>
      <w:r w:rsidRPr="00CC0174">
        <w:rPr>
          <w:rFonts w:ascii="Times New Roman" w:eastAsia="Times New Roman" w:hAnsi="Times New Roman" w:cs="Times New Roman"/>
          <w:sz w:val="24"/>
          <w:szCs w:val="24"/>
        </w:rPr>
        <w:t xml:space="preserve"> </w:t>
      </w:r>
      <w:r w:rsidRPr="00CC0174">
        <w:rPr>
          <w:rFonts w:ascii="Times New Roman" w:eastAsia="Times New Roman" w:hAnsi="Times New Roman" w:cs="Times New Roman"/>
          <w:sz w:val="24"/>
          <w:szCs w:val="24"/>
          <w:rtl/>
        </w:rPr>
        <w:t xml:space="preserve">בני </w:t>
      </w:r>
      <w:r w:rsidRPr="00CC0174">
        <w:rPr>
          <w:rFonts w:ascii="Times New Roman" w:eastAsia="Times New Roman" w:hAnsi="Times New Roman" w:cs="Times New Roman" w:hint="cs"/>
          <w:sz w:val="24"/>
          <w:szCs w:val="24"/>
          <w:rtl/>
        </w:rPr>
        <w:t>הכסטר</w:t>
      </w:r>
    </w:p>
    <w:p w:rsidR="00BC34F4" w:rsidRDefault="00BC34F4" w:rsidP="00BC34F4">
      <w:pPr>
        <w:bidi/>
        <w:spacing w:before="100" w:beforeAutospacing="1" w:after="100" w:afterAutospacing="1" w:line="360" w:lineRule="auto"/>
        <w:rPr>
          <w:rFonts w:ascii="Times New Roman" w:eastAsia="Times New Roman" w:hAnsi="Times New Roman" w:cs="Times New Roman"/>
          <w:b/>
          <w:bCs/>
          <w:sz w:val="24"/>
          <w:szCs w:val="24"/>
          <w:rtl/>
        </w:rPr>
      </w:pPr>
      <w:r w:rsidRPr="00CC0174">
        <w:rPr>
          <w:rFonts w:ascii="Times New Roman" w:eastAsia="Times New Roman" w:hAnsi="Times New Roman" w:cs="Times New Roman"/>
          <w:b/>
          <w:bCs/>
          <w:sz w:val="24"/>
          <w:szCs w:val="24"/>
          <w:rtl/>
        </w:rPr>
        <w:t>תעודת זהות</w:t>
      </w:r>
      <w:r w:rsidRPr="00CC0174">
        <w:rPr>
          <w:rFonts w:ascii="Times New Roman" w:eastAsia="Times New Roman" w:hAnsi="Times New Roman" w:cs="Times New Roman"/>
          <w:b/>
          <w:bCs/>
          <w:sz w:val="24"/>
          <w:szCs w:val="24"/>
        </w:rPr>
        <w:t>:</w:t>
      </w:r>
      <w:r w:rsidRPr="00CC0174">
        <w:rPr>
          <w:rFonts w:ascii="Times New Roman" w:eastAsia="Times New Roman" w:hAnsi="Times New Roman" w:cs="Times New Roman"/>
          <w:sz w:val="24"/>
          <w:szCs w:val="24"/>
        </w:rPr>
        <w:t xml:space="preserve"> </w:t>
      </w:r>
      <w:r w:rsidRPr="00CC0174">
        <w:rPr>
          <w:rFonts w:ascii="Times New Roman" w:eastAsia="Times New Roman" w:hAnsi="Times New Roman" w:cs="Times New Roman" w:hint="cs"/>
          <w:sz w:val="24"/>
          <w:szCs w:val="24"/>
          <w:rtl/>
        </w:rPr>
        <w:t xml:space="preserve"> 028793339 </w:t>
      </w:r>
    </w:p>
    <w:p w:rsidR="00BC34F4" w:rsidRDefault="00BC34F4" w:rsidP="00BC34F4">
      <w:pPr>
        <w:bidi/>
        <w:spacing w:before="100" w:beforeAutospacing="1" w:after="100" w:afterAutospacing="1" w:line="360" w:lineRule="auto"/>
        <w:rPr>
          <w:rFonts w:ascii="Times New Roman" w:eastAsia="Times New Roman" w:hAnsi="Times New Roman" w:cs="Times New Roman"/>
          <w:b/>
          <w:bCs/>
          <w:sz w:val="24"/>
          <w:szCs w:val="24"/>
        </w:rPr>
      </w:pPr>
      <w:r w:rsidRPr="00CC0174">
        <w:rPr>
          <w:rFonts w:ascii="Times New Roman" w:eastAsia="Times New Roman" w:hAnsi="Times New Roman" w:cs="Times New Roman"/>
          <w:b/>
          <w:bCs/>
          <w:sz w:val="24"/>
          <w:szCs w:val="24"/>
          <w:rtl/>
        </w:rPr>
        <w:t>שאלת הדיבייט</w:t>
      </w:r>
      <w:r w:rsidRPr="00CC0174">
        <w:rPr>
          <w:rFonts w:ascii="Times New Roman" w:eastAsia="Times New Roman" w:hAnsi="Times New Roman" w:cs="Times New Roman" w:hint="cs"/>
          <w:b/>
          <w:bCs/>
          <w:sz w:val="24"/>
          <w:szCs w:val="24"/>
          <w:rtl/>
        </w:rPr>
        <w:t>:</w:t>
      </w:r>
      <w:r w:rsidRPr="00CC0174">
        <w:rPr>
          <w:rFonts w:ascii="Times New Roman" w:eastAsia="Times New Roman" w:hAnsi="Times New Roman" w:cs="Times New Roman"/>
          <w:sz w:val="24"/>
          <w:szCs w:val="24"/>
          <w:rtl/>
        </w:rPr>
        <w:t xml:space="preserve"> </w:t>
      </w:r>
      <w:r w:rsidRPr="00CC0174">
        <w:rPr>
          <w:rFonts w:ascii="Times New Roman" w:eastAsia="Times New Roman" w:hAnsi="Times New Roman" w:cs="Times New Roman"/>
          <w:b/>
          <w:bCs/>
          <w:sz w:val="24"/>
          <w:szCs w:val="24"/>
          <w:u w:val="single"/>
          <w:rtl/>
        </w:rPr>
        <w:t>האם על האיחוד האירופי להאיץ את תהליך ההצטרפות של אוקראינה כחברה מלאה</w:t>
      </w:r>
      <w:r w:rsidRPr="00CC0174">
        <w:rPr>
          <w:rFonts w:ascii="Times New Roman" w:eastAsia="Times New Roman" w:hAnsi="Times New Roman" w:cs="Times New Roman"/>
          <w:b/>
          <w:bCs/>
          <w:sz w:val="24"/>
          <w:szCs w:val="24"/>
          <w:u w:val="single"/>
        </w:rPr>
        <w:t>?"</w:t>
      </w:r>
    </w:p>
    <w:p w:rsidR="00BC34F4" w:rsidRPr="00CC0174" w:rsidRDefault="00BC34F4" w:rsidP="00BC34F4">
      <w:pPr>
        <w:bidi/>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hint="cs"/>
          <w:b/>
          <w:bCs/>
          <w:sz w:val="24"/>
          <w:szCs w:val="24"/>
          <w:rtl/>
        </w:rPr>
        <w:t>העמדה שלי</w:t>
      </w:r>
      <w:r w:rsidRPr="00CC0174">
        <w:rPr>
          <w:rFonts w:ascii="Times New Roman" w:eastAsia="Times New Roman" w:hAnsi="Times New Roman" w:cs="Times New Roman"/>
          <w:b/>
          <w:bCs/>
          <w:sz w:val="24"/>
          <w:szCs w:val="24"/>
        </w:rPr>
        <w:t>:</w:t>
      </w:r>
      <w:r w:rsidRPr="00CC0174">
        <w:rPr>
          <w:rFonts w:ascii="Times New Roman" w:eastAsia="Times New Roman" w:hAnsi="Times New Roman" w:cs="Times New Roman"/>
          <w:sz w:val="24"/>
          <w:szCs w:val="24"/>
        </w:rPr>
        <w:t xml:space="preserve"> </w:t>
      </w:r>
      <w:r w:rsidRPr="00CC0174">
        <w:rPr>
          <w:rFonts w:ascii="Times New Roman" w:eastAsia="Times New Roman" w:hAnsi="Times New Roman" w:cs="Times New Roman"/>
          <w:sz w:val="24"/>
          <w:szCs w:val="24"/>
          <w:rtl/>
        </w:rPr>
        <w:t>בעד (האצה מבוקרת ומדורגת)</w:t>
      </w:r>
      <w:r w:rsidRPr="00CC0174">
        <w:rPr>
          <w:rFonts w:ascii="Times New Roman" w:eastAsia="Times New Roman" w:hAnsi="Times New Roman" w:cs="Times New Roman"/>
          <w:sz w:val="24"/>
          <w:szCs w:val="24"/>
        </w:rPr>
        <w:t>.</w:t>
      </w:r>
    </w:p>
    <w:p w:rsidR="00BC34F4" w:rsidRPr="00CC0174" w:rsidRDefault="00BC34F4" w:rsidP="00BC34F4">
      <w:pPr>
        <w:keepNext/>
        <w:keepLines/>
        <w:bidi/>
        <w:spacing w:before="200" w:line="360" w:lineRule="auto"/>
        <w:outlineLvl w:val="1"/>
        <w:rPr>
          <w:rFonts w:ascii="Calibri" w:eastAsia="MS Gothic" w:hAnsi="Calibri" w:cs="Times New Roman"/>
          <w:b/>
          <w:bCs/>
          <w:color w:val="833C0B" w:themeColor="accent2" w:themeShade="80"/>
          <w:sz w:val="26"/>
          <w:szCs w:val="26"/>
          <w:lang w:bidi="ar-SA"/>
        </w:rPr>
      </w:pPr>
      <w:r w:rsidRPr="00CC0174">
        <w:rPr>
          <w:rFonts w:ascii="Calibri" w:eastAsia="MS Gothic" w:hAnsi="Calibri" w:cs="Times New Roman" w:hint="cs"/>
          <w:b/>
          <w:bCs/>
          <w:color w:val="833C0B" w:themeColor="accent2" w:themeShade="80"/>
          <w:sz w:val="26"/>
          <w:szCs w:val="26"/>
          <w:rtl/>
        </w:rPr>
        <w:t xml:space="preserve"> </w:t>
      </w:r>
      <w:r w:rsidRPr="00CC0174">
        <w:rPr>
          <w:rFonts w:ascii="Calibri" w:eastAsia="MS Gothic" w:hAnsi="Calibri" w:cs="Times New Roman"/>
          <w:b/>
          <w:bCs/>
          <w:color w:val="833C0B" w:themeColor="accent2" w:themeShade="80"/>
          <w:sz w:val="26"/>
          <w:szCs w:val="26"/>
          <w:rtl/>
        </w:rPr>
        <w:t xml:space="preserve">מבוא </w:t>
      </w:r>
      <w:r w:rsidRPr="00CC0174">
        <w:rPr>
          <w:rFonts w:ascii="Calibri" w:eastAsia="MS Gothic" w:hAnsi="Calibri" w:cs="Times New Roman" w:hint="cs"/>
          <w:b/>
          <w:bCs/>
          <w:color w:val="833C0B" w:themeColor="accent2" w:themeShade="80"/>
          <w:sz w:val="26"/>
          <w:szCs w:val="26"/>
          <w:rtl/>
        </w:rPr>
        <w:t>(</w:t>
      </w:r>
      <w:r w:rsidRPr="00CC0174">
        <w:rPr>
          <w:rFonts w:ascii="Calibri" w:eastAsia="MS Gothic" w:hAnsi="Calibri" w:cs="Times New Roman"/>
          <w:b/>
          <w:bCs/>
          <w:color w:val="833C0B" w:themeColor="accent2" w:themeShade="80"/>
          <w:sz w:val="26"/>
          <w:szCs w:val="26"/>
          <w:rtl/>
        </w:rPr>
        <w:t>משותף</w:t>
      </w:r>
      <w:r>
        <w:rPr>
          <w:rFonts w:ascii="Calibri" w:eastAsia="MS Gothic" w:hAnsi="Calibri" w:cs="Times New Roman" w:hint="cs"/>
          <w:b/>
          <w:bCs/>
          <w:color w:val="833C0B" w:themeColor="accent2" w:themeShade="80"/>
          <w:sz w:val="26"/>
          <w:szCs w:val="26"/>
          <w:rtl/>
        </w:rPr>
        <w:t>- טל, אופק, מעיין ובני</w:t>
      </w:r>
      <w:r w:rsidRPr="00CC0174">
        <w:rPr>
          <w:rFonts w:ascii="Calibri" w:eastAsia="MS Gothic" w:hAnsi="Calibri" w:cs="Times New Roman" w:hint="cs"/>
          <w:b/>
          <w:bCs/>
          <w:color w:val="833C0B" w:themeColor="accent2" w:themeShade="80"/>
          <w:sz w:val="26"/>
          <w:szCs w:val="26"/>
          <w:rtl/>
        </w:rPr>
        <w:t>)</w:t>
      </w:r>
      <w:r w:rsidRPr="00CC0174">
        <w:rPr>
          <w:rFonts w:ascii="Calibri" w:eastAsia="MS Gothic" w:hAnsi="Calibri" w:cs="Times New Roman"/>
          <w:b/>
          <w:bCs/>
          <w:color w:val="833C0B" w:themeColor="accent2" w:themeShade="80"/>
          <w:sz w:val="26"/>
          <w:szCs w:val="26"/>
          <w:rtl/>
          <w:lang w:bidi="ar-SA"/>
        </w:rPr>
        <w:t xml:space="preserve"> </w:t>
      </w:r>
    </w:p>
    <w:p w:rsidR="00BC34F4" w:rsidRPr="00CC0174" w:rsidRDefault="00BC34F4" w:rsidP="00BC34F4">
      <w:pPr>
        <w:bidi/>
        <w:spacing w:before="100" w:beforeAutospacing="1" w:after="100" w:afterAutospacing="1" w:line="360" w:lineRule="auto"/>
        <w:rPr>
          <w:rFonts w:ascii="Times New Roman" w:eastAsia="Times New Roman" w:hAnsi="Times New Roman" w:cs="Times New Roman"/>
          <w:sz w:val="24"/>
          <w:szCs w:val="24"/>
        </w:rPr>
      </w:pPr>
      <w:r w:rsidRPr="00CC0174">
        <w:rPr>
          <w:rFonts w:ascii="Times New Roman" w:eastAsia="Times New Roman" w:hAnsi="Times New Roman" w:cs="Times New Roman"/>
          <w:sz w:val="24"/>
          <w:szCs w:val="24"/>
          <w:rtl/>
        </w:rPr>
        <w:t>שאלת הדיבייט שלנו היא: האם על האיחוד האירופי להאיץ את תהליך ההצטרפות של אוקראינה כחברה מלאה? הדיון מתקיים בצל הפלישה הרוסית לאוקראינה, אירוע ששינה את מיקומה של אוקראינה בסדר היום האירופי – ממדינת “שכנות” למדינה מועמדת שהצטרפותה נקשרת כעת גם לשיקולים ביטחוניים ופוליטיים רחבים. מציאות זו מציבה את האיחוד בפני דילמה משמעותית: האם להיצמד למתווה המובנה והקפדני של מדיניות ה</w:t>
      </w:r>
      <w:r w:rsidRPr="00CC0174">
        <w:rPr>
          <w:rFonts w:ascii="Times New Roman" w:eastAsia="Times New Roman" w:hAnsi="Times New Roman" w:cs="Times New Roman"/>
          <w:b/>
          <w:bCs/>
          <w:sz w:val="24"/>
          <w:szCs w:val="24"/>
          <w:rtl/>
        </w:rPr>
        <w:t>הרחבה</w:t>
      </w:r>
      <w:r w:rsidRPr="00CC0174">
        <w:rPr>
          <w:rFonts w:ascii="Times New Roman" w:eastAsia="Times New Roman" w:hAnsi="Times New Roman" w:cs="Times New Roman"/>
          <w:sz w:val="24"/>
          <w:szCs w:val="24"/>
        </w:rPr>
        <w:t xml:space="preserve">, </w:t>
      </w:r>
      <w:r w:rsidRPr="00CC0174">
        <w:rPr>
          <w:rFonts w:ascii="Times New Roman" w:eastAsia="Times New Roman" w:hAnsi="Times New Roman" w:cs="Times New Roman"/>
          <w:sz w:val="24"/>
          <w:szCs w:val="24"/>
          <w:rtl/>
        </w:rPr>
        <w:t>או לשקול התאמות בלוחות הזמנים ובשלבי התהליך לנוכח נסיבות גיאו־פוליטיות חריגות</w:t>
      </w:r>
      <w:r w:rsidRPr="00CC0174">
        <w:rPr>
          <w:rFonts w:ascii="Times New Roman" w:eastAsia="Times New Roman" w:hAnsi="Times New Roman" w:cs="Times New Roman"/>
          <w:sz w:val="24"/>
          <w:szCs w:val="24"/>
        </w:rPr>
        <w:t>.</w:t>
      </w:r>
    </w:p>
    <w:p w:rsidR="00BC34F4" w:rsidRPr="00CC0174" w:rsidRDefault="00BC34F4" w:rsidP="00BC34F4">
      <w:pPr>
        <w:bidi/>
        <w:spacing w:before="100" w:beforeAutospacing="1" w:after="100" w:afterAutospacing="1" w:line="360" w:lineRule="auto"/>
        <w:rPr>
          <w:rFonts w:ascii="Times New Roman" w:eastAsia="Times New Roman" w:hAnsi="Times New Roman" w:cs="Times New Roman"/>
          <w:sz w:val="24"/>
          <w:szCs w:val="24"/>
        </w:rPr>
      </w:pPr>
      <w:r w:rsidRPr="00CC0174">
        <w:rPr>
          <w:rFonts w:ascii="Times New Roman" w:eastAsia="Times New Roman" w:hAnsi="Times New Roman" w:cs="Times New Roman"/>
          <w:sz w:val="24"/>
          <w:szCs w:val="24"/>
          <w:rtl/>
        </w:rPr>
        <w:t>בלב העניין עומדת הדרישה לאימוץ מלא של ה־</w:t>
      </w:r>
      <w:r w:rsidRPr="00CC0174">
        <w:rPr>
          <w:rFonts w:ascii="Times New Roman" w:eastAsia="Times New Roman" w:hAnsi="Times New Roman" w:cs="Times New Roman"/>
          <w:b/>
          <w:bCs/>
          <w:sz w:val="24"/>
          <w:szCs w:val="24"/>
        </w:rPr>
        <w:t>acquis communautaire</w:t>
      </w:r>
      <w:r w:rsidRPr="00CC0174">
        <w:rPr>
          <w:rFonts w:ascii="Times New Roman" w:eastAsia="Times New Roman" w:hAnsi="Times New Roman" w:cs="Times New Roman"/>
          <w:sz w:val="24"/>
          <w:szCs w:val="24"/>
        </w:rPr>
        <w:t xml:space="preserve"> </w:t>
      </w:r>
      <w:r w:rsidRPr="00CC0174">
        <w:rPr>
          <w:rFonts w:ascii="Times New Roman" w:eastAsia="Times New Roman" w:hAnsi="Times New Roman" w:cs="Times New Roman" w:hint="cs"/>
          <w:sz w:val="24"/>
          <w:szCs w:val="24"/>
          <w:rtl/>
        </w:rPr>
        <w:t xml:space="preserve"> </w:t>
      </w:r>
      <w:r w:rsidRPr="00CC0174">
        <w:rPr>
          <w:rFonts w:ascii="Times New Roman" w:eastAsia="Times New Roman" w:hAnsi="Times New Roman" w:cs="Times New Roman"/>
          <w:sz w:val="24"/>
          <w:szCs w:val="24"/>
          <w:rtl/>
        </w:rPr>
        <w:t xml:space="preserve">ולהתאמה לסטנדרטים של השוק הפנימי ושל </w:t>
      </w:r>
      <w:r w:rsidRPr="00CC0174">
        <w:rPr>
          <w:rFonts w:ascii="Times New Roman" w:eastAsia="Times New Roman" w:hAnsi="Times New Roman" w:cs="Times New Roman"/>
          <w:b/>
          <w:bCs/>
          <w:sz w:val="24"/>
          <w:szCs w:val="24"/>
          <w:rtl/>
        </w:rPr>
        <w:t>ארבע החירויות</w:t>
      </w:r>
      <w:r w:rsidRPr="00CC0174">
        <w:rPr>
          <w:rFonts w:ascii="Times New Roman" w:eastAsia="Times New Roman" w:hAnsi="Times New Roman" w:cs="Times New Roman"/>
          <w:sz w:val="24"/>
          <w:szCs w:val="24"/>
        </w:rPr>
        <w:t xml:space="preserve">. </w:t>
      </w:r>
      <w:r w:rsidRPr="00CC0174">
        <w:rPr>
          <w:rFonts w:ascii="Times New Roman" w:eastAsia="Times New Roman" w:hAnsi="Times New Roman" w:cs="Times New Roman"/>
          <w:sz w:val="24"/>
          <w:szCs w:val="24"/>
          <w:rtl/>
        </w:rPr>
        <w:t xml:space="preserve">תהליך זה, שבאופן מסורתי נמשך שנים רבות, כולל רפורמות עומק משפטיות ומנהליות. לכן, עצם הרעיון של “האצה” מעלה שאלות מורכבות: האם ניתן לקצר לוחות זמנים מבלי לערער את איכות ההטמעה והיישום? האם יש מקום לפתרונות של </w:t>
      </w:r>
      <w:r w:rsidRPr="00CC0174">
        <w:rPr>
          <w:rFonts w:ascii="Times New Roman" w:eastAsia="Times New Roman" w:hAnsi="Times New Roman" w:cs="Times New Roman"/>
          <w:b/>
          <w:bCs/>
          <w:sz w:val="24"/>
          <w:szCs w:val="24"/>
          <w:rtl/>
        </w:rPr>
        <w:t>אינטגרציה מובחנת</w:t>
      </w:r>
      <w:r w:rsidRPr="00CC0174">
        <w:rPr>
          <w:rFonts w:ascii="Times New Roman" w:eastAsia="Times New Roman" w:hAnsi="Times New Roman" w:cs="Times New Roman"/>
          <w:sz w:val="24"/>
          <w:szCs w:val="24"/>
          <w:rtl/>
        </w:rPr>
        <w:t xml:space="preserve"> כשלב ביניים בין מועמדות לחברות מלאה</w:t>
      </w:r>
      <w:r w:rsidRPr="00CC0174">
        <w:rPr>
          <w:rFonts w:ascii="Times New Roman" w:eastAsia="Times New Roman" w:hAnsi="Times New Roman" w:cs="Times New Roman"/>
          <w:sz w:val="24"/>
          <w:szCs w:val="24"/>
        </w:rPr>
        <w:t>?</w:t>
      </w:r>
    </w:p>
    <w:p w:rsidR="00BC34F4" w:rsidRPr="00CC0174" w:rsidRDefault="00BC34F4" w:rsidP="00BC34F4">
      <w:pPr>
        <w:bidi/>
        <w:spacing w:before="100" w:beforeAutospacing="1" w:after="100" w:afterAutospacing="1" w:line="360" w:lineRule="auto"/>
        <w:rPr>
          <w:rFonts w:ascii="Times New Roman" w:eastAsia="Times New Roman" w:hAnsi="Times New Roman" w:cs="Times New Roman"/>
          <w:sz w:val="24"/>
          <w:szCs w:val="24"/>
        </w:rPr>
      </w:pPr>
      <w:r w:rsidRPr="00CC0174">
        <w:rPr>
          <w:rFonts w:ascii="Times New Roman" w:eastAsia="Times New Roman" w:hAnsi="Times New Roman" w:cs="Times New Roman"/>
          <w:sz w:val="24"/>
          <w:szCs w:val="24"/>
          <w:rtl/>
        </w:rPr>
        <w:t xml:space="preserve">מעבר להיבט הפרוצדורלי, הצטרפות אוקראינה צפויה להשפיע על אופן פעולת האיחוד ועל איזונים פנימיים. היא עשויה לחייב בחינה מחדש של הליך קבלת ההחלטות בתחומים רגישים – בין היתר השאלה האם להמשיך להסתמך על </w:t>
      </w:r>
      <w:r w:rsidRPr="00CC0174">
        <w:rPr>
          <w:rFonts w:ascii="Times New Roman" w:eastAsia="Times New Roman" w:hAnsi="Times New Roman" w:cs="Times New Roman"/>
          <w:b/>
          <w:bCs/>
          <w:sz w:val="24"/>
          <w:szCs w:val="24"/>
          <w:rtl/>
        </w:rPr>
        <w:t>פה־אחד</w:t>
      </w:r>
      <w:r w:rsidRPr="00CC0174">
        <w:rPr>
          <w:rFonts w:ascii="Times New Roman" w:eastAsia="Times New Roman" w:hAnsi="Times New Roman" w:cs="Times New Roman"/>
          <w:sz w:val="24"/>
          <w:szCs w:val="24"/>
          <w:rtl/>
        </w:rPr>
        <w:t xml:space="preserve"> במדיניות חוץ וביטחון במסגרת </w:t>
      </w:r>
      <w:r w:rsidRPr="00CC0174">
        <w:rPr>
          <w:rFonts w:ascii="Times New Roman" w:eastAsia="Times New Roman" w:hAnsi="Times New Roman" w:cs="Times New Roman"/>
          <w:b/>
          <w:bCs/>
          <w:sz w:val="24"/>
          <w:szCs w:val="24"/>
        </w:rPr>
        <w:t>CFSP</w:t>
      </w:r>
      <w:r w:rsidRPr="00CC0174">
        <w:rPr>
          <w:rFonts w:ascii="Times New Roman" w:eastAsia="Times New Roman" w:hAnsi="Times New Roman" w:cs="Times New Roman"/>
          <w:sz w:val="24"/>
          <w:szCs w:val="24"/>
        </w:rPr>
        <w:t xml:space="preserve">, </w:t>
      </w:r>
      <w:r w:rsidRPr="00CC0174">
        <w:rPr>
          <w:rFonts w:ascii="Times New Roman" w:eastAsia="Times New Roman" w:hAnsi="Times New Roman" w:cs="Times New Roman"/>
          <w:sz w:val="24"/>
          <w:szCs w:val="24"/>
          <w:rtl/>
        </w:rPr>
        <w:t>או להרחיב שימוש ב־</w:t>
      </w:r>
      <w:r w:rsidRPr="00CC0174">
        <w:rPr>
          <w:rFonts w:ascii="Times New Roman" w:eastAsia="Times New Roman" w:hAnsi="Times New Roman" w:cs="Times New Roman"/>
          <w:b/>
          <w:bCs/>
          <w:sz w:val="24"/>
          <w:szCs w:val="24"/>
        </w:rPr>
        <w:t>QMV</w:t>
      </w:r>
      <w:r w:rsidRPr="00CC0174">
        <w:rPr>
          <w:rFonts w:ascii="Times New Roman" w:eastAsia="Times New Roman" w:hAnsi="Times New Roman" w:cs="Times New Roman"/>
          <w:sz w:val="24"/>
          <w:szCs w:val="24"/>
        </w:rPr>
        <w:t xml:space="preserve"> – </w:t>
      </w:r>
      <w:r w:rsidRPr="00CC0174">
        <w:rPr>
          <w:rFonts w:ascii="Times New Roman" w:eastAsia="Times New Roman" w:hAnsi="Times New Roman" w:cs="Times New Roman" w:hint="cs"/>
          <w:sz w:val="24"/>
          <w:szCs w:val="24"/>
          <w:rtl/>
        </w:rPr>
        <w:t xml:space="preserve"> </w:t>
      </w:r>
      <w:r w:rsidRPr="00CC0174">
        <w:rPr>
          <w:rFonts w:ascii="Times New Roman" w:eastAsia="Times New Roman" w:hAnsi="Times New Roman" w:cs="Times New Roman"/>
          <w:sz w:val="24"/>
          <w:szCs w:val="24"/>
          <w:rtl/>
        </w:rPr>
        <w:t xml:space="preserve">וכן שאלות תקציביות הנוגעות לחלוקת משאבים במסגרת </w:t>
      </w:r>
      <w:r w:rsidRPr="00CC0174">
        <w:rPr>
          <w:rFonts w:ascii="Times New Roman" w:eastAsia="Times New Roman" w:hAnsi="Times New Roman" w:cs="Times New Roman"/>
          <w:b/>
          <w:bCs/>
          <w:sz w:val="24"/>
          <w:szCs w:val="24"/>
          <w:rtl/>
        </w:rPr>
        <w:t>תכנית תקציב רב־שנתית</w:t>
      </w:r>
      <w:r w:rsidRPr="00CC0174">
        <w:rPr>
          <w:rFonts w:ascii="Times New Roman" w:eastAsia="Times New Roman" w:hAnsi="Times New Roman" w:cs="Times New Roman"/>
          <w:b/>
          <w:bCs/>
          <w:sz w:val="24"/>
          <w:szCs w:val="24"/>
        </w:rPr>
        <w:t xml:space="preserve"> (MFF)</w:t>
      </w:r>
      <w:r w:rsidRPr="00CC0174">
        <w:rPr>
          <w:rFonts w:ascii="Times New Roman" w:eastAsia="Times New Roman" w:hAnsi="Times New Roman" w:cs="Times New Roman"/>
          <w:sz w:val="24"/>
          <w:szCs w:val="24"/>
        </w:rPr>
        <w:t xml:space="preserve">. </w:t>
      </w:r>
      <w:r w:rsidRPr="00CC0174">
        <w:rPr>
          <w:rFonts w:ascii="Times New Roman" w:eastAsia="Times New Roman" w:hAnsi="Times New Roman" w:cs="Times New Roman"/>
          <w:sz w:val="24"/>
          <w:szCs w:val="24"/>
          <w:rtl/>
        </w:rPr>
        <w:t>הדיבייט יעסוק במתח בין עקרון ה</w:t>
      </w:r>
      <w:r w:rsidRPr="00CC0174">
        <w:rPr>
          <w:rFonts w:ascii="Times New Roman" w:eastAsia="Times New Roman" w:hAnsi="Times New Roman" w:cs="Times New Roman"/>
          <w:b/>
          <w:bCs/>
          <w:sz w:val="24"/>
          <w:szCs w:val="24"/>
          <w:rtl/>
        </w:rPr>
        <w:t>סולידריות</w:t>
      </w:r>
      <w:r w:rsidRPr="00CC0174">
        <w:rPr>
          <w:rFonts w:ascii="Times New Roman" w:eastAsia="Times New Roman" w:hAnsi="Times New Roman" w:cs="Times New Roman"/>
          <w:sz w:val="24"/>
          <w:szCs w:val="24"/>
          <w:rtl/>
        </w:rPr>
        <w:t xml:space="preserve"> והשאיפה ליציבות וביטחון אזורי, לבין הדיון בהשלכות האפשריות על </w:t>
      </w:r>
      <w:r w:rsidRPr="00CC0174">
        <w:rPr>
          <w:rFonts w:ascii="Times New Roman" w:eastAsia="Times New Roman" w:hAnsi="Times New Roman" w:cs="Times New Roman"/>
          <w:b/>
          <w:bCs/>
          <w:sz w:val="24"/>
          <w:szCs w:val="24"/>
          <w:rtl/>
        </w:rPr>
        <w:t>לגיטימיות</w:t>
      </w:r>
      <w:r w:rsidRPr="00CC0174">
        <w:rPr>
          <w:rFonts w:ascii="Times New Roman" w:eastAsia="Times New Roman" w:hAnsi="Times New Roman" w:cs="Times New Roman"/>
          <w:sz w:val="24"/>
          <w:szCs w:val="24"/>
        </w:rPr>
        <w:t xml:space="preserve">, </w:t>
      </w:r>
      <w:r w:rsidRPr="00CC0174">
        <w:rPr>
          <w:rFonts w:ascii="Times New Roman" w:eastAsia="Times New Roman" w:hAnsi="Times New Roman" w:cs="Times New Roman"/>
          <w:sz w:val="24"/>
          <w:szCs w:val="24"/>
          <w:rtl/>
        </w:rPr>
        <w:t xml:space="preserve">ועל </w:t>
      </w:r>
      <w:r w:rsidRPr="00CC0174">
        <w:rPr>
          <w:rFonts w:ascii="Times New Roman" w:eastAsia="Times New Roman" w:hAnsi="Times New Roman" w:cs="Times New Roman"/>
          <w:b/>
          <w:bCs/>
          <w:sz w:val="24"/>
          <w:szCs w:val="24"/>
          <w:rtl/>
        </w:rPr>
        <w:t>משילות מרובדת / רבת־רמות</w:t>
      </w:r>
      <w:r w:rsidRPr="00CC0174">
        <w:rPr>
          <w:rFonts w:ascii="Times New Roman" w:eastAsia="Times New Roman" w:hAnsi="Times New Roman" w:cs="Times New Roman"/>
          <w:sz w:val="24"/>
          <w:szCs w:val="24"/>
          <w:rtl/>
        </w:rPr>
        <w:t xml:space="preserve"> של האיחוד כ</w:t>
      </w:r>
      <w:r w:rsidRPr="00CC0174">
        <w:rPr>
          <w:rFonts w:ascii="Times New Roman" w:eastAsia="Times New Roman" w:hAnsi="Times New Roman" w:cs="Times New Roman"/>
          <w:b/>
          <w:bCs/>
          <w:sz w:val="24"/>
          <w:szCs w:val="24"/>
          <w:rtl/>
        </w:rPr>
        <w:t>ישות על־לאומית</w:t>
      </w:r>
      <w:r w:rsidRPr="00CC0174">
        <w:rPr>
          <w:rFonts w:ascii="Times New Roman" w:eastAsia="Times New Roman" w:hAnsi="Times New Roman" w:cs="Times New Roman"/>
          <w:sz w:val="24"/>
          <w:szCs w:val="24"/>
        </w:rPr>
        <w:t>.</w:t>
      </w:r>
    </w:p>
    <w:p w:rsidR="00BC34F4" w:rsidRPr="00CC0174" w:rsidRDefault="00BC34F4" w:rsidP="00BC34F4">
      <w:pPr>
        <w:bidi/>
        <w:spacing w:before="100" w:beforeAutospacing="1" w:after="100" w:afterAutospacing="1" w:line="360" w:lineRule="auto"/>
        <w:rPr>
          <w:rFonts w:ascii="Times New Roman" w:eastAsia="Times New Roman" w:hAnsi="Times New Roman" w:cs="Times New Roman"/>
          <w:sz w:val="24"/>
          <w:szCs w:val="24"/>
        </w:rPr>
      </w:pPr>
      <w:r w:rsidRPr="00CC0174">
        <w:rPr>
          <w:rFonts w:ascii="Times New Roman" w:eastAsia="Times New Roman" w:hAnsi="Times New Roman" w:cs="Times New Roman"/>
          <w:b/>
          <w:bCs/>
          <w:sz w:val="24"/>
          <w:szCs w:val="24"/>
          <w:rtl/>
        </w:rPr>
        <w:t>חלוקת הטיעונים</w:t>
      </w:r>
      <w:r w:rsidRPr="00CC0174">
        <w:rPr>
          <w:rFonts w:ascii="Times New Roman" w:eastAsia="Times New Roman" w:hAnsi="Times New Roman" w:cs="Times New Roman"/>
          <w:b/>
          <w:bCs/>
          <w:sz w:val="24"/>
          <w:szCs w:val="24"/>
        </w:rPr>
        <w:t>:</w:t>
      </w:r>
      <w:r w:rsidRPr="00CC0174">
        <w:rPr>
          <w:rFonts w:ascii="Times New Roman" w:eastAsia="Times New Roman" w:hAnsi="Times New Roman" w:cs="Times New Roman"/>
          <w:sz w:val="24"/>
          <w:szCs w:val="24"/>
        </w:rPr>
        <w:t xml:space="preserve"> </w:t>
      </w:r>
      <w:r w:rsidRPr="00CC0174">
        <w:rPr>
          <w:rFonts w:ascii="Times New Roman" w:eastAsia="Times New Roman" w:hAnsi="Times New Roman" w:cs="Times New Roman"/>
          <w:sz w:val="24"/>
          <w:szCs w:val="24"/>
          <w:rtl/>
        </w:rPr>
        <w:t>בני ומעיין יציגו טיעונים התומכים בהאצת התהליך, בעוד טל ואופק יציגו את טיעוני הנגד המתמקדים בחששות המוסדיים והתקציביים</w:t>
      </w:r>
      <w:r w:rsidRPr="00CC0174">
        <w:rPr>
          <w:rFonts w:ascii="Times New Roman" w:eastAsia="Times New Roman" w:hAnsi="Times New Roman" w:cs="Times New Roman"/>
          <w:sz w:val="24"/>
          <w:szCs w:val="24"/>
        </w:rPr>
        <w:t>.</w:t>
      </w:r>
    </w:p>
    <w:p w:rsidR="00BC34F4" w:rsidRPr="00860723" w:rsidRDefault="00BC34F4" w:rsidP="00BC34F4">
      <w:pPr>
        <w:bidi/>
        <w:spacing w:line="360" w:lineRule="auto"/>
        <w:rPr>
          <w:rFonts w:cstheme="minorHAnsi" w:hint="cs"/>
          <w:b/>
          <w:bCs/>
          <w:i/>
          <w:iCs/>
          <w:color w:val="833C0B" w:themeColor="accent2" w:themeShade="80"/>
          <w:rtl/>
        </w:rPr>
      </w:pPr>
      <w:r w:rsidRPr="00575776">
        <w:rPr>
          <w:rFonts w:cstheme="minorHAnsi"/>
          <w:b/>
          <w:bCs/>
          <w:u w:val="single"/>
          <w:rtl/>
        </w:rPr>
        <w:lastRenderedPageBreak/>
        <w:t xml:space="preserve">טיעון </w:t>
      </w:r>
      <w:r>
        <w:rPr>
          <w:rFonts w:cstheme="minorHAnsi" w:hint="cs"/>
          <w:b/>
          <w:bCs/>
          <w:u w:val="single"/>
          <w:rtl/>
        </w:rPr>
        <w:t>א' בעד</w:t>
      </w:r>
      <w:r>
        <w:rPr>
          <w:rFonts w:cstheme="minorHAnsi"/>
          <w:rtl/>
        </w:rPr>
        <w:br/>
      </w:r>
      <w:r>
        <w:rPr>
          <w:rFonts w:cstheme="minorHAnsi"/>
          <w:rtl/>
        </w:rPr>
        <w:br/>
      </w:r>
      <w:r w:rsidRPr="00860723">
        <w:rPr>
          <w:rFonts w:cstheme="minorHAnsi" w:hint="cs"/>
          <w:b/>
          <w:bCs/>
          <w:i/>
          <w:iCs/>
          <w:color w:val="833C0B" w:themeColor="accent2" w:themeShade="80"/>
          <w:rtl/>
        </w:rPr>
        <w:t>טיעון (</w:t>
      </w:r>
      <w:r w:rsidRPr="00860723">
        <w:rPr>
          <w:rFonts w:cstheme="minorHAnsi"/>
          <w:b/>
          <w:bCs/>
          <w:i/>
          <w:iCs/>
          <w:color w:val="833C0B" w:themeColor="accent2" w:themeShade="80"/>
        </w:rPr>
        <w:t>Claim</w:t>
      </w:r>
      <w:r w:rsidRPr="00860723">
        <w:rPr>
          <w:rFonts w:cstheme="minorHAnsi" w:hint="cs"/>
          <w:b/>
          <w:bCs/>
          <w:i/>
          <w:iCs/>
          <w:color w:val="833C0B" w:themeColor="accent2" w:themeShade="80"/>
          <w:rtl/>
        </w:rPr>
        <w:t>)</w:t>
      </w:r>
      <w:r>
        <w:rPr>
          <w:rFonts w:cstheme="minorHAnsi"/>
          <w:b/>
          <w:bCs/>
          <w:i/>
          <w:iCs/>
          <w:color w:val="833C0B" w:themeColor="accent2" w:themeShade="80"/>
          <w:rtl/>
        </w:rPr>
        <w:br/>
      </w:r>
    </w:p>
    <w:p w:rsidR="00BC34F4" w:rsidRPr="00417898" w:rsidRDefault="00BC34F4" w:rsidP="00BC34F4">
      <w:pPr>
        <w:bidi/>
        <w:spacing w:line="360" w:lineRule="auto"/>
        <w:rPr>
          <w:rFonts w:cstheme="minorHAnsi"/>
        </w:rPr>
      </w:pPr>
      <w:r w:rsidRPr="00923176">
        <w:rPr>
          <w:rFonts w:cstheme="minorHAnsi"/>
          <w:rtl/>
        </w:rPr>
        <w:t xml:space="preserve">כנקודת פתיחה, אני רוצה לאתגר הנחה שכיחה בדיון על </w:t>
      </w:r>
      <w:r w:rsidRPr="00923176">
        <w:rPr>
          <w:rFonts w:cstheme="minorHAnsi"/>
          <w:b/>
          <w:bCs/>
          <w:rtl/>
        </w:rPr>
        <w:t>הרחבה</w:t>
      </w:r>
      <w:r w:rsidRPr="00923176">
        <w:rPr>
          <w:rFonts w:cstheme="minorHAnsi"/>
          <w:rtl/>
        </w:rPr>
        <w:t xml:space="preserve"> של האיחוד: שיותר מדינות פירושן בהכרח פחות יכולת פעולה. אינטואיטיבית זה הגיוני להניח שככל שמספר המדינות גדל, כך גדל גם מגוון האינטרסים, וההגיון הניאו-פונקציונליסטי הקלאסי ייטה לחשוב שהתוצאה היא שיתוק והחלשת </w:t>
      </w:r>
      <w:r w:rsidRPr="00923176">
        <w:rPr>
          <w:rFonts w:cstheme="minorHAnsi"/>
          <w:b/>
          <w:bCs/>
          <w:rtl/>
        </w:rPr>
        <w:t>האינטגרציה</w:t>
      </w:r>
      <w:r w:rsidRPr="00923176">
        <w:rPr>
          <w:rFonts w:cstheme="minorHAnsi"/>
          <w:rtl/>
        </w:rPr>
        <w:t xml:space="preserve">. אבל המחקר על </w:t>
      </w:r>
      <w:r w:rsidRPr="000476B7">
        <w:rPr>
          <w:rFonts w:cstheme="minorHAnsi"/>
          <w:bCs/>
          <w:rtl/>
        </w:rPr>
        <w:t>אינטגרציה</w:t>
      </w:r>
      <w:r w:rsidRPr="00923176">
        <w:rPr>
          <w:rFonts w:cstheme="minorHAnsi"/>
          <w:rtl/>
        </w:rPr>
        <w:t xml:space="preserve"> אירופית מצביע על תמונה מורכבת יותר. </w:t>
      </w:r>
      <w:r w:rsidRPr="00417898">
        <w:rPr>
          <w:rFonts w:cstheme="minorHAnsi"/>
          <w:rtl/>
        </w:rPr>
        <w:t xml:space="preserve">ניתן לטעון כי דווקא במצבים של לחץ גיאופוליטי חריג </w:t>
      </w:r>
      <w:r>
        <w:rPr>
          <w:rFonts w:cstheme="minorHAnsi" w:hint="cs"/>
          <w:rtl/>
        </w:rPr>
        <w:t>(</w:t>
      </w:r>
      <w:r w:rsidRPr="00417898">
        <w:rPr>
          <w:rFonts w:cstheme="minorHAnsi"/>
          <w:rtl/>
        </w:rPr>
        <w:t xml:space="preserve">כמו מלחמה פעילה בגבולות האיחוד </w:t>
      </w:r>
      <w:r>
        <w:rPr>
          <w:rFonts w:cstheme="minorHAnsi" w:hint="cs"/>
          <w:rtl/>
        </w:rPr>
        <w:t>)</w:t>
      </w:r>
      <w:r w:rsidRPr="00417898">
        <w:rPr>
          <w:rFonts w:cstheme="minorHAnsi"/>
          <w:rtl/>
        </w:rPr>
        <w:t xml:space="preserve"> </w:t>
      </w:r>
      <w:r w:rsidRPr="000476B7">
        <w:rPr>
          <w:rFonts w:cstheme="minorHAnsi"/>
          <w:b/>
          <w:bCs/>
          <w:rtl/>
        </w:rPr>
        <w:t>הרחבה</w:t>
      </w:r>
      <w:r w:rsidRPr="00417898">
        <w:rPr>
          <w:rFonts w:cstheme="minorHAnsi"/>
          <w:rtl/>
        </w:rPr>
        <w:t xml:space="preserve"> אינה בהכרח מחלישה את האיחוד. להפך, במקרים מסוימים היא יכולה ליצור לחץ לרפורמות מוסדיות ולהוביל </w:t>
      </w:r>
      <w:r w:rsidRPr="00417898">
        <w:rPr>
          <w:rFonts w:cstheme="minorHAnsi"/>
          <w:b/>
          <w:bCs/>
          <w:rtl/>
        </w:rPr>
        <w:t>להעמקה</w:t>
      </w:r>
      <w:r w:rsidRPr="00417898">
        <w:rPr>
          <w:rFonts w:cstheme="minorHAnsi"/>
          <w:rtl/>
        </w:rPr>
        <w:t xml:space="preserve"> נוספת של </w:t>
      </w:r>
      <w:r w:rsidRPr="00417898">
        <w:rPr>
          <w:rFonts w:cstheme="minorHAnsi"/>
          <w:b/>
          <w:bCs/>
          <w:rtl/>
        </w:rPr>
        <w:t>ה</w:t>
      </w:r>
      <w:r w:rsidRPr="000476B7">
        <w:rPr>
          <w:rFonts w:cstheme="minorHAnsi"/>
          <w:b/>
          <w:bCs/>
          <w:rtl/>
        </w:rPr>
        <w:t>אינטגרציה</w:t>
      </w:r>
      <w:r w:rsidRPr="00417898">
        <w:rPr>
          <w:rFonts w:cstheme="minorHAnsi"/>
        </w:rPr>
        <w:t>.</w:t>
      </w:r>
    </w:p>
    <w:p w:rsidR="00BC34F4" w:rsidRPr="00417898" w:rsidRDefault="00BC34F4" w:rsidP="00BC34F4">
      <w:pPr>
        <w:bidi/>
        <w:spacing w:line="360" w:lineRule="auto"/>
        <w:rPr>
          <w:rFonts w:cstheme="minorHAnsi"/>
          <w:rtl/>
        </w:rPr>
      </w:pPr>
    </w:p>
    <w:p w:rsidR="00BC34F4" w:rsidRPr="00923176" w:rsidRDefault="00BC34F4" w:rsidP="00BC34F4">
      <w:pPr>
        <w:bidi/>
        <w:spacing w:line="360" w:lineRule="auto"/>
        <w:rPr>
          <w:rFonts w:cstheme="minorHAnsi"/>
        </w:rPr>
      </w:pPr>
      <w:r w:rsidRPr="00923176">
        <w:rPr>
          <w:rFonts w:cstheme="minorHAnsi"/>
          <w:rtl/>
        </w:rPr>
        <w:t>ההסבר לכך קשור למה שמכונה "לחץ פונקציונלי"</w:t>
      </w:r>
      <w:r w:rsidRPr="00923176">
        <w:rPr>
          <w:rFonts w:cstheme="minorHAnsi"/>
        </w:rPr>
        <w:t xml:space="preserve">(Functional Pressure)  </w:t>
      </w:r>
      <w:r w:rsidRPr="00923176">
        <w:rPr>
          <w:rFonts w:cstheme="minorHAnsi"/>
          <w:rtl/>
        </w:rPr>
        <w:t>: כאשר מוסדות קיימים מתקשים להתמודד עם מציאות חדשה באמצעות הכלים הישנים, נוצר לחץ לשינוי. הפלישה הרוסית יצרה זעזוע חיצוני</w:t>
      </w:r>
      <w:r w:rsidRPr="00923176">
        <w:rPr>
          <w:rFonts w:cstheme="minorHAnsi"/>
        </w:rPr>
        <w:t xml:space="preserve"> (Exogenous Shock) </w:t>
      </w:r>
      <w:r>
        <w:rPr>
          <w:rFonts w:cstheme="minorHAnsi" w:hint="cs"/>
          <w:rtl/>
        </w:rPr>
        <w:t xml:space="preserve"> </w:t>
      </w:r>
      <w:r w:rsidRPr="00923176">
        <w:rPr>
          <w:rFonts w:cstheme="minorHAnsi"/>
          <w:rtl/>
        </w:rPr>
        <w:t xml:space="preserve">שאינו מאפשר לאיחוד להסתפק בתגובות שגרתיות, ולכן, האצת הצטרפות אוקראינה לא למרות הנסיבות, אלא בגללן, עשויה להגביר את הלחץ לרפורמות מוסדיות שכבר נמצאות על סדר היום. הצירוף של איום ביטחוני חיצוני ולחץ פנימי </w:t>
      </w:r>
      <w:r w:rsidRPr="000476B7">
        <w:rPr>
          <w:rFonts w:cstheme="minorHAnsi"/>
          <w:b/>
          <w:bCs/>
          <w:i/>
          <w:iCs/>
          <w:rtl/>
        </w:rPr>
        <w:t>להרחבה</w:t>
      </w:r>
      <w:r w:rsidRPr="00923176">
        <w:rPr>
          <w:rFonts w:cstheme="minorHAnsi"/>
          <w:rtl/>
        </w:rPr>
        <w:t xml:space="preserve"> יוצר, במילים אחרות, את התנאים שיאפשרו לאיחוד לשדרג את יכולותיו </w:t>
      </w:r>
      <w:r w:rsidRPr="00923176">
        <w:rPr>
          <w:rFonts w:cstheme="minorHAnsi"/>
          <w:b/>
          <w:bCs/>
          <w:rtl/>
        </w:rPr>
        <w:t>העל-לאומיות</w:t>
      </w:r>
      <w:r w:rsidRPr="00923176">
        <w:rPr>
          <w:rFonts w:cstheme="minorHAnsi"/>
          <w:rtl/>
        </w:rPr>
        <w:t xml:space="preserve"> ולחזק את מעמדו ואת ה</w:t>
      </w:r>
      <w:r w:rsidRPr="000476B7">
        <w:rPr>
          <w:rFonts w:cstheme="minorHAnsi"/>
          <w:b/>
          <w:bCs/>
          <w:rtl/>
        </w:rPr>
        <w:t>לגיטימיות</w:t>
      </w:r>
      <w:r w:rsidRPr="00923176">
        <w:rPr>
          <w:rFonts w:cstheme="minorHAnsi"/>
          <w:rtl/>
        </w:rPr>
        <w:t xml:space="preserve"> שלו כשחקן פוליטי וביטחוני של ממש</w:t>
      </w:r>
      <w:r w:rsidRPr="00923176">
        <w:rPr>
          <w:rFonts w:cstheme="minorHAnsi"/>
        </w:rPr>
        <w:t>.</w:t>
      </w:r>
    </w:p>
    <w:p w:rsidR="00BC34F4" w:rsidRPr="00860723" w:rsidRDefault="00BC34F4" w:rsidP="00BC34F4">
      <w:pPr>
        <w:bidi/>
        <w:spacing w:line="360" w:lineRule="auto"/>
        <w:rPr>
          <w:rFonts w:cstheme="minorHAnsi"/>
          <w:b/>
          <w:bCs/>
          <w:i/>
          <w:iCs/>
        </w:rPr>
      </w:pPr>
      <w:r w:rsidRPr="00923176">
        <w:rPr>
          <w:rFonts w:cstheme="minorHAnsi"/>
          <w:rtl/>
        </w:rPr>
        <w:br/>
      </w:r>
      <w:r w:rsidRPr="00860723">
        <w:rPr>
          <w:rFonts w:cstheme="minorHAnsi"/>
          <w:b/>
          <w:bCs/>
          <w:i/>
          <w:iCs/>
          <w:color w:val="833C0B" w:themeColor="accent2" w:themeShade="80"/>
          <w:rtl/>
        </w:rPr>
        <w:t>ראיה</w:t>
      </w:r>
      <w:r w:rsidRPr="00860723">
        <w:rPr>
          <w:rFonts w:cstheme="minorHAnsi"/>
          <w:b/>
          <w:bCs/>
          <w:i/>
          <w:iCs/>
          <w:color w:val="833C0B" w:themeColor="accent2" w:themeShade="80"/>
        </w:rPr>
        <w:t xml:space="preserve"> (Evidence)</w:t>
      </w:r>
    </w:p>
    <w:p w:rsidR="00BC34F4" w:rsidRPr="00923176" w:rsidRDefault="00BC34F4" w:rsidP="00BC34F4">
      <w:pPr>
        <w:bidi/>
        <w:spacing w:line="360" w:lineRule="auto"/>
        <w:rPr>
          <w:rFonts w:cstheme="minorHAnsi"/>
        </w:rPr>
      </w:pPr>
    </w:p>
    <w:p w:rsidR="00BC34F4" w:rsidRPr="00923176" w:rsidRDefault="00BC34F4" w:rsidP="00BC34F4">
      <w:pPr>
        <w:bidi/>
        <w:spacing w:line="360" w:lineRule="auto"/>
        <w:rPr>
          <w:rFonts w:cstheme="minorHAnsi"/>
        </w:rPr>
      </w:pPr>
      <w:r w:rsidRPr="00923176">
        <w:rPr>
          <w:rFonts w:cstheme="minorHAnsi"/>
          <w:rtl/>
        </w:rPr>
        <w:t xml:space="preserve">במישור התיאורטי, חלק מהספרות על </w:t>
      </w:r>
      <w:r w:rsidRPr="000476B7">
        <w:rPr>
          <w:rFonts w:cstheme="minorHAnsi"/>
          <w:bCs/>
          <w:rtl/>
        </w:rPr>
        <w:t>אינטגרציה</w:t>
      </w:r>
      <w:r w:rsidRPr="00923176">
        <w:rPr>
          <w:rFonts w:cstheme="minorHAnsi"/>
          <w:rtl/>
        </w:rPr>
        <w:t xml:space="preserve"> אירופית מציעה שהקשר בין </w:t>
      </w:r>
      <w:r w:rsidRPr="000476B7">
        <w:rPr>
          <w:rFonts w:cstheme="minorHAnsi"/>
          <w:b/>
          <w:bCs/>
          <w:rtl/>
        </w:rPr>
        <w:t>הרחבה</w:t>
      </w:r>
      <w:r w:rsidRPr="00923176">
        <w:rPr>
          <w:rFonts w:cstheme="minorHAnsi"/>
          <w:rtl/>
        </w:rPr>
        <w:t xml:space="preserve"> לבין העמקת סמכויות האיחוד מורכב יותר מכפי שלעתים מניחים. מחקרם של</w:t>
      </w:r>
      <w:r w:rsidRPr="00923176">
        <w:rPr>
          <w:rFonts w:cstheme="minorHAnsi"/>
        </w:rPr>
        <w:t xml:space="preserve"> Kelemen, Menon, and Slapin (2014), </w:t>
      </w:r>
      <w:r w:rsidRPr="00923176">
        <w:rPr>
          <w:rFonts w:cstheme="minorHAnsi"/>
          <w:rtl/>
        </w:rPr>
        <w:t xml:space="preserve">המבוסס על נתונים לאורך כמה עשורים של </w:t>
      </w:r>
      <w:r w:rsidRPr="000476B7">
        <w:rPr>
          <w:rFonts w:cstheme="minorHAnsi"/>
          <w:bCs/>
          <w:rtl/>
        </w:rPr>
        <w:t>אינטגרציה</w:t>
      </w:r>
      <w:r w:rsidRPr="00923176">
        <w:rPr>
          <w:rFonts w:cstheme="minorHAnsi"/>
          <w:rtl/>
        </w:rPr>
        <w:t xml:space="preserve"> אירופית, מראה כי גלי </w:t>
      </w:r>
      <w:r w:rsidRPr="000476B7">
        <w:rPr>
          <w:rFonts w:cstheme="minorHAnsi"/>
          <w:b/>
          <w:bCs/>
          <w:rtl/>
        </w:rPr>
        <w:t>הרחבה</w:t>
      </w:r>
      <w:r w:rsidRPr="00923176">
        <w:rPr>
          <w:rFonts w:cstheme="minorHAnsi"/>
          <w:rtl/>
        </w:rPr>
        <w:t xml:space="preserve"> לא בהכרח פגעו ביכולת הפעולה של האיחוד. במקרים מסוימים הם אף יצרו תנאים פוליטיים שהובילו ל</w:t>
      </w:r>
      <w:r w:rsidRPr="00923176">
        <w:rPr>
          <w:rFonts w:cstheme="minorHAnsi"/>
          <w:b/>
          <w:bCs/>
          <w:rtl/>
        </w:rPr>
        <w:t>העמקה</w:t>
      </w:r>
      <w:r w:rsidRPr="00923176">
        <w:rPr>
          <w:rFonts w:cstheme="minorHAnsi"/>
          <w:rtl/>
        </w:rPr>
        <w:t xml:space="preserve"> מוסדית נוספת</w:t>
      </w:r>
      <w:r w:rsidRPr="00923176">
        <w:rPr>
          <w:rFonts w:cstheme="minorHAnsi"/>
        </w:rPr>
        <w:t>.</w:t>
      </w:r>
    </w:p>
    <w:p w:rsidR="00BC34F4" w:rsidRPr="00923176" w:rsidRDefault="00BC34F4" w:rsidP="00BC34F4">
      <w:pPr>
        <w:bidi/>
        <w:spacing w:line="360" w:lineRule="auto"/>
        <w:rPr>
          <w:rFonts w:cstheme="minorHAnsi"/>
        </w:rPr>
      </w:pPr>
    </w:p>
    <w:p w:rsidR="00BC34F4" w:rsidRPr="00923176" w:rsidRDefault="00BC34F4" w:rsidP="00BC34F4">
      <w:pPr>
        <w:bidi/>
        <w:spacing w:line="360" w:lineRule="auto"/>
        <w:rPr>
          <w:rFonts w:cstheme="minorHAnsi"/>
          <w:color w:val="000000" w:themeColor="text1"/>
        </w:rPr>
      </w:pPr>
      <w:r w:rsidRPr="00923176">
        <w:rPr>
          <w:rFonts w:cstheme="minorHAnsi"/>
          <w:rtl/>
        </w:rPr>
        <w:t xml:space="preserve">אחת התובנות המרכזיות של המחקר היא שכאשר </w:t>
      </w:r>
      <w:r w:rsidRPr="000476B7">
        <w:rPr>
          <w:rFonts w:cstheme="minorHAnsi"/>
          <w:b/>
          <w:bCs/>
          <w:rtl/>
        </w:rPr>
        <w:t>הרחבה</w:t>
      </w:r>
      <w:r w:rsidRPr="00923176">
        <w:rPr>
          <w:rFonts w:cstheme="minorHAnsi"/>
          <w:rtl/>
        </w:rPr>
        <w:t xml:space="preserve"> יוצרת קושי להגיע להסכמות חקיקתיות בטווח הקצר</w:t>
      </w:r>
      <w:r w:rsidRPr="00923176">
        <w:rPr>
          <w:rFonts w:cstheme="minorHAnsi"/>
        </w:rPr>
        <w:t xml:space="preserve"> (legislative gridlock), </w:t>
      </w:r>
      <w:r w:rsidRPr="00923176">
        <w:rPr>
          <w:rFonts w:cstheme="minorHAnsi"/>
          <w:rtl/>
        </w:rPr>
        <w:t>התוצאה אינה בהכרח עצירה של ה</w:t>
      </w:r>
      <w:r w:rsidRPr="000476B7">
        <w:rPr>
          <w:rFonts w:cstheme="minorHAnsi"/>
          <w:b/>
          <w:bCs/>
          <w:rtl/>
        </w:rPr>
        <w:t>אינטגרציה</w:t>
      </w:r>
      <w:r w:rsidRPr="00923176">
        <w:rPr>
          <w:rFonts w:cstheme="minorHAnsi"/>
          <w:rtl/>
        </w:rPr>
        <w:t>. לעיתים היא דווקא מחזקת את תפקידם של שחקנים על-לאומיים, כמו הנציבות האירופית ובית הדין של האיחוד</w:t>
      </w:r>
      <w:r w:rsidRPr="00923176">
        <w:rPr>
          <w:rFonts w:cstheme="minorHAnsi"/>
        </w:rPr>
        <w:t xml:space="preserve"> (</w:t>
      </w:r>
      <w:r w:rsidRPr="00923176">
        <w:rPr>
          <w:rFonts w:cstheme="minorHAnsi"/>
          <w:b/>
          <w:bCs/>
        </w:rPr>
        <w:t>ECJ</w:t>
      </w:r>
      <w:r w:rsidRPr="00923176">
        <w:rPr>
          <w:rFonts w:cstheme="minorHAnsi"/>
        </w:rPr>
        <w:t xml:space="preserve">) </w:t>
      </w:r>
      <w:r w:rsidRPr="00923176">
        <w:rPr>
          <w:rFonts w:cstheme="minorHAnsi"/>
          <w:rtl/>
        </w:rPr>
        <w:t xml:space="preserve">,שיכולים לקדם תהליכי </w:t>
      </w:r>
      <w:r w:rsidRPr="000476B7">
        <w:rPr>
          <w:rFonts w:cstheme="minorHAnsi"/>
          <w:b/>
          <w:bCs/>
          <w:rtl/>
        </w:rPr>
        <w:t>אינטגרציה</w:t>
      </w:r>
      <w:r w:rsidRPr="00923176">
        <w:rPr>
          <w:rFonts w:cstheme="minorHAnsi"/>
          <w:rtl/>
        </w:rPr>
        <w:t xml:space="preserve"> באמצעים משפטיים או מנהליים. בנוסף, הגידול במספר המדינות מעלה גם את עלויות המשא ומתן בין הממשלות. מצב כזה עשוי ליצור לחץ לרפורמות מוסדיות שמטרתן לייעל את תהליכי קבלת ההחלטות, למשל הרחבת השימוש בהצבעות רוב מיוחס</w:t>
      </w:r>
      <w:r w:rsidRPr="00923176">
        <w:rPr>
          <w:rFonts w:cstheme="minorHAnsi"/>
        </w:rPr>
        <w:t xml:space="preserve"> (</w:t>
      </w:r>
      <w:r w:rsidRPr="000476B7">
        <w:rPr>
          <w:rFonts w:cstheme="minorHAnsi"/>
          <w:b/>
        </w:rPr>
        <w:t>QMV</w:t>
      </w:r>
      <w:r w:rsidRPr="00923176">
        <w:rPr>
          <w:rFonts w:cstheme="minorHAnsi"/>
        </w:rPr>
        <w:t xml:space="preserve">) </w:t>
      </w:r>
      <w:r w:rsidRPr="00923176">
        <w:rPr>
          <w:rFonts w:cstheme="minorHAnsi"/>
          <w:rtl/>
        </w:rPr>
        <w:t>כפי שקרה לקראת הרחבות קודמות של האיחוד</w:t>
      </w:r>
      <w:r w:rsidRPr="00923176">
        <w:rPr>
          <w:rFonts w:cstheme="minorHAnsi"/>
        </w:rPr>
        <w:t>.</w:t>
      </w:r>
      <w:r w:rsidRPr="00923176">
        <w:rPr>
          <w:rFonts w:cstheme="minorHAnsi"/>
          <w:rtl/>
        </w:rPr>
        <w:br/>
      </w:r>
      <w:r w:rsidRPr="00923176">
        <w:rPr>
          <w:rFonts w:cstheme="minorHAnsi"/>
          <w:rtl/>
        </w:rPr>
        <w:br/>
      </w:r>
      <w:r w:rsidRPr="00923176">
        <w:rPr>
          <w:rFonts w:cstheme="minorHAnsi"/>
          <w:color w:val="000000" w:themeColor="text1"/>
          <w:rtl/>
        </w:rPr>
        <w:t xml:space="preserve">מחקרה של </w:t>
      </w:r>
      <w:r w:rsidRPr="00923176">
        <w:rPr>
          <w:rFonts w:cstheme="minorHAnsi"/>
          <w:color w:val="000000" w:themeColor="text1"/>
        </w:rPr>
        <w:t>Heidbreder</w:t>
      </w:r>
      <w:r w:rsidRPr="00923176">
        <w:rPr>
          <w:rFonts w:cstheme="minorHAnsi"/>
          <w:color w:val="000000" w:themeColor="text1"/>
          <w:rtl/>
        </w:rPr>
        <w:t xml:space="preserve"> (2024) על תגובת האיחוד לפלישה הרוסית לאוקראינה מדגים עד כמה מוסדות האיחוד מסוגלים להסתגל במהירות למצבי משבר. היא מתארת כיצד כבר בימים הראשונים לאחר תחילת המלחמה הפעילה </w:t>
      </w:r>
      <w:r w:rsidRPr="00923176">
        <w:rPr>
          <w:rFonts w:cstheme="minorHAnsi"/>
          <w:color w:val="000000" w:themeColor="text1"/>
          <w:rtl/>
        </w:rPr>
        <w:lastRenderedPageBreak/>
        <w:t>מועצת האיחוד את מנגנון ה-</w:t>
      </w:r>
      <w:r w:rsidRPr="00923176">
        <w:rPr>
          <w:rFonts w:cstheme="minorHAnsi"/>
          <w:color w:val="000000" w:themeColor="text1"/>
        </w:rPr>
        <w:t>European Peace Facility (EPF)</w:t>
      </w:r>
      <w:r w:rsidRPr="00923176">
        <w:rPr>
          <w:rFonts w:cstheme="minorHAnsi"/>
          <w:color w:val="000000" w:themeColor="text1"/>
          <w:rtl/>
        </w:rPr>
        <w:t xml:space="preserve"> ואישרה חבילת סיוע צבאי בהיקף של כ-500 מיליון אירו. צעד </w:t>
      </w:r>
      <w:r>
        <w:rPr>
          <w:rFonts w:cstheme="minorHAnsi" w:hint="cs"/>
          <w:color w:val="000000" w:themeColor="text1"/>
          <w:rtl/>
        </w:rPr>
        <w:t xml:space="preserve">זה </w:t>
      </w:r>
      <w:r w:rsidRPr="00923176">
        <w:rPr>
          <w:rFonts w:cstheme="minorHAnsi"/>
          <w:color w:val="000000" w:themeColor="text1"/>
          <w:rtl/>
        </w:rPr>
        <w:t xml:space="preserve">סימן </w:t>
      </w:r>
      <w:r w:rsidRPr="000476B7">
        <w:rPr>
          <w:rFonts w:cstheme="minorHAnsi"/>
          <w:b/>
          <w:bCs/>
          <w:color w:val="000000" w:themeColor="text1"/>
          <w:rtl/>
        </w:rPr>
        <w:t>הרחבה</w:t>
      </w:r>
      <w:r w:rsidRPr="00923176">
        <w:rPr>
          <w:rFonts w:cstheme="minorHAnsi"/>
          <w:color w:val="000000" w:themeColor="text1"/>
          <w:rtl/>
        </w:rPr>
        <w:t xml:space="preserve"> משמעותית של מעורבות האיחוד בתחום הביטחוני.</w:t>
      </w:r>
    </w:p>
    <w:p w:rsidR="00BC34F4" w:rsidRPr="00923176" w:rsidRDefault="00BC34F4" w:rsidP="00BC34F4">
      <w:pPr>
        <w:bidi/>
        <w:spacing w:line="360" w:lineRule="auto"/>
        <w:rPr>
          <w:rFonts w:cstheme="minorHAnsi"/>
          <w:color w:val="000000" w:themeColor="text1"/>
        </w:rPr>
      </w:pPr>
    </w:p>
    <w:p w:rsidR="00BC34F4" w:rsidRPr="00923176" w:rsidRDefault="00BC34F4" w:rsidP="00BC34F4">
      <w:pPr>
        <w:bidi/>
        <w:spacing w:line="360" w:lineRule="auto"/>
        <w:rPr>
          <w:rFonts w:cstheme="minorHAnsi"/>
          <w:color w:val="000000" w:themeColor="text1"/>
          <w:rtl/>
        </w:rPr>
      </w:pPr>
      <w:r w:rsidRPr="00923176">
        <w:rPr>
          <w:rFonts w:cstheme="minorHAnsi"/>
          <w:color w:val="000000" w:themeColor="text1"/>
          <w:rtl/>
        </w:rPr>
        <w:br/>
        <w:t xml:space="preserve">מחקר מוקדם יותר של </w:t>
      </w:r>
      <w:r w:rsidRPr="00923176">
        <w:rPr>
          <w:rFonts w:cstheme="minorHAnsi"/>
          <w:color w:val="000000" w:themeColor="text1"/>
        </w:rPr>
        <w:t>Heidbreder</w:t>
      </w:r>
      <w:r w:rsidRPr="00923176">
        <w:rPr>
          <w:rFonts w:cstheme="minorHAnsi"/>
          <w:color w:val="000000" w:themeColor="text1"/>
          <w:rtl/>
        </w:rPr>
        <w:t xml:space="preserve"> (2014) מראה שתהליכי </w:t>
      </w:r>
      <w:r w:rsidRPr="000476B7">
        <w:rPr>
          <w:rFonts w:cstheme="minorHAnsi"/>
          <w:b/>
          <w:bCs/>
          <w:color w:val="000000" w:themeColor="text1"/>
          <w:rtl/>
        </w:rPr>
        <w:t>הרחבה</w:t>
      </w:r>
      <w:r w:rsidRPr="00923176">
        <w:rPr>
          <w:rFonts w:cstheme="minorHAnsi"/>
          <w:color w:val="000000" w:themeColor="text1"/>
          <w:rtl/>
        </w:rPr>
        <w:t xml:space="preserve"> בעבר תרמו גם לפיתוח יכולות פעולה חדשות, ובמיוחד של הנציבות. </w:t>
      </w:r>
      <w:r w:rsidRPr="000476B7">
        <w:rPr>
          <w:rFonts w:cstheme="minorHAnsi"/>
          <w:b/>
          <w:bCs/>
          <w:color w:val="000000" w:themeColor="text1"/>
          <w:rtl/>
        </w:rPr>
        <w:t>הרחבה</w:t>
      </w:r>
      <w:r w:rsidRPr="00923176">
        <w:rPr>
          <w:rFonts w:cstheme="minorHAnsi"/>
          <w:color w:val="000000" w:themeColor="text1"/>
          <w:rtl/>
        </w:rPr>
        <w:t xml:space="preserve"> יצרה צורך במנגנוני תיאום ופיקוח מתקדמים יותר על יישום החקיקה האירופית במדינות החדשות (למשל פיתוח מנגנוני ניטור (</w:t>
      </w:r>
      <w:r w:rsidRPr="00923176">
        <w:rPr>
          <w:rFonts w:cstheme="minorHAnsi"/>
          <w:color w:val="000000" w:themeColor="text1"/>
        </w:rPr>
        <w:t>monitoring</w:t>
      </w:r>
      <w:r w:rsidRPr="00923176">
        <w:rPr>
          <w:rFonts w:cstheme="minorHAnsi"/>
          <w:color w:val="000000" w:themeColor="text1"/>
          <w:rtl/>
        </w:rPr>
        <w:t>) ורשתות תיאום רגולטוריות לאחר הרחבת 2004), וחלקם נשארו חלק קבוע ממבנה הממשל של האיחוד.</w:t>
      </w:r>
    </w:p>
    <w:p w:rsidR="00BC34F4" w:rsidRPr="00923176" w:rsidRDefault="00BC34F4" w:rsidP="00BC34F4">
      <w:pPr>
        <w:bidi/>
        <w:spacing w:line="360" w:lineRule="auto"/>
        <w:rPr>
          <w:rFonts w:cstheme="minorHAnsi"/>
          <w:color w:val="000000" w:themeColor="text1"/>
        </w:rPr>
      </w:pPr>
    </w:p>
    <w:p w:rsidR="00BC34F4" w:rsidRPr="00923176" w:rsidRDefault="00BC34F4" w:rsidP="00BC34F4">
      <w:pPr>
        <w:bidi/>
        <w:spacing w:line="360" w:lineRule="auto"/>
        <w:rPr>
          <w:rFonts w:cstheme="minorHAnsi"/>
          <w:color w:val="ED7D31" w:themeColor="accent2"/>
        </w:rPr>
      </w:pPr>
      <w:r w:rsidRPr="00923176">
        <w:rPr>
          <w:rFonts w:cstheme="minorHAnsi"/>
          <w:color w:val="000000" w:themeColor="text1"/>
          <w:rtl/>
        </w:rPr>
        <w:t>בהקשר זה ניתן לקשר גם למנגנון ה-“</w:t>
      </w:r>
      <w:r w:rsidRPr="00923176">
        <w:rPr>
          <w:rFonts w:cstheme="minorHAnsi"/>
          <w:color w:val="000000" w:themeColor="text1"/>
        </w:rPr>
        <w:t>Failing Forward</w:t>
      </w:r>
      <w:r w:rsidRPr="00923176">
        <w:rPr>
          <w:rFonts w:cstheme="minorHAnsi"/>
          <w:color w:val="000000" w:themeColor="text1"/>
          <w:rtl/>
        </w:rPr>
        <w:t xml:space="preserve">”, של  </w:t>
      </w:r>
      <w:r w:rsidRPr="00923176">
        <w:rPr>
          <w:rFonts w:cstheme="minorHAnsi"/>
          <w:color w:val="000000" w:themeColor="text1"/>
        </w:rPr>
        <w:t>Jones, Kelemen, and Meunier</w:t>
      </w:r>
      <w:r w:rsidRPr="00923176">
        <w:rPr>
          <w:rFonts w:cstheme="minorHAnsi"/>
          <w:color w:val="000000" w:themeColor="text1"/>
          <w:rtl/>
        </w:rPr>
        <w:t xml:space="preserve"> (2021). לפי גישה זו, ה</w:t>
      </w:r>
      <w:r w:rsidRPr="000476B7">
        <w:rPr>
          <w:rFonts w:cstheme="minorHAnsi"/>
          <w:bCs/>
          <w:color w:val="000000" w:themeColor="text1"/>
          <w:rtl/>
        </w:rPr>
        <w:t>אינטגרציה</w:t>
      </w:r>
      <w:r w:rsidRPr="00923176">
        <w:rPr>
          <w:rFonts w:cstheme="minorHAnsi"/>
          <w:color w:val="000000" w:themeColor="text1"/>
          <w:rtl/>
        </w:rPr>
        <w:t xml:space="preserve"> האירופית מתקדמת לעיתים דרך משברים. כאשר הסדר המוסדי קיים מתקשה להתמודד עם מציאות חדשה, נוצרים פתרונות שמעמיקים בהדרגה את ה</w:t>
      </w:r>
      <w:r w:rsidRPr="000476B7">
        <w:rPr>
          <w:rFonts w:cstheme="minorHAnsi"/>
          <w:b/>
          <w:bCs/>
          <w:color w:val="000000" w:themeColor="text1"/>
          <w:rtl/>
        </w:rPr>
        <w:t>אינטגרציה</w:t>
      </w:r>
      <w:r w:rsidRPr="00923176">
        <w:rPr>
          <w:rFonts w:cstheme="minorHAnsi"/>
          <w:color w:val="000000" w:themeColor="text1"/>
          <w:rtl/>
        </w:rPr>
        <w:t>. האתגר שמציבה המלחמה באוקראינה עשוי לפעול בצורה דומה, וליצור לחץ להמשך התאמות מוסדיות. האצת התהליך מחייבת כבר עתה בחינה מחדש של עקרון ה</w:t>
      </w:r>
      <w:r w:rsidRPr="00923176">
        <w:rPr>
          <w:rFonts w:cstheme="minorHAnsi"/>
          <w:b/>
          <w:bCs/>
          <w:color w:val="000000" w:themeColor="text1"/>
          <w:rtl/>
        </w:rPr>
        <w:t>פה-אחד</w:t>
      </w:r>
      <w:r w:rsidRPr="00923176">
        <w:rPr>
          <w:rFonts w:cstheme="minorHAnsi"/>
          <w:color w:val="000000" w:themeColor="text1"/>
          <w:rtl/>
        </w:rPr>
        <w:t xml:space="preserve"> ב</w:t>
      </w:r>
      <w:r w:rsidRPr="00923176">
        <w:rPr>
          <w:rFonts w:cstheme="minorHAnsi"/>
          <w:b/>
          <w:bCs/>
          <w:color w:val="000000" w:themeColor="text1"/>
        </w:rPr>
        <w:t>CFSP</w:t>
      </w:r>
      <w:r w:rsidRPr="00923176">
        <w:rPr>
          <w:rFonts w:cstheme="minorHAnsi"/>
          <w:color w:val="000000" w:themeColor="text1"/>
        </w:rPr>
        <w:t xml:space="preserve"> </w:t>
      </w:r>
      <w:r w:rsidRPr="00923176">
        <w:rPr>
          <w:rFonts w:cstheme="minorHAnsi"/>
          <w:color w:val="000000" w:themeColor="text1"/>
          <w:rtl/>
        </w:rPr>
        <w:t xml:space="preserve"> . המציאות שבה מדינה בודדת יכולה לשתק החלטות קריטיות במצב כזה, מייצר</w:t>
      </w:r>
      <w:r>
        <w:rPr>
          <w:rFonts w:cstheme="minorHAnsi"/>
          <w:color w:val="000000" w:themeColor="text1"/>
          <w:rtl/>
        </w:rPr>
        <w:t xml:space="preserve">ת </w:t>
      </w:r>
      <w:r>
        <w:rPr>
          <w:rFonts w:cstheme="minorHAnsi" w:hint="cs"/>
          <w:color w:val="000000" w:themeColor="text1"/>
          <w:rtl/>
        </w:rPr>
        <w:t>לחץ מסודי חזק ומשמעותי</w:t>
      </w:r>
      <w:r w:rsidRPr="00923176">
        <w:rPr>
          <w:rFonts w:cstheme="minorHAnsi"/>
          <w:color w:val="000000" w:themeColor="text1"/>
          <w:rtl/>
        </w:rPr>
        <w:t xml:space="preserve"> שמוביל, לפי מנגנון ה </w:t>
      </w:r>
      <w:r w:rsidRPr="00923176">
        <w:rPr>
          <w:rFonts w:cstheme="minorHAnsi"/>
          <w:color w:val="000000" w:themeColor="text1"/>
        </w:rPr>
        <w:t xml:space="preserve">"Failing Forward" </w:t>
      </w:r>
      <w:r w:rsidRPr="00923176">
        <w:rPr>
          <w:rFonts w:cstheme="minorHAnsi"/>
          <w:color w:val="000000" w:themeColor="text1"/>
          <w:rtl/>
        </w:rPr>
        <w:t xml:space="preserve"> לאימוץ פתרונות מוסדיים עמוקים יותר כדי למנוע קריסה מוחלטת של המערכת</w:t>
      </w:r>
      <w:r w:rsidRPr="00923176">
        <w:rPr>
          <w:rFonts w:cstheme="minorHAnsi"/>
          <w:color w:val="000000" w:themeColor="text1"/>
        </w:rPr>
        <w:t xml:space="preserve"> </w:t>
      </w:r>
      <w:r w:rsidRPr="00923176">
        <w:rPr>
          <w:rFonts w:cstheme="minorHAnsi"/>
          <w:color w:val="000000" w:themeColor="text1"/>
          <w:rtl/>
        </w:rPr>
        <w:t>.</w:t>
      </w:r>
      <w:r w:rsidRPr="00923176">
        <w:rPr>
          <w:rFonts w:cstheme="minorHAnsi"/>
          <w:color w:val="000000" w:themeColor="text1"/>
          <w:rtl/>
        </w:rPr>
        <w:br/>
      </w:r>
    </w:p>
    <w:p w:rsidR="00BC34F4" w:rsidRPr="007D2F5D" w:rsidRDefault="00BC34F4" w:rsidP="00BC34F4">
      <w:pPr>
        <w:bidi/>
        <w:spacing w:line="360" w:lineRule="auto"/>
        <w:rPr>
          <w:rFonts w:cstheme="minorHAnsi"/>
        </w:rPr>
      </w:pPr>
      <w:r w:rsidRPr="007D2F5D">
        <w:rPr>
          <w:rFonts w:cstheme="minorHAnsi" w:hint="cs"/>
          <w:rtl/>
        </w:rPr>
        <w:t>אציין ש</w:t>
      </w:r>
      <w:r w:rsidRPr="007D2F5D">
        <w:rPr>
          <w:rFonts w:cstheme="minorHAnsi"/>
          <w:rtl/>
        </w:rPr>
        <w:t>בהקשר רחב יותר</w:t>
      </w:r>
      <w:r w:rsidRPr="007D2F5D">
        <w:rPr>
          <w:rFonts w:cstheme="minorHAnsi"/>
        </w:rPr>
        <w:t xml:space="preserve">Hix and Høyland (2022) </w:t>
      </w:r>
      <w:r w:rsidRPr="007D2F5D">
        <w:rPr>
          <w:rFonts w:cstheme="minorHAnsi" w:hint="cs"/>
          <w:rtl/>
        </w:rPr>
        <w:t xml:space="preserve"> </w:t>
      </w:r>
      <w:r w:rsidRPr="007D2F5D">
        <w:rPr>
          <w:rFonts w:cstheme="minorHAnsi"/>
          <w:rtl/>
        </w:rPr>
        <w:t>מתארים את האיחוד כמערכת פוליטית רב-רמתית הכוללת מוסדות על-לאומיים ומנגנוני אכיפה שמבדילים אותו מארגונים בינלאומיים רגילים</w:t>
      </w:r>
      <w:r w:rsidRPr="007D2F5D">
        <w:rPr>
          <w:rFonts w:cstheme="minorHAnsi" w:hint="cs"/>
          <w:rtl/>
        </w:rPr>
        <w:t xml:space="preserve"> (כמו האום)</w:t>
      </w:r>
      <w:r w:rsidRPr="007D2F5D">
        <w:rPr>
          <w:rFonts w:cstheme="minorHAnsi"/>
          <w:rtl/>
        </w:rPr>
        <w:t xml:space="preserve">. </w:t>
      </w:r>
      <w:r w:rsidRPr="007D2F5D">
        <w:rPr>
          <w:rFonts w:cstheme="minorHAnsi" w:hint="cs"/>
          <w:rtl/>
        </w:rPr>
        <w:t>ו</w:t>
      </w:r>
      <w:r w:rsidRPr="007D2F5D">
        <w:rPr>
          <w:rFonts w:cstheme="minorHAnsi"/>
          <w:rtl/>
        </w:rPr>
        <w:t xml:space="preserve">בהקשר זה, האצת תהליך ההצטרפות של אוקראינה עשויה לחזק את הצורך במנגנוני קבלת החלטות יעילים יותר ברמה האירופית, ובכך לחדד מחדש את אופיו </w:t>
      </w:r>
      <w:r w:rsidRPr="007D2F5D">
        <w:rPr>
          <w:rFonts w:cstheme="minorHAnsi"/>
          <w:b/>
          <w:bCs/>
          <w:rtl/>
        </w:rPr>
        <w:t>העל-לאומי</w:t>
      </w:r>
      <w:r w:rsidRPr="007D2F5D">
        <w:rPr>
          <w:rFonts w:cstheme="minorHAnsi"/>
          <w:rtl/>
        </w:rPr>
        <w:t xml:space="preserve"> של האיחוד</w:t>
      </w:r>
      <w:r w:rsidRPr="007D2F5D">
        <w:rPr>
          <w:rFonts w:cstheme="minorHAnsi"/>
        </w:rPr>
        <w:t>.</w:t>
      </w:r>
      <w:r w:rsidRPr="007D2F5D">
        <w:rPr>
          <w:rFonts w:cstheme="minorHAnsi"/>
          <w:rtl/>
        </w:rPr>
        <w:br/>
      </w:r>
    </w:p>
    <w:p w:rsidR="00BC34F4" w:rsidRDefault="00BC34F4" w:rsidP="00BC34F4">
      <w:pPr>
        <w:bidi/>
        <w:spacing w:line="360" w:lineRule="auto"/>
        <w:rPr>
          <w:rFonts w:cstheme="minorHAnsi"/>
          <w:b/>
          <w:bCs/>
          <w:u w:val="single"/>
          <w:rtl/>
        </w:rPr>
      </w:pPr>
      <w:r w:rsidRPr="00860723">
        <w:rPr>
          <w:rFonts w:cstheme="minorHAnsi"/>
          <w:b/>
          <w:bCs/>
          <w:i/>
          <w:iCs/>
          <w:color w:val="833C0B" w:themeColor="accent2" w:themeShade="80"/>
        </w:rPr>
        <w:t>Impact</w:t>
      </w:r>
      <w:r w:rsidRPr="00860723">
        <w:rPr>
          <w:rFonts w:cstheme="minorHAnsi"/>
          <w:color w:val="833C0B" w:themeColor="accent2" w:themeShade="80"/>
        </w:rPr>
        <w:t xml:space="preserve"> </w:t>
      </w:r>
      <w:r w:rsidRPr="000904AC">
        <w:rPr>
          <w:rFonts w:cstheme="minorHAnsi"/>
          <w:color w:val="ED7D31" w:themeColor="accent2"/>
        </w:rPr>
        <w:br/>
      </w:r>
      <w:r w:rsidRPr="0064082A">
        <w:rPr>
          <w:rFonts w:cstheme="minorHAnsi"/>
          <w:rtl/>
        </w:rPr>
        <w:t xml:space="preserve">ההשלכה ארוכת הטווח היא משמעותית: האיחוד ניצב בפני בחירה בין שני מסלולים. במסלול הראשון, הוא מגיב לאיום הגיאופוליטי בצורה שמחייבת </w:t>
      </w:r>
      <w:r w:rsidRPr="0064082A">
        <w:rPr>
          <w:rFonts w:cstheme="minorHAnsi"/>
          <w:b/>
          <w:bCs/>
          <w:rtl/>
        </w:rPr>
        <w:t>העמקה</w:t>
      </w:r>
      <w:r w:rsidRPr="0064082A">
        <w:rPr>
          <w:rFonts w:cstheme="minorHAnsi"/>
          <w:rtl/>
        </w:rPr>
        <w:t xml:space="preserve"> מוסדית</w:t>
      </w:r>
      <w:r>
        <w:rPr>
          <w:rFonts w:cstheme="minorHAnsi" w:hint="cs"/>
          <w:rtl/>
        </w:rPr>
        <w:t>.</w:t>
      </w:r>
      <w:r w:rsidRPr="0064082A">
        <w:rPr>
          <w:rFonts w:cstheme="minorHAnsi"/>
          <w:rtl/>
        </w:rPr>
        <w:t xml:space="preserve"> </w:t>
      </w:r>
      <w:r>
        <w:rPr>
          <w:rFonts w:cstheme="minorHAnsi" w:hint="cs"/>
          <w:rtl/>
        </w:rPr>
        <w:t>דבר שעשוי לכלול</w:t>
      </w:r>
      <w:r w:rsidRPr="0064082A">
        <w:rPr>
          <w:rFonts w:cstheme="minorHAnsi"/>
          <w:rtl/>
        </w:rPr>
        <w:t xml:space="preserve"> </w:t>
      </w:r>
      <w:r w:rsidRPr="000476B7">
        <w:rPr>
          <w:rFonts w:cstheme="minorHAnsi"/>
          <w:b/>
          <w:bCs/>
          <w:rtl/>
        </w:rPr>
        <w:t>הרחבה</w:t>
      </w:r>
      <w:r w:rsidRPr="0064082A">
        <w:rPr>
          <w:rFonts w:cstheme="minorHAnsi"/>
          <w:rtl/>
        </w:rPr>
        <w:t xml:space="preserve"> של השימוש בהצבעות </w:t>
      </w:r>
      <w:r w:rsidRPr="0064082A">
        <w:rPr>
          <w:rFonts w:cstheme="minorHAnsi"/>
          <w:b/>
          <w:bCs/>
          <w:rtl/>
        </w:rPr>
        <w:t>רוב מיוחס</w:t>
      </w:r>
      <w:r w:rsidRPr="0064082A">
        <w:rPr>
          <w:rFonts w:cstheme="minorHAnsi"/>
        </w:rPr>
        <w:t xml:space="preserve"> (</w:t>
      </w:r>
      <w:r w:rsidRPr="000476B7">
        <w:rPr>
          <w:rFonts w:cstheme="minorHAnsi"/>
          <w:b/>
          <w:bCs/>
        </w:rPr>
        <w:t>QMV</w:t>
      </w:r>
      <w:r w:rsidRPr="0064082A">
        <w:rPr>
          <w:rFonts w:cstheme="minorHAnsi"/>
        </w:rPr>
        <w:t xml:space="preserve">) </w:t>
      </w:r>
      <w:r w:rsidRPr="0064082A">
        <w:rPr>
          <w:rFonts w:cstheme="minorHAnsi"/>
          <w:rtl/>
        </w:rPr>
        <w:t>בתחומי מדיניות שונים, מנגנון שלפי</w:t>
      </w:r>
      <w:r w:rsidRPr="0064082A">
        <w:rPr>
          <w:rFonts w:cstheme="minorHAnsi"/>
        </w:rPr>
        <w:t xml:space="preserve"> Kelemen et al. (2014) </w:t>
      </w:r>
      <w:r w:rsidRPr="0064082A">
        <w:rPr>
          <w:rFonts w:cstheme="minorHAnsi"/>
          <w:rtl/>
        </w:rPr>
        <w:t xml:space="preserve">עשוי לסייע בשמירה על יכולת הפעולה של האיחוד, </w:t>
      </w:r>
      <w:r w:rsidRPr="0064082A">
        <w:rPr>
          <w:rFonts w:cstheme="minorHAnsi" w:hint="cs"/>
          <w:rtl/>
        </w:rPr>
        <w:t>והתקדמות לעבר</w:t>
      </w:r>
      <w:r w:rsidRPr="0064082A">
        <w:rPr>
          <w:rFonts w:cstheme="minorHAnsi"/>
          <w:rtl/>
        </w:rPr>
        <w:t xml:space="preserve"> </w:t>
      </w:r>
      <w:r w:rsidRPr="0064082A">
        <w:rPr>
          <w:rStyle w:val="a3"/>
          <w:rFonts w:cstheme="minorHAnsi"/>
          <w:rtl/>
        </w:rPr>
        <w:t>משילות רב-רמתית</w:t>
      </w:r>
      <w:r w:rsidRPr="0064082A">
        <w:rPr>
          <w:rFonts w:cstheme="minorHAnsi"/>
          <w:rtl/>
        </w:rPr>
        <w:t xml:space="preserve"> אפקטיבית יותר, שבה האיחוד אינו רק שוק כלכלי אלא כוח ביטחוני מאוחד, נוכח הטרוגניות גוברת בין המדינות החברות. במסלול השני, האיחוד עלול להישאר "ענק כלכלי אך גמד פוליטי" (כלומר מסוגל להפעיל כלים כלכליים כמו סנקציות, אך מוגבל ביכולתו לפעול כגורם ביטחוני אפקטיבי). במובן זה, הימנעות מהאצת תהליך ההצטרפות עשויה לחזק דפוסים </w:t>
      </w:r>
      <w:r w:rsidRPr="0064082A">
        <w:rPr>
          <w:rFonts w:cstheme="minorHAnsi"/>
          <w:b/>
          <w:bCs/>
          <w:rtl/>
        </w:rPr>
        <w:t>בין-ממשלתיים</w:t>
      </w:r>
      <w:r w:rsidRPr="0064082A">
        <w:rPr>
          <w:rFonts w:cstheme="minorHAnsi"/>
          <w:rtl/>
        </w:rPr>
        <w:t xml:space="preserve"> ולצמצם את אופיו ה</w:t>
      </w:r>
      <w:r w:rsidRPr="0064082A">
        <w:rPr>
          <w:rFonts w:cstheme="minorHAnsi"/>
          <w:b/>
          <w:bCs/>
          <w:rtl/>
        </w:rPr>
        <w:t xml:space="preserve">על-לאומי </w:t>
      </w:r>
      <w:r w:rsidRPr="0064082A">
        <w:rPr>
          <w:rFonts w:cstheme="minorHAnsi"/>
          <w:rtl/>
        </w:rPr>
        <w:t>של האיחוד. האצה, לעומת זאת, יכולה להציב את סוגיית הביטחון הקולקטיבי כמנוע נוסף ל</w:t>
      </w:r>
      <w:r w:rsidRPr="0064082A">
        <w:rPr>
          <w:rFonts w:cstheme="minorHAnsi"/>
          <w:b/>
          <w:bCs/>
          <w:rtl/>
        </w:rPr>
        <w:t>סולידריות</w:t>
      </w:r>
      <w:r w:rsidRPr="0064082A">
        <w:rPr>
          <w:rFonts w:cstheme="minorHAnsi"/>
          <w:rtl/>
        </w:rPr>
        <w:t xml:space="preserve"> אירופית ולחזק את ה</w:t>
      </w:r>
      <w:r w:rsidRPr="000476B7">
        <w:rPr>
          <w:rFonts w:cstheme="minorHAnsi"/>
          <w:bCs/>
          <w:rtl/>
        </w:rPr>
        <w:t>לגיטימיות</w:t>
      </w:r>
      <w:r w:rsidRPr="0064082A">
        <w:rPr>
          <w:rFonts w:cstheme="minorHAnsi"/>
          <w:rtl/>
        </w:rPr>
        <w:t xml:space="preserve"> של האיחוד כשחקן פוליטי וביטחוני בזירה הבינלאומית.</w:t>
      </w:r>
      <w:r>
        <w:rPr>
          <w:rFonts w:cstheme="minorHAnsi"/>
          <w:color w:val="ED7D31" w:themeColor="accent2"/>
          <w:rtl/>
        </w:rPr>
        <w:br/>
      </w:r>
      <w:r w:rsidRPr="00D325DC">
        <w:rPr>
          <w:rFonts w:cstheme="minorHAnsi"/>
          <w:rtl/>
        </w:rPr>
        <w:br/>
      </w:r>
    </w:p>
    <w:p w:rsidR="00BC34F4" w:rsidRPr="00860723" w:rsidRDefault="00BC34F4" w:rsidP="00BC34F4">
      <w:pPr>
        <w:bidi/>
        <w:spacing w:line="360" w:lineRule="auto"/>
        <w:rPr>
          <w:rFonts w:cstheme="minorHAnsi" w:hint="cs"/>
          <w:b/>
          <w:bCs/>
          <w:i/>
          <w:iCs/>
          <w:color w:val="833C0B" w:themeColor="accent2" w:themeShade="80"/>
          <w:rtl/>
        </w:rPr>
      </w:pPr>
      <w:r w:rsidRPr="00023618">
        <w:rPr>
          <w:rFonts w:cstheme="minorHAnsi"/>
          <w:b/>
          <w:bCs/>
          <w:color w:val="1F4E79" w:themeColor="accent1" w:themeShade="80"/>
          <w:u w:val="single"/>
          <w:rtl/>
        </w:rPr>
        <w:lastRenderedPageBreak/>
        <w:t>טיעון ב</w:t>
      </w:r>
      <w:r w:rsidRPr="00023618">
        <w:rPr>
          <w:rFonts w:cstheme="minorHAnsi" w:hint="cs"/>
          <w:b/>
          <w:bCs/>
          <w:color w:val="1F4E79" w:themeColor="accent1" w:themeShade="80"/>
          <w:u w:val="single"/>
          <w:rtl/>
        </w:rPr>
        <w:t>' בעד</w:t>
      </w:r>
      <w:r w:rsidRPr="00D325DC">
        <w:rPr>
          <w:rFonts w:cstheme="minorHAnsi"/>
          <w:rtl/>
        </w:rPr>
        <w:br/>
      </w:r>
      <w:r w:rsidRPr="00D325DC">
        <w:rPr>
          <w:rFonts w:cstheme="minorHAnsi"/>
          <w:rtl/>
        </w:rPr>
        <w:br/>
      </w:r>
      <w:r w:rsidRPr="00860723">
        <w:rPr>
          <w:rFonts w:cstheme="minorHAnsi" w:hint="cs"/>
          <w:b/>
          <w:bCs/>
          <w:i/>
          <w:iCs/>
          <w:color w:val="833C0B" w:themeColor="accent2" w:themeShade="80"/>
          <w:rtl/>
        </w:rPr>
        <w:t>טיעון (</w:t>
      </w:r>
      <w:r w:rsidRPr="00860723">
        <w:rPr>
          <w:rFonts w:cstheme="minorHAnsi"/>
          <w:b/>
          <w:bCs/>
          <w:i/>
          <w:iCs/>
          <w:color w:val="833C0B" w:themeColor="accent2" w:themeShade="80"/>
        </w:rPr>
        <w:t>Claim</w:t>
      </w:r>
      <w:r w:rsidRPr="00860723">
        <w:rPr>
          <w:rFonts w:cstheme="minorHAnsi" w:hint="cs"/>
          <w:b/>
          <w:bCs/>
          <w:i/>
          <w:iCs/>
          <w:color w:val="833C0B" w:themeColor="accent2" w:themeShade="80"/>
          <w:rtl/>
        </w:rPr>
        <w:t>)</w:t>
      </w:r>
    </w:p>
    <w:p w:rsidR="00BC34F4" w:rsidRPr="00D325DC" w:rsidRDefault="00BC34F4" w:rsidP="00BC34F4">
      <w:pPr>
        <w:bidi/>
        <w:spacing w:line="360" w:lineRule="auto"/>
        <w:rPr>
          <w:rFonts w:cstheme="minorHAnsi"/>
        </w:rPr>
      </w:pPr>
      <w:r>
        <w:rPr>
          <w:rFonts w:cstheme="minorHAnsi"/>
          <w:rtl/>
        </w:rPr>
        <w:br/>
      </w:r>
      <w:r>
        <w:rPr>
          <w:rFonts w:cstheme="minorHAnsi"/>
          <w:rtl/>
        </w:rPr>
        <w:br/>
      </w:r>
      <w:r w:rsidRPr="00D325DC">
        <w:rPr>
          <w:rFonts w:cstheme="minorHAnsi"/>
          <w:rtl/>
        </w:rPr>
        <w:t>הביקורת המרכזית על האצת הצטרפות אוקראינה מתמקדת בשתי נקודות עיקריות: החשש מפגיעה בסטנדרטים של ה</w:t>
      </w:r>
      <w:r w:rsidRPr="00D325DC">
        <w:rPr>
          <w:rFonts w:cstheme="minorHAnsi"/>
        </w:rPr>
        <w:t xml:space="preserve"> </w:t>
      </w:r>
      <w:r w:rsidRPr="00D325DC">
        <w:rPr>
          <w:rFonts w:cstheme="minorHAnsi"/>
          <w:b/>
          <w:bCs/>
        </w:rPr>
        <w:t>acquis communautaire</w:t>
      </w:r>
      <w:r w:rsidRPr="00D325DC">
        <w:rPr>
          <w:rFonts w:cstheme="minorHAnsi"/>
        </w:rPr>
        <w:t xml:space="preserve"> </w:t>
      </w:r>
      <w:r w:rsidRPr="00D325DC">
        <w:rPr>
          <w:rFonts w:cstheme="minorHAnsi"/>
          <w:rtl/>
        </w:rPr>
        <w:t>, והעומס התקציבי האפשרי על מסגרת התקציב הרב-שנתית</w:t>
      </w:r>
      <w:r w:rsidRPr="00D325DC">
        <w:rPr>
          <w:rFonts w:cstheme="minorHAnsi"/>
        </w:rPr>
        <w:t xml:space="preserve"> (</w:t>
      </w:r>
      <w:r w:rsidRPr="00D325DC">
        <w:rPr>
          <w:rFonts w:cstheme="minorHAnsi"/>
          <w:b/>
          <w:bCs/>
        </w:rPr>
        <w:t>MFF</w:t>
      </w:r>
      <w:r w:rsidRPr="00D325DC">
        <w:rPr>
          <w:rFonts w:cstheme="minorHAnsi"/>
        </w:rPr>
        <w:t xml:space="preserve">) </w:t>
      </w:r>
      <w:r w:rsidRPr="00D325DC">
        <w:rPr>
          <w:rFonts w:cstheme="minorHAnsi"/>
          <w:rtl/>
        </w:rPr>
        <w:t xml:space="preserve">. מדובר בחששות לגיטימיים, אך לדעתי  הם אינם מחייבים בהכרח דחייה ממושכת של ההצטרפות. אציע, על בסיס המחקר,  אפשרות אחרת: </w:t>
      </w:r>
      <w:r w:rsidRPr="000476B7">
        <w:rPr>
          <w:rFonts w:cstheme="minorHAnsi"/>
          <w:b/>
          <w:bCs/>
          <w:rtl/>
        </w:rPr>
        <w:t>אינטגרציה</w:t>
      </w:r>
      <w:r w:rsidRPr="00D325DC">
        <w:rPr>
          <w:rFonts w:cstheme="minorHAnsi"/>
          <w:b/>
          <w:bCs/>
          <w:rtl/>
        </w:rPr>
        <w:t xml:space="preserve"> מובחנת</w:t>
      </w:r>
      <w:r w:rsidRPr="00D325DC">
        <w:rPr>
          <w:rFonts w:cstheme="minorHAnsi"/>
          <w:b/>
          <w:bCs/>
        </w:rPr>
        <w:t xml:space="preserve"> (Differentiated Integration)</w:t>
      </w:r>
      <w:r w:rsidRPr="00D325DC">
        <w:rPr>
          <w:rFonts w:cstheme="minorHAnsi"/>
        </w:rPr>
        <w:t xml:space="preserve"> </w:t>
      </w:r>
      <w:r w:rsidRPr="00D325DC">
        <w:rPr>
          <w:rFonts w:cstheme="minorHAnsi"/>
          <w:rtl/>
        </w:rPr>
        <w:t>. גישה זו מאפשרת לאיחוד להתקדם בתהליך ההצטרפות בצורה מדורגת תוך שמירה על הסטנדרטים המוסדיים והמשפטיים שלו</w:t>
      </w:r>
      <w:r w:rsidRPr="00D325DC">
        <w:rPr>
          <w:rFonts w:cstheme="minorHAnsi"/>
        </w:rPr>
        <w:t>.</w:t>
      </w:r>
    </w:p>
    <w:p w:rsidR="00BC34F4" w:rsidRPr="00D325DC" w:rsidRDefault="00BC34F4" w:rsidP="00BC34F4">
      <w:pPr>
        <w:bidi/>
        <w:spacing w:line="360" w:lineRule="auto"/>
        <w:rPr>
          <w:rFonts w:cstheme="minorHAnsi"/>
        </w:rPr>
      </w:pPr>
      <w:r w:rsidRPr="00D325DC">
        <w:rPr>
          <w:rFonts w:cstheme="minorHAnsi"/>
          <w:rtl/>
        </w:rPr>
        <w:br/>
        <w:t xml:space="preserve">הרעיון המרכזי הוא "חברות מדורגת" </w:t>
      </w:r>
      <w:r w:rsidRPr="00D325DC">
        <w:rPr>
          <w:rFonts w:cstheme="minorHAnsi"/>
        </w:rPr>
        <w:t xml:space="preserve"> (Staged Accession)</w:t>
      </w:r>
      <w:r w:rsidRPr="00D325DC">
        <w:rPr>
          <w:rFonts w:cstheme="minorHAnsi"/>
          <w:rtl/>
        </w:rPr>
        <w:t>:</w:t>
      </w:r>
      <w:r w:rsidRPr="00D325DC">
        <w:rPr>
          <w:rFonts w:cstheme="minorHAnsi"/>
        </w:rPr>
        <w:t xml:space="preserve"> </w:t>
      </w:r>
      <w:r w:rsidRPr="00D325DC">
        <w:rPr>
          <w:rFonts w:cstheme="minorHAnsi"/>
          <w:rtl/>
        </w:rPr>
        <w:t xml:space="preserve">אוקראינה מקבלת מסגרת של חברות פוליטית ועוגן ביטחוני, בעוד שההשתלבות בשוק הפנימי </w:t>
      </w:r>
      <w:r w:rsidRPr="00D325DC">
        <w:rPr>
          <w:rFonts w:cstheme="minorHAnsi"/>
          <w:b/>
          <w:bCs/>
          <w:rtl/>
        </w:rPr>
        <w:t>ובארבע החירויות</w:t>
      </w:r>
      <w:r w:rsidRPr="00D325DC">
        <w:rPr>
          <w:rFonts w:cstheme="minorHAnsi"/>
          <w:rtl/>
        </w:rPr>
        <w:t xml:space="preserve"> מתבצעת בצורה הדרגתית ומבוססת ביצועים</w:t>
      </w:r>
      <w:r w:rsidRPr="00D325DC">
        <w:rPr>
          <w:rFonts w:cstheme="minorHAnsi"/>
        </w:rPr>
        <w:t xml:space="preserve"> (performance-based)</w:t>
      </w:r>
      <w:r w:rsidRPr="00D325DC">
        <w:rPr>
          <w:rFonts w:cstheme="minorHAnsi"/>
          <w:rtl/>
        </w:rPr>
        <w:t xml:space="preserve"> . מודל כזה מאפשר לנהל את תהליך ההצטרפות בצורה מבוקרת, לצמצם זעזועים כלכליים וחברתיים במדינות החברות, ובמקביל לספק לאוקראינה מסגרת מוסדית יציבה שתתמוך בתהליך השיקום ארוך הטווח שלה. ניסיון העבר של האיחוד מלמד כי הסדרים מדורגים מסוג זה אינם חריגים בתהליכי </w:t>
      </w:r>
      <w:r w:rsidRPr="000476B7">
        <w:rPr>
          <w:rFonts w:cstheme="minorHAnsi"/>
          <w:b/>
          <w:bCs/>
          <w:rtl/>
        </w:rPr>
        <w:t>הרחבה</w:t>
      </w:r>
      <w:r w:rsidRPr="00D325DC">
        <w:rPr>
          <w:rFonts w:cstheme="minorHAnsi"/>
          <w:rtl/>
        </w:rPr>
        <w:t>, אלא חלק מהכלים המוסדיים שאפשרו את הרחבות העבר</w:t>
      </w:r>
      <w:r w:rsidRPr="00D325DC">
        <w:rPr>
          <w:rFonts w:cstheme="minorHAnsi"/>
        </w:rPr>
        <w:t>.</w:t>
      </w:r>
    </w:p>
    <w:p w:rsidR="00BC34F4" w:rsidRPr="00860723" w:rsidRDefault="00BC34F4" w:rsidP="00BC34F4">
      <w:pPr>
        <w:bidi/>
        <w:spacing w:line="360" w:lineRule="auto"/>
        <w:rPr>
          <w:rFonts w:cstheme="minorHAnsi"/>
          <w:b/>
          <w:bCs/>
          <w:i/>
          <w:iCs/>
        </w:rPr>
      </w:pPr>
      <w:r w:rsidRPr="00923176">
        <w:rPr>
          <w:rFonts w:cstheme="minorHAnsi"/>
          <w:rtl/>
        </w:rPr>
        <w:br/>
      </w:r>
      <w:r w:rsidRPr="00860723">
        <w:rPr>
          <w:rFonts w:cstheme="minorHAnsi"/>
          <w:b/>
          <w:bCs/>
          <w:i/>
          <w:iCs/>
          <w:color w:val="833C0B" w:themeColor="accent2" w:themeShade="80"/>
          <w:rtl/>
        </w:rPr>
        <w:t>ראיה</w:t>
      </w:r>
      <w:r w:rsidRPr="00860723">
        <w:rPr>
          <w:rFonts w:cstheme="minorHAnsi"/>
          <w:b/>
          <w:bCs/>
          <w:i/>
          <w:iCs/>
          <w:color w:val="833C0B" w:themeColor="accent2" w:themeShade="80"/>
        </w:rPr>
        <w:t xml:space="preserve"> (Evidence)</w:t>
      </w:r>
    </w:p>
    <w:p w:rsidR="00BC34F4" w:rsidRPr="00041C84" w:rsidRDefault="00BC34F4" w:rsidP="00BC34F4">
      <w:pPr>
        <w:bidi/>
        <w:spacing w:line="360" w:lineRule="auto"/>
        <w:rPr>
          <w:rFonts w:cstheme="minorHAnsi"/>
          <w:rtl/>
        </w:rPr>
      </w:pPr>
      <w:r w:rsidRPr="00041C84">
        <w:rPr>
          <w:rFonts w:cstheme="minorHAnsi"/>
          <w:rtl/>
        </w:rPr>
        <w:br/>
      </w:r>
      <w:r w:rsidRPr="00041C84">
        <w:rPr>
          <w:rFonts w:cstheme="minorHAnsi"/>
        </w:rPr>
        <w:t>Leuffen, Rittberger</w:t>
      </w:r>
      <w:r>
        <w:rPr>
          <w:rFonts w:cstheme="minorHAnsi"/>
        </w:rPr>
        <w:t xml:space="preserve"> and</w:t>
      </w:r>
      <w:r w:rsidRPr="00041C84">
        <w:rPr>
          <w:rFonts w:cstheme="minorHAnsi"/>
        </w:rPr>
        <w:t xml:space="preserve"> Schimmelfennig (2013) </w:t>
      </w:r>
      <w:r w:rsidRPr="00041C84">
        <w:rPr>
          <w:rFonts w:cstheme="minorHAnsi" w:hint="cs"/>
          <w:rtl/>
        </w:rPr>
        <w:t xml:space="preserve"> </w:t>
      </w:r>
      <w:r>
        <w:rPr>
          <w:rFonts w:cstheme="minorHAnsi" w:hint="cs"/>
          <w:rtl/>
        </w:rPr>
        <w:t xml:space="preserve"> </w:t>
      </w:r>
      <w:r w:rsidRPr="00041C84">
        <w:rPr>
          <w:rFonts w:cstheme="minorHAnsi"/>
          <w:rtl/>
        </w:rPr>
        <w:t xml:space="preserve">מציעים מסגרת שלפיה האיחוד האירופי אינו ישות אחידה לחלוטין אלא מערכת המאופיינת </w:t>
      </w:r>
      <w:r w:rsidRPr="00041C84">
        <w:rPr>
          <w:rFonts w:cstheme="minorHAnsi"/>
          <w:b/>
          <w:bCs/>
          <w:rtl/>
        </w:rPr>
        <w:t>ב</w:t>
      </w:r>
      <w:r w:rsidRPr="000476B7">
        <w:rPr>
          <w:rFonts w:cstheme="minorHAnsi"/>
          <w:b/>
          <w:bCs/>
          <w:rtl/>
        </w:rPr>
        <w:t>אינטגרציה</w:t>
      </w:r>
      <w:r w:rsidRPr="00041C84">
        <w:rPr>
          <w:rFonts w:cstheme="minorHAnsi"/>
          <w:b/>
          <w:bCs/>
          <w:rtl/>
        </w:rPr>
        <w:t xml:space="preserve"> מובחנת</w:t>
      </w:r>
      <w:r w:rsidRPr="00041C84">
        <w:rPr>
          <w:rFonts w:cstheme="minorHAnsi"/>
          <w:rtl/>
        </w:rPr>
        <w:t>. לפי גישה זו, דיפרנציאציה אינה חריגה מתהליך ה</w:t>
      </w:r>
      <w:r w:rsidRPr="000476B7">
        <w:rPr>
          <w:rFonts w:cstheme="minorHAnsi"/>
          <w:b/>
          <w:bCs/>
          <w:rtl/>
        </w:rPr>
        <w:t>אינטגרציה</w:t>
      </w:r>
      <w:r w:rsidRPr="00041C84">
        <w:rPr>
          <w:rFonts w:cstheme="minorHAnsi"/>
          <w:rtl/>
        </w:rPr>
        <w:t xml:space="preserve"> אלא מאפיין מבני של האיחוד המאפשר להתמודד עם רמות שונות של הטרוגניות בין המדינות החברות. דוגמאות לכך הן גוש האירו ואזור שנגן, הממחישות כי השתתפות מלאה בכל תחומי המדיניות אינה תנאי הכרחי לחברות באיחוד בכל שלב</w:t>
      </w:r>
      <w:r w:rsidRPr="00041C84">
        <w:rPr>
          <w:rFonts w:cstheme="minorHAnsi"/>
        </w:rPr>
        <w:t>.</w:t>
      </w:r>
    </w:p>
    <w:p w:rsidR="00BC34F4" w:rsidRPr="00041C84" w:rsidRDefault="00BC34F4" w:rsidP="00BC34F4">
      <w:pPr>
        <w:bidi/>
        <w:spacing w:line="360" w:lineRule="auto"/>
        <w:rPr>
          <w:rFonts w:cstheme="minorHAnsi"/>
        </w:rPr>
      </w:pPr>
    </w:p>
    <w:p w:rsidR="00BC34F4" w:rsidRPr="00041C84" w:rsidRDefault="00BC34F4" w:rsidP="00BC34F4">
      <w:pPr>
        <w:bidi/>
        <w:spacing w:line="360" w:lineRule="auto"/>
        <w:rPr>
          <w:rFonts w:cstheme="minorHAnsi"/>
          <w:rtl/>
        </w:rPr>
      </w:pPr>
      <w:r w:rsidRPr="00041C84">
        <w:rPr>
          <w:rFonts w:cstheme="minorHAnsi"/>
          <w:rtl/>
        </w:rPr>
        <w:t>הנתונים של</w:t>
      </w:r>
      <w:r w:rsidRPr="00041C84">
        <w:rPr>
          <w:rFonts w:cstheme="minorHAnsi"/>
        </w:rPr>
        <w:t xml:space="preserve"> Schimmelfennig (2014) </w:t>
      </w:r>
      <w:r w:rsidRPr="00041C84">
        <w:rPr>
          <w:rFonts w:cstheme="minorHAnsi"/>
          <w:rtl/>
        </w:rPr>
        <w:t xml:space="preserve">מחזקים טענה זו. בניתוח של 267 מקרי דיפרנציאציה שנוצרו במסגרת הרחבות האיחוד נמצא כי 78% מהם היו החרגות זמניות </w:t>
      </w:r>
      <w:r w:rsidRPr="00041C84">
        <w:rPr>
          <w:rFonts w:cstheme="minorHAnsi" w:hint="cs"/>
          <w:rtl/>
        </w:rPr>
        <w:t>(</w:t>
      </w:r>
      <w:r w:rsidRPr="00041C84">
        <w:rPr>
          <w:rFonts w:cstheme="minorHAnsi"/>
          <w:rtl/>
        </w:rPr>
        <w:t>דחייה של יי</w:t>
      </w:r>
      <w:r>
        <w:rPr>
          <w:rFonts w:cstheme="minorHAnsi"/>
          <w:rtl/>
        </w:rPr>
        <w:t>שום חובות רגולטוריות ולא ביטולן</w:t>
      </w:r>
      <w:r w:rsidRPr="00041C84">
        <w:rPr>
          <w:rFonts w:cstheme="minorHAnsi" w:hint="cs"/>
          <w:rtl/>
        </w:rPr>
        <w:t>)</w:t>
      </w:r>
      <w:r w:rsidRPr="00041C84">
        <w:rPr>
          <w:rFonts w:cstheme="minorHAnsi"/>
          <w:rtl/>
        </w:rPr>
        <w:t xml:space="preserve"> ו-95% מהן הסתיימו בתוך עשר שנים. כלומר, הדיפרנציאציה אינה יוצרת מסלול קבוע של חברות חלקית אלא משמשת לרוב כהסדר מעבר המאפשר התכנסות הדרגתית לסטנדרטים האירופיים</w:t>
      </w:r>
      <w:r w:rsidRPr="00041C84">
        <w:rPr>
          <w:rFonts w:cstheme="minorHAnsi"/>
        </w:rPr>
        <w:t>.</w:t>
      </w:r>
    </w:p>
    <w:p w:rsidR="00BC34F4" w:rsidRPr="00041C84" w:rsidRDefault="00BC34F4" w:rsidP="00BC34F4">
      <w:pPr>
        <w:bidi/>
        <w:spacing w:line="360" w:lineRule="auto"/>
        <w:rPr>
          <w:rFonts w:cstheme="minorHAnsi"/>
        </w:rPr>
      </w:pPr>
    </w:p>
    <w:p w:rsidR="00BC34F4" w:rsidRPr="00041C84" w:rsidRDefault="00BC34F4" w:rsidP="00BC34F4">
      <w:pPr>
        <w:bidi/>
        <w:spacing w:line="360" w:lineRule="auto"/>
        <w:rPr>
          <w:rFonts w:cstheme="minorHAnsi"/>
          <w:rtl/>
        </w:rPr>
      </w:pPr>
      <w:r w:rsidRPr="00041C84">
        <w:rPr>
          <w:rFonts w:cstheme="minorHAnsi"/>
          <w:rtl/>
        </w:rPr>
        <w:t>דוגמה עכשווית לכך היא הפעלת הנחיית ההגנה הזמנית בשנת 2022 עבור פליטי אוקראינה. כפי שמראה</w:t>
      </w:r>
      <w:r w:rsidRPr="00041C84">
        <w:rPr>
          <w:rFonts w:cstheme="minorHAnsi"/>
        </w:rPr>
        <w:t xml:space="preserve"> Heidbreder (2024)</w:t>
      </w:r>
      <w:r>
        <w:rPr>
          <w:rFonts w:cstheme="minorHAnsi" w:hint="cs"/>
          <w:rtl/>
        </w:rPr>
        <w:t>,</w:t>
      </w:r>
      <w:r w:rsidRPr="00041C84">
        <w:rPr>
          <w:rFonts w:cstheme="minorHAnsi"/>
        </w:rPr>
        <w:t xml:space="preserve"> </w:t>
      </w:r>
      <w:r w:rsidRPr="00041C84">
        <w:rPr>
          <w:rFonts w:cstheme="minorHAnsi" w:hint="cs"/>
          <w:rtl/>
        </w:rPr>
        <w:t xml:space="preserve"> </w:t>
      </w:r>
      <w:r w:rsidRPr="00041C84">
        <w:rPr>
          <w:rFonts w:cstheme="minorHAnsi"/>
          <w:rtl/>
        </w:rPr>
        <w:t xml:space="preserve">גם בהיעדר הסכמה רחבה על מדיניות ההגירה הצליח האיחוד לגבש מנגנון </w:t>
      </w:r>
      <w:r w:rsidRPr="00041C84">
        <w:rPr>
          <w:rFonts w:cstheme="minorHAnsi"/>
          <w:b/>
          <w:bCs/>
          <w:rtl/>
        </w:rPr>
        <w:t>סולידריות</w:t>
      </w:r>
      <w:r w:rsidRPr="00041C84">
        <w:rPr>
          <w:rFonts w:cstheme="minorHAnsi"/>
          <w:rtl/>
        </w:rPr>
        <w:t xml:space="preserve"> מהיר </w:t>
      </w:r>
      <w:r w:rsidRPr="00041C84">
        <w:rPr>
          <w:rFonts w:cstheme="minorHAnsi"/>
          <w:rtl/>
        </w:rPr>
        <w:lastRenderedPageBreak/>
        <w:t xml:space="preserve">במסגרת </w:t>
      </w:r>
      <w:r w:rsidRPr="00041C84">
        <w:rPr>
          <w:rFonts w:cstheme="minorHAnsi"/>
          <w:b/>
          <w:bCs/>
          <w:rtl/>
        </w:rPr>
        <w:t>אזור החירות, הביטחון והצדק</w:t>
      </w:r>
      <w:r w:rsidRPr="00041C84">
        <w:rPr>
          <w:rFonts w:cstheme="minorHAnsi"/>
          <w:b/>
          <w:bCs/>
        </w:rPr>
        <w:t xml:space="preserve"> (AFSJ). </w:t>
      </w:r>
      <w:r w:rsidRPr="00041C84">
        <w:rPr>
          <w:rFonts w:cstheme="minorHAnsi"/>
          <w:rtl/>
        </w:rPr>
        <w:t>ניסיון זה מדגים כיצד פתרונות מוסדיים גמישים יכולים לאפשר פעולה משותפת גם בתנאים של מחלוקת פוליטית</w:t>
      </w:r>
      <w:r w:rsidRPr="00041C84">
        <w:rPr>
          <w:rFonts w:cstheme="minorHAnsi"/>
        </w:rPr>
        <w:t>.</w:t>
      </w:r>
    </w:p>
    <w:p w:rsidR="00BC34F4" w:rsidRPr="00041C84" w:rsidRDefault="00BC34F4" w:rsidP="00BC34F4">
      <w:pPr>
        <w:bidi/>
        <w:spacing w:line="360" w:lineRule="auto"/>
        <w:rPr>
          <w:rFonts w:cstheme="minorHAnsi" w:hint="cs"/>
        </w:rPr>
      </w:pPr>
    </w:p>
    <w:p w:rsidR="00BC34F4" w:rsidRPr="00041C84" w:rsidRDefault="00BC34F4" w:rsidP="00BC34F4">
      <w:pPr>
        <w:bidi/>
        <w:spacing w:line="360" w:lineRule="auto"/>
        <w:rPr>
          <w:rFonts w:cstheme="minorHAnsi" w:hint="cs"/>
          <w:rtl/>
        </w:rPr>
      </w:pPr>
      <w:r w:rsidRPr="00041C84">
        <w:rPr>
          <w:rFonts w:cstheme="minorHAnsi"/>
        </w:rPr>
        <w:t xml:space="preserve">Schneider (2014) </w:t>
      </w:r>
      <w:r>
        <w:rPr>
          <w:rFonts w:cstheme="minorHAnsi" w:hint="cs"/>
          <w:rtl/>
        </w:rPr>
        <w:t xml:space="preserve"> </w:t>
      </w:r>
      <w:r w:rsidRPr="00041C84">
        <w:rPr>
          <w:rFonts w:cstheme="minorHAnsi" w:hint="cs"/>
          <w:rtl/>
        </w:rPr>
        <w:t>מוסיפה</w:t>
      </w:r>
      <w:r w:rsidRPr="00041C84">
        <w:rPr>
          <w:rFonts w:cstheme="minorHAnsi"/>
          <w:rtl/>
        </w:rPr>
        <w:t xml:space="preserve"> כי הקושי בשיתוף פעולה באיחוד אינו נובע רק ממספר המדינות החברות, אלא גם מרמת ההטרוגניות האידאולוגית ביניהן. </w:t>
      </w:r>
      <w:r w:rsidRPr="00041C84">
        <w:rPr>
          <w:rFonts w:cstheme="minorHAnsi" w:hint="cs"/>
          <w:rtl/>
        </w:rPr>
        <w:t xml:space="preserve">לפיכך </w:t>
      </w:r>
      <w:r w:rsidRPr="00041C84">
        <w:rPr>
          <w:rFonts w:cstheme="minorHAnsi"/>
          <w:rtl/>
        </w:rPr>
        <w:t xml:space="preserve">מנגנונים של גמישות ודיפרנציאציה עשויים לסייע </w:t>
      </w:r>
      <w:r w:rsidRPr="00041C84">
        <w:rPr>
          <w:rFonts w:cstheme="minorHAnsi" w:hint="cs"/>
          <w:rtl/>
        </w:rPr>
        <w:t xml:space="preserve">דווקא </w:t>
      </w:r>
      <w:r w:rsidRPr="00041C84">
        <w:rPr>
          <w:rFonts w:cstheme="minorHAnsi"/>
          <w:rtl/>
        </w:rPr>
        <w:t>בצמצום הסיכון לשיתוק מוסדי ולאפשר המשך התקדמות של תהליך ה</w:t>
      </w:r>
      <w:r w:rsidRPr="000476B7">
        <w:rPr>
          <w:rFonts w:cstheme="minorHAnsi"/>
          <w:b/>
          <w:bCs/>
          <w:rtl/>
        </w:rPr>
        <w:t>אינטגרציה</w:t>
      </w:r>
      <w:r w:rsidRPr="00041C84">
        <w:rPr>
          <w:rFonts w:cstheme="minorHAnsi"/>
          <w:b/>
          <w:bCs/>
          <w:rtl/>
        </w:rPr>
        <w:t xml:space="preserve"> </w:t>
      </w:r>
      <w:r w:rsidRPr="00041C84">
        <w:rPr>
          <w:rFonts w:cstheme="minorHAnsi"/>
          <w:rtl/>
        </w:rPr>
        <w:t xml:space="preserve">גם בתנאים של </w:t>
      </w:r>
      <w:r w:rsidRPr="000476B7">
        <w:rPr>
          <w:rFonts w:cstheme="minorHAnsi"/>
          <w:b/>
          <w:bCs/>
          <w:rtl/>
        </w:rPr>
        <w:t>הרחבה</w:t>
      </w:r>
      <w:r w:rsidRPr="00041C84">
        <w:rPr>
          <w:rFonts w:cstheme="minorHAnsi"/>
        </w:rPr>
        <w:t>.</w:t>
      </w:r>
      <w:r>
        <w:rPr>
          <w:rFonts w:cstheme="minorHAnsi"/>
          <w:rtl/>
        </w:rPr>
        <w:br/>
      </w:r>
    </w:p>
    <w:p w:rsidR="00BC34F4" w:rsidRDefault="00BC34F4" w:rsidP="00BC34F4">
      <w:pPr>
        <w:bidi/>
        <w:spacing w:line="360" w:lineRule="auto"/>
        <w:rPr>
          <w:rFonts w:cstheme="minorHAnsi"/>
          <w:rtl/>
        </w:rPr>
      </w:pPr>
      <w:r w:rsidRPr="00860723">
        <w:rPr>
          <w:rFonts w:cstheme="minorHAnsi"/>
          <w:b/>
          <w:bCs/>
          <w:i/>
          <w:iCs/>
          <w:color w:val="833C0B" w:themeColor="accent2" w:themeShade="80"/>
        </w:rPr>
        <w:t>Impact</w:t>
      </w:r>
      <w:r w:rsidRPr="00575776">
        <w:rPr>
          <w:rFonts w:cstheme="minorHAnsi"/>
        </w:rPr>
        <w:br/>
      </w:r>
      <w:r w:rsidRPr="00575776">
        <w:rPr>
          <w:rFonts w:cstheme="minorHAnsi"/>
          <w:rtl/>
        </w:rPr>
        <w:br/>
        <w:t>המשמעות של ממצאים אלה היא ש</w:t>
      </w:r>
      <w:r w:rsidRPr="000476B7">
        <w:rPr>
          <w:rFonts w:cstheme="minorHAnsi"/>
          <w:b/>
          <w:bCs/>
          <w:rtl/>
        </w:rPr>
        <w:t>הרחבה</w:t>
      </w:r>
      <w:r w:rsidRPr="00575776">
        <w:rPr>
          <w:rFonts w:cstheme="minorHAnsi"/>
          <w:rtl/>
        </w:rPr>
        <w:t xml:space="preserve"> אינה חייבת לבוא על חשבון הסטנדרטים של האיחוד. הניסיון ההיסטורי מראה כי דיפרנציאציה והסדרי מעבר מאפשרים לשלב מדינות חדשות מבלי לערער את המבנה המוסדי הקיים. במובן זה, </w:t>
      </w:r>
      <w:r w:rsidRPr="000476B7">
        <w:rPr>
          <w:rFonts w:cstheme="minorHAnsi"/>
          <w:bCs/>
          <w:rtl/>
        </w:rPr>
        <w:t>אינטגרציה</w:t>
      </w:r>
      <w:r w:rsidRPr="00575776">
        <w:rPr>
          <w:rFonts w:cstheme="minorHAnsi"/>
          <w:rtl/>
        </w:rPr>
        <w:t xml:space="preserve"> מובחנת מספקת פתרון מעשי לדילמה שבין האצת ההצטרפות של אוקראינה לבין שמירה על דרישות ה</w:t>
      </w:r>
      <w:r>
        <w:rPr>
          <w:rFonts w:cstheme="minorHAnsi" w:hint="cs"/>
          <w:rtl/>
        </w:rPr>
        <w:t>-</w:t>
      </w:r>
      <w:r>
        <w:rPr>
          <w:rFonts w:cstheme="minorHAnsi"/>
        </w:rPr>
        <w:t xml:space="preserve"> </w:t>
      </w:r>
      <w:r w:rsidRPr="003B4ADC">
        <w:rPr>
          <w:rFonts w:cstheme="minorHAnsi"/>
          <w:b/>
          <w:bCs/>
        </w:rPr>
        <w:t>acquis</w:t>
      </w:r>
      <w:r w:rsidRPr="00575776">
        <w:rPr>
          <w:rFonts w:cstheme="minorHAnsi"/>
        </w:rPr>
        <w:t xml:space="preserve"> </w:t>
      </w:r>
      <w:r w:rsidRPr="00575776">
        <w:rPr>
          <w:rFonts w:cstheme="minorHAnsi"/>
          <w:rtl/>
        </w:rPr>
        <w:t>והיציבות התקציבית של האיחוד</w:t>
      </w:r>
      <w:r w:rsidRPr="00575776">
        <w:rPr>
          <w:rFonts w:cstheme="minorHAnsi"/>
        </w:rPr>
        <w:t>.</w:t>
      </w:r>
    </w:p>
    <w:p w:rsidR="00BC34F4" w:rsidRPr="00575776" w:rsidRDefault="00BC34F4" w:rsidP="00BC34F4">
      <w:pPr>
        <w:bidi/>
        <w:spacing w:line="360" w:lineRule="auto"/>
        <w:rPr>
          <w:rFonts w:cstheme="minorHAnsi"/>
        </w:rPr>
      </w:pPr>
    </w:p>
    <w:p w:rsidR="00BC34F4" w:rsidRDefault="00BC34F4" w:rsidP="00BC34F4">
      <w:pPr>
        <w:bidi/>
        <w:spacing w:line="360" w:lineRule="auto"/>
        <w:rPr>
          <w:rFonts w:cstheme="minorHAnsi"/>
          <w:rtl/>
        </w:rPr>
      </w:pPr>
      <w:r w:rsidRPr="00575776">
        <w:rPr>
          <w:rFonts w:cstheme="minorHAnsi"/>
          <w:rtl/>
        </w:rPr>
        <w:t>מעבר לכך, למודל כזה יש גם משמעות פוליטית רחבה יותר</w:t>
      </w:r>
      <w:r>
        <w:rPr>
          <w:rFonts w:cstheme="minorHAnsi" w:hint="cs"/>
          <w:rtl/>
        </w:rPr>
        <w:t>:</w:t>
      </w:r>
      <w:r>
        <w:rPr>
          <w:rFonts w:cstheme="minorHAnsi"/>
        </w:rPr>
        <w:t xml:space="preserve"> </w:t>
      </w:r>
      <w:r w:rsidRPr="00575776">
        <w:rPr>
          <w:rFonts w:cstheme="minorHAnsi"/>
        </w:rPr>
        <w:t xml:space="preserve"> Hooghe </w:t>
      </w:r>
      <w:r>
        <w:rPr>
          <w:rFonts w:cstheme="minorHAnsi"/>
        </w:rPr>
        <w:t xml:space="preserve">and </w:t>
      </w:r>
      <w:r w:rsidRPr="00575776">
        <w:rPr>
          <w:rFonts w:cstheme="minorHAnsi"/>
        </w:rPr>
        <w:t xml:space="preserve">Marks (2019) </w:t>
      </w:r>
      <w:r w:rsidRPr="00575776">
        <w:rPr>
          <w:rFonts w:cstheme="minorHAnsi"/>
          <w:rtl/>
        </w:rPr>
        <w:t>מתארים את תופעת "המחלוקת המרסנת</w:t>
      </w:r>
      <w:r>
        <w:rPr>
          <w:rFonts w:cstheme="minorHAnsi" w:hint="cs"/>
          <w:rtl/>
        </w:rPr>
        <w:t>"</w:t>
      </w:r>
      <w:r w:rsidRPr="00575776">
        <w:rPr>
          <w:rFonts w:cstheme="minorHAnsi"/>
        </w:rPr>
        <w:t xml:space="preserve"> (Constraining Dissensus)</w:t>
      </w:r>
      <w:r>
        <w:rPr>
          <w:rFonts w:cstheme="minorHAnsi" w:hint="cs"/>
          <w:rtl/>
        </w:rPr>
        <w:t>,</w:t>
      </w:r>
      <w:r w:rsidRPr="00575776">
        <w:rPr>
          <w:rFonts w:cstheme="minorHAnsi"/>
        </w:rPr>
        <w:t xml:space="preserve"> </w:t>
      </w:r>
      <w:r w:rsidRPr="00575776">
        <w:rPr>
          <w:rFonts w:cstheme="minorHAnsi"/>
          <w:rtl/>
        </w:rPr>
        <w:t xml:space="preserve">שבה דעת הקהל מגבילה יותר ויותר את יכולת האליטות לקדם </w:t>
      </w:r>
      <w:r w:rsidRPr="000476B7">
        <w:rPr>
          <w:rFonts w:cstheme="minorHAnsi"/>
          <w:b/>
          <w:bCs/>
          <w:rtl/>
        </w:rPr>
        <w:t>אינטגרציה</w:t>
      </w:r>
      <w:r w:rsidRPr="00575776">
        <w:rPr>
          <w:rFonts w:cstheme="minorHAnsi"/>
          <w:rtl/>
        </w:rPr>
        <w:t xml:space="preserve"> ללא גיבוי ציבורי. תהליך הצטרפות מדורג, המבוסס על אבני דרך ברורות וביצועים בפועל, עשוי לצמצם את החשש הציבורי </w:t>
      </w:r>
      <w:r w:rsidRPr="000476B7">
        <w:rPr>
          <w:rFonts w:cstheme="minorHAnsi"/>
          <w:b/>
          <w:bCs/>
          <w:rtl/>
        </w:rPr>
        <w:t>מהרחבה</w:t>
      </w:r>
      <w:r w:rsidRPr="00575776">
        <w:rPr>
          <w:rFonts w:cstheme="minorHAnsi"/>
          <w:rtl/>
        </w:rPr>
        <w:t xml:space="preserve"> מהירה מדי ולהפחית את הסיכון לגל </w:t>
      </w:r>
      <w:r w:rsidRPr="00575776">
        <w:rPr>
          <w:rFonts w:cstheme="minorHAnsi"/>
          <w:b/>
          <w:bCs/>
          <w:rtl/>
        </w:rPr>
        <w:t>אירוסקפטי</w:t>
      </w:r>
      <w:r w:rsidRPr="00575776">
        <w:rPr>
          <w:rFonts w:cstheme="minorHAnsi"/>
          <w:rtl/>
        </w:rPr>
        <w:t xml:space="preserve"> במדינות החברות</w:t>
      </w:r>
      <w:r w:rsidRPr="00575776">
        <w:rPr>
          <w:rFonts w:cstheme="minorHAnsi"/>
        </w:rPr>
        <w:t>.</w:t>
      </w:r>
    </w:p>
    <w:p w:rsidR="00BC34F4" w:rsidRPr="00575776" w:rsidRDefault="00BC34F4" w:rsidP="00BC34F4">
      <w:pPr>
        <w:bidi/>
        <w:spacing w:line="360" w:lineRule="auto"/>
        <w:rPr>
          <w:rFonts w:cstheme="minorHAnsi"/>
        </w:rPr>
      </w:pPr>
    </w:p>
    <w:p w:rsidR="00BC34F4" w:rsidRDefault="00BC34F4" w:rsidP="00BC34F4">
      <w:pPr>
        <w:bidi/>
        <w:spacing w:line="360" w:lineRule="auto"/>
        <w:rPr>
          <w:rFonts w:cstheme="minorHAnsi" w:hint="cs"/>
          <w:rtl/>
        </w:rPr>
      </w:pPr>
      <w:r w:rsidRPr="00575776">
        <w:rPr>
          <w:rFonts w:cstheme="minorHAnsi"/>
          <w:rtl/>
        </w:rPr>
        <w:t>כך נוצר איזון בין שני הצרכים המרכזיים של האיחוד: מצד אחד מתן מסלול הצטרפות אמין לאוקראינה, ומצד אחר שמירה על יציבות מוסדית ותקציבית. בטווח הארוך, הצלחת מודל כזה תבחן את יכולתו של האיחוד להמשיך להתרחב תוך שמירה על איכות המוסדות ועל ה</w:t>
      </w:r>
      <w:r w:rsidRPr="000476B7">
        <w:rPr>
          <w:rFonts w:cstheme="minorHAnsi"/>
          <w:bCs/>
          <w:rtl/>
        </w:rPr>
        <w:t>לגיטימיות</w:t>
      </w:r>
      <w:r w:rsidRPr="00575776">
        <w:rPr>
          <w:rFonts w:cstheme="minorHAnsi"/>
          <w:rtl/>
        </w:rPr>
        <w:t xml:space="preserve"> הציבורית של פרויקט ה</w:t>
      </w:r>
      <w:r w:rsidRPr="00575776">
        <w:rPr>
          <w:rFonts w:cstheme="minorHAnsi"/>
          <w:b/>
          <w:bCs/>
          <w:rtl/>
        </w:rPr>
        <w:t>אינטגרציה</w:t>
      </w:r>
      <w:r w:rsidRPr="00575776">
        <w:rPr>
          <w:rFonts w:cstheme="minorHAnsi"/>
          <w:rtl/>
        </w:rPr>
        <w:t xml:space="preserve"> האירופי</w:t>
      </w:r>
      <w:r w:rsidRPr="00575776">
        <w:rPr>
          <w:rFonts w:cstheme="minorHAnsi"/>
        </w:rPr>
        <w:t>.</w:t>
      </w:r>
      <w:r>
        <w:rPr>
          <w:rFonts w:cstheme="minorHAnsi"/>
          <w:rtl/>
        </w:rPr>
        <w:br/>
      </w:r>
    </w:p>
    <w:p w:rsidR="00BC34F4" w:rsidRDefault="00BC34F4" w:rsidP="00BC34F4">
      <w:pPr>
        <w:bidi/>
        <w:spacing w:line="360" w:lineRule="auto"/>
        <w:rPr>
          <w:rFonts w:cstheme="minorHAnsi"/>
          <w:b/>
          <w:bCs/>
          <w:u w:val="single"/>
          <w:rtl/>
        </w:rPr>
      </w:pPr>
    </w:p>
    <w:p w:rsidR="00BC34F4" w:rsidRDefault="00BC34F4" w:rsidP="00BC34F4">
      <w:pPr>
        <w:bidi/>
        <w:spacing w:line="360" w:lineRule="auto"/>
        <w:rPr>
          <w:rFonts w:cstheme="minorHAnsi"/>
          <w:b/>
          <w:bCs/>
          <w:u w:val="single"/>
          <w:rtl/>
        </w:rPr>
      </w:pPr>
    </w:p>
    <w:p w:rsidR="00BC34F4" w:rsidRDefault="00BC34F4" w:rsidP="00BC34F4">
      <w:pPr>
        <w:bidi/>
        <w:spacing w:line="360" w:lineRule="auto"/>
        <w:rPr>
          <w:rFonts w:cstheme="minorHAnsi"/>
          <w:b/>
          <w:bCs/>
          <w:u w:val="single"/>
          <w:rtl/>
        </w:rPr>
      </w:pPr>
    </w:p>
    <w:p w:rsidR="00BC34F4" w:rsidRDefault="00BC34F4" w:rsidP="00BC34F4">
      <w:pPr>
        <w:bidi/>
        <w:spacing w:line="360" w:lineRule="auto"/>
        <w:rPr>
          <w:rFonts w:cstheme="minorHAnsi"/>
          <w:b/>
          <w:bCs/>
          <w:u w:val="single"/>
          <w:rtl/>
        </w:rPr>
      </w:pPr>
    </w:p>
    <w:p w:rsidR="00BC34F4" w:rsidRDefault="00BC34F4" w:rsidP="00BC34F4">
      <w:pPr>
        <w:bidi/>
        <w:spacing w:line="360" w:lineRule="auto"/>
        <w:rPr>
          <w:rFonts w:cstheme="minorHAnsi"/>
          <w:b/>
          <w:bCs/>
          <w:u w:val="single"/>
          <w:rtl/>
        </w:rPr>
      </w:pPr>
    </w:p>
    <w:p w:rsidR="00BC34F4" w:rsidRDefault="00BC34F4" w:rsidP="00BC34F4">
      <w:pPr>
        <w:bidi/>
        <w:spacing w:line="360" w:lineRule="auto"/>
        <w:rPr>
          <w:rFonts w:cstheme="minorHAnsi"/>
          <w:b/>
          <w:bCs/>
          <w:u w:val="single"/>
          <w:rtl/>
        </w:rPr>
      </w:pPr>
    </w:p>
    <w:p w:rsidR="00BC34F4" w:rsidRDefault="00BC34F4" w:rsidP="00BC34F4">
      <w:pPr>
        <w:bidi/>
        <w:spacing w:line="360" w:lineRule="auto"/>
        <w:rPr>
          <w:rFonts w:cstheme="minorHAnsi"/>
          <w:b/>
          <w:bCs/>
          <w:u w:val="single"/>
          <w:rtl/>
        </w:rPr>
      </w:pPr>
    </w:p>
    <w:p w:rsidR="00BC34F4" w:rsidRDefault="00BC34F4" w:rsidP="00BC34F4">
      <w:pPr>
        <w:bidi/>
        <w:spacing w:line="360" w:lineRule="auto"/>
        <w:rPr>
          <w:rFonts w:cstheme="minorHAnsi"/>
          <w:b/>
          <w:bCs/>
          <w:u w:val="single"/>
          <w:rtl/>
        </w:rPr>
      </w:pPr>
    </w:p>
    <w:p w:rsidR="00BC34F4" w:rsidRDefault="00BC34F4" w:rsidP="00BC34F4">
      <w:pPr>
        <w:bidi/>
        <w:spacing w:line="360" w:lineRule="auto"/>
        <w:rPr>
          <w:rFonts w:cstheme="minorHAnsi"/>
          <w:b/>
          <w:bCs/>
          <w:u w:val="single"/>
          <w:rtl/>
        </w:rPr>
      </w:pPr>
    </w:p>
    <w:p w:rsidR="00BC34F4" w:rsidRDefault="00BC34F4" w:rsidP="00BC34F4">
      <w:pPr>
        <w:bidi/>
        <w:spacing w:line="360" w:lineRule="auto"/>
        <w:rPr>
          <w:rFonts w:cstheme="minorHAnsi"/>
          <w:b/>
          <w:bCs/>
          <w:u w:val="single"/>
          <w:rtl/>
        </w:rPr>
      </w:pPr>
    </w:p>
    <w:p w:rsidR="00BC34F4" w:rsidRDefault="00BC34F4" w:rsidP="00BC34F4">
      <w:pPr>
        <w:bidi/>
        <w:spacing w:line="360" w:lineRule="auto"/>
        <w:rPr>
          <w:rFonts w:cstheme="minorHAnsi"/>
          <w:b/>
          <w:bCs/>
          <w:u w:val="single"/>
          <w:rtl/>
        </w:rPr>
      </w:pPr>
    </w:p>
    <w:p w:rsidR="00BC34F4" w:rsidRPr="004100B3" w:rsidRDefault="00BC34F4" w:rsidP="00BC34F4">
      <w:pPr>
        <w:bidi/>
        <w:spacing w:line="360" w:lineRule="auto"/>
        <w:rPr>
          <w:rFonts w:cstheme="minorHAnsi"/>
          <w:b/>
          <w:bCs/>
          <w:u w:val="single"/>
          <w:rtl/>
        </w:rPr>
      </w:pPr>
      <w:r w:rsidRPr="004100B3">
        <w:rPr>
          <w:rFonts w:cstheme="minorHAnsi"/>
          <w:b/>
          <w:bCs/>
          <w:u w:val="single"/>
          <w:rtl/>
        </w:rPr>
        <w:lastRenderedPageBreak/>
        <w:t>רשימה ביבליוגרפית</w:t>
      </w:r>
      <w:r w:rsidRPr="004100B3">
        <w:rPr>
          <w:rFonts w:cstheme="minorHAnsi"/>
          <w:b/>
          <w:bCs/>
          <w:u w:val="single"/>
        </w:rPr>
        <w:t xml:space="preserve"> </w:t>
      </w:r>
    </w:p>
    <w:p w:rsidR="00BC34F4" w:rsidRPr="00575776" w:rsidRDefault="00BC34F4" w:rsidP="00BC34F4">
      <w:pPr>
        <w:bidi/>
        <w:spacing w:line="360" w:lineRule="auto"/>
        <w:rPr>
          <w:rFonts w:cstheme="minorHAnsi"/>
        </w:rPr>
      </w:pPr>
    </w:p>
    <w:p w:rsidR="00BC34F4" w:rsidRDefault="00BC34F4" w:rsidP="00BC34F4">
      <w:pPr>
        <w:pStyle w:val="a4"/>
        <w:numPr>
          <w:ilvl w:val="0"/>
          <w:numId w:val="1"/>
        </w:numPr>
        <w:mirrorIndents/>
        <w:rPr>
          <w:rFonts w:cstheme="minorHAnsi"/>
        </w:rPr>
      </w:pPr>
      <w:r w:rsidRPr="00DD6F27">
        <w:rPr>
          <w:rFonts w:cstheme="minorHAnsi"/>
        </w:rPr>
        <w:t>Heidbreder, Eva G. 2014. "Why Widening Makes Deepening: Unintended Policy Extension through Polity Expansion." Journal of European Public Policy 21 (5): 746–760.</w:t>
      </w:r>
    </w:p>
    <w:p w:rsidR="00BC34F4" w:rsidRPr="00DD6F27" w:rsidRDefault="00BC34F4" w:rsidP="00BC34F4">
      <w:pPr>
        <w:pStyle w:val="a4"/>
        <w:mirrorIndents/>
        <w:rPr>
          <w:rFonts w:cstheme="minorHAnsi"/>
        </w:rPr>
      </w:pPr>
    </w:p>
    <w:p w:rsidR="00BC34F4" w:rsidRDefault="00BC34F4" w:rsidP="00BC34F4">
      <w:pPr>
        <w:pStyle w:val="a4"/>
        <w:numPr>
          <w:ilvl w:val="0"/>
          <w:numId w:val="1"/>
        </w:numPr>
        <w:mirrorIndents/>
        <w:rPr>
          <w:rFonts w:cstheme="minorHAnsi"/>
        </w:rPr>
      </w:pPr>
      <w:r w:rsidRPr="00DD6F27">
        <w:rPr>
          <w:rFonts w:cstheme="minorHAnsi"/>
        </w:rPr>
        <w:t xml:space="preserve">Heidbreder, Eva G. 2024. "Withering the Exogenous Shock: EU Policy Responses to the Russian War against Ukraine." West European Politics 47 (6): 1392–1418. </w:t>
      </w:r>
    </w:p>
    <w:p w:rsidR="00BC34F4" w:rsidRPr="004C10B9" w:rsidRDefault="00BC34F4" w:rsidP="00BC34F4">
      <w:pPr>
        <w:pStyle w:val="a4"/>
        <w:rPr>
          <w:rFonts w:cstheme="minorHAnsi"/>
        </w:rPr>
      </w:pPr>
    </w:p>
    <w:p w:rsidR="00BC34F4" w:rsidRPr="00DD6F27" w:rsidRDefault="00BC34F4" w:rsidP="00BC34F4">
      <w:pPr>
        <w:pStyle w:val="a4"/>
        <w:mirrorIndents/>
        <w:rPr>
          <w:rFonts w:cstheme="minorHAnsi"/>
        </w:rPr>
      </w:pPr>
    </w:p>
    <w:p w:rsidR="00BC34F4" w:rsidRPr="00DD6F27" w:rsidRDefault="00BC34F4" w:rsidP="00BC34F4">
      <w:pPr>
        <w:pStyle w:val="a4"/>
        <w:numPr>
          <w:ilvl w:val="0"/>
          <w:numId w:val="1"/>
        </w:numPr>
        <w:mirrorIndents/>
        <w:rPr>
          <w:rFonts w:cstheme="minorHAnsi"/>
        </w:rPr>
      </w:pPr>
      <w:r w:rsidRPr="00DD6F27">
        <w:rPr>
          <w:rFonts w:cstheme="minorHAnsi"/>
        </w:rPr>
        <w:t xml:space="preserve">Hix, Simon, and Bjørn Høyland. 2022. The Political System of the European Union. </w:t>
      </w:r>
      <w:r w:rsidRPr="00A73ECA">
        <w:rPr>
          <w:rFonts w:cstheme="minorHAnsi"/>
        </w:rPr>
        <w:t>Bloomsbury.</w:t>
      </w:r>
    </w:p>
    <w:p w:rsidR="00BC34F4" w:rsidRDefault="00BC34F4" w:rsidP="00BC34F4">
      <w:pPr>
        <w:mirrorIndents/>
        <w:rPr>
          <w:rFonts w:cstheme="minorHAnsi"/>
        </w:rPr>
      </w:pPr>
    </w:p>
    <w:p w:rsidR="00BC34F4" w:rsidRDefault="00BC34F4" w:rsidP="00BC34F4">
      <w:pPr>
        <w:pStyle w:val="a4"/>
        <w:numPr>
          <w:ilvl w:val="0"/>
          <w:numId w:val="1"/>
        </w:numPr>
        <w:mirrorIndents/>
        <w:rPr>
          <w:rFonts w:cstheme="minorHAnsi"/>
        </w:rPr>
      </w:pPr>
      <w:r w:rsidRPr="00DD6F27">
        <w:rPr>
          <w:rFonts w:cstheme="minorHAnsi"/>
        </w:rPr>
        <w:t>Hooghe, Liesbet, and Gary Marks. 2019. "Grand Theories of European Integration in the Twenty-First Century." Journal of European Public Policy 26 (8): 1113–1133.</w:t>
      </w:r>
    </w:p>
    <w:p w:rsidR="00BC34F4" w:rsidRPr="004C10B9" w:rsidRDefault="00BC34F4" w:rsidP="00BC34F4">
      <w:pPr>
        <w:pStyle w:val="a4"/>
        <w:rPr>
          <w:rFonts w:cstheme="minorHAnsi"/>
        </w:rPr>
      </w:pPr>
    </w:p>
    <w:p w:rsidR="00BC34F4" w:rsidRPr="00DD6F27" w:rsidRDefault="00BC34F4" w:rsidP="00BC34F4">
      <w:pPr>
        <w:pStyle w:val="a4"/>
        <w:mirrorIndents/>
        <w:rPr>
          <w:rFonts w:cstheme="minorHAnsi"/>
        </w:rPr>
      </w:pPr>
    </w:p>
    <w:p w:rsidR="00BC34F4" w:rsidRDefault="00BC34F4" w:rsidP="00BC34F4">
      <w:pPr>
        <w:pStyle w:val="a4"/>
        <w:numPr>
          <w:ilvl w:val="0"/>
          <w:numId w:val="1"/>
        </w:numPr>
        <w:mirrorIndents/>
        <w:rPr>
          <w:rFonts w:cstheme="minorHAnsi"/>
        </w:rPr>
      </w:pPr>
      <w:r w:rsidRPr="00DD6F27">
        <w:rPr>
          <w:rFonts w:cstheme="minorHAnsi"/>
        </w:rPr>
        <w:t xml:space="preserve">Jones, Erik, R. Daniel Kelemen, and Sophie Meunier. 2021. "Failing Forward? Crises and Patterns of European Integration." Journal of European Public Policy 28 (10): 1519–1536. </w:t>
      </w:r>
    </w:p>
    <w:p w:rsidR="00BC34F4" w:rsidRPr="00DD6F27" w:rsidRDefault="00BC34F4" w:rsidP="00BC34F4">
      <w:pPr>
        <w:pStyle w:val="a4"/>
        <w:mirrorIndents/>
        <w:rPr>
          <w:rFonts w:cstheme="minorHAnsi"/>
        </w:rPr>
      </w:pPr>
    </w:p>
    <w:p w:rsidR="00BC34F4" w:rsidRDefault="00BC34F4" w:rsidP="00BC34F4">
      <w:pPr>
        <w:pStyle w:val="a4"/>
        <w:numPr>
          <w:ilvl w:val="0"/>
          <w:numId w:val="1"/>
        </w:numPr>
        <w:mirrorIndents/>
        <w:rPr>
          <w:rFonts w:cstheme="minorHAnsi"/>
        </w:rPr>
      </w:pPr>
      <w:r w:rsidRPr="00DD6F27">
        <w:rPr>
          <w:rFonts w:cstheme="minorHAnsi"/>
        </w:rPr>
        <w:t xml:space="preserve">Kelemen, R. Daniel, Anand Menon, and Jonathan Slapin. 2014. "Wider and Deeper? Enlargement and Integration in the European Union." Journal of European Public Policy 21 (5): 647–663. </w:t>
      </w:r>
    </w:p>
    <w:p w:rsidR="00BC34F4" w:rsidRPr="004C10B9" w:rsidRDefault="00BC34F4" w:rsidP="00BC34F4">
      <w:pPr>
        <w:pStyle w:val="a4"/>
        <w:rPr>
          <w:rFonts w:cstheme="minorHAnsi"/>
        </w:rPr>
      </w:pPr>
    </w:p>
    <w:p w:rsidR="00BC34F4" w:rsidRPr="00DD6F27" w:rsidRDefault="00BC34F4" w:rsidP="00BC34F4">
      <w:pPr>
        <w:pStyle w:val="a4"/>
        <w:mirrorIndents/>
        <w:rPr>
          <w:rFonts w:cstheme="minorHAnsi"/>
        </w:rPr>
      </w:pPr>
    </w:p>
    <w:p w:rsidR="00BC34F4" w:rsidRDefault="00BC34F4" w:rsidP="00BC34F4">
      <w:pPr>
        <w:pStyle w:val="a4"/>
        <w:numPr>
          <w:ilvl w:val="0"/>
          <w:numId w:val="1"/>
        </w:numPr>
        <w:mirrorIndents/>
        <w:rPr>
          <w:rFonts w:cstheme="minorHAnsi"/>
        </w:rPr>
      </w:pPr>
      <w:r w:rsidRPr="00DD6F27">
        <w:rPr>
          <w:rFonts w:cstheme="minorHAnsi"/>
        </w:rPr>
        <w:t xml:space="preserve">Leuffen, Dirk, Berthold Rittberger, and Frank Schimmelfennig. 2013. Differentiated Integration: Explaining Variation in the European Union. Basingstoke: Palgrave Macmillan. </w:t>
      </w:r>
    </w:p>
    <w:p w:rsidR="00BC34F4" w:rsidRPr="00DD6F27" w:rsidRDefault="00BC34F4" w:rsidP="00BC34F4">
      <w:pPr>
        <w:pStyle w:val="a4"/>
        <w:mirrorIndents/>
        <w:rPr>
          <w:rFonts w:cstheme="minorHAnsi"/>
        </w:rPr>
      </w:pPr>
    </w:p>
    <w:p w:rsidR="00BC34F4" w:rsidRDefault="00BC34F4" w:rsidP="00BC34F4">
      <w:pPr>
        <w:pStyle w:val="a4"/>
        <w:numPr>
          <w:ilvl w:val="0"/>
          <w:numId w:val="1"/>
        </w:numPr>
        <w:mirrorIndents/>
        <w:rPr>
          <w:rFonts w:cstheme="minorHAnsi"/>
        </w:rPr>
      </w:pPr>
      <w:r w:rsidRPr="00DD6F27">
        <w:rPr>
          <w:rFonts w:cstheme="minorHAnsi"/>
        </w:rPr>
        <w:t>Schimmelfennig, Frank. 2014. "EU Enlargement and Differentiated Integration: Discrimination or Equal Treatment?" Journal of European Public Policy 21 (5): 681–698.</w:t>
      </w:r>
    </w:p>
    <w:p w:rsidR="00BC34F4" w:rsidRPr="004C10B9" w:rsidRDefault="00BC34F4" w:rsidP="00BC34F4">
      <w:pPr>
        <w:pStyle w:val="a4"/>
        <w:rPr>
          <w:rFonts w:cstheme="minorHAnsi"/>
        </w:rPr>
      </w:pPr>
    </w:p>
    <w:p w:rsidR="00BC34F4" w:rsidRPr="00DD6F27" w:rsidRDefault="00BC34F4" w:rsidP="00BC34F4">
      <w:pPr>
        <w:pStyle w:val="a4"/>
        <w:mirrorIndents/>
        <w:rPr>
          <w:rFonts w:cstheme="minorHAnsi"/>
        </w:rPr>
      </w:pPr>
      <w:r w:rsidRPr="00DD6F27">
        <w:rPr>
          <w:rFonts w:cstheme="minorHAnsi"/>
        </w:rPr>
        <w:t xml:space="preserve"> </w:t>
      </w:r>
    </w:p>
    <w:p w:rsidR="00BC34F4" w:rsidRPr="00DD6F27" w:rsidRDefault="00BC34F4" w:rsidP="00BC34F4">
      <w:pPr>
        <w:pStyle w:val="a4"/>
        <w:numPr>
          <w:ilvl w:val="0"/>
          <w:numId w:val="1"/>
        </w:numPr>
        <w:mirrorIndents/>
        <w:rPr>
          <w:rFonts w:cstheme="minorHAnsi" w:hint="cs"/>
          <w:rtl/>
        </w:rPr>
      </w:pPr>
      <w:r w:rsidRPr="00DD6F27">
        <w:rPr>
          <w:rFonts w:cstheme="minorHAnsi"/>
        </w:rPr>
        <w:t>Schneider, Christina J. 2014. "Domestic Politics and the Widening–Deepening Trade-Off in the European Union." Journal of European Public Policy 21 (5): 699–712.</w:t>
      </w:r>
      <w:r>
        <w:rPr>
          <w:rFonts w:cstheme="minorHAnsi"/>
        </w:rPr>
        <w:br/>
      </w:r>
      <w:r>
        <w:rPr>
          <w:rFonts w:cstheme="minorHAnsi"/>
        </w:rPr>
        <w:br/>
      </w:r>
    </w:p>
    <w:p w:rsidR="00BC34F4" w:rsidRPr="00AE3D87" w:rsidRDefault="00BC34F4" w:rsidP="00BC34F4">
      <w:pPr>
        <w:pStyle w:val="2"/>
        <w:bidi/>
        <w:spacing w:line="360" w:lineRule="auto"/>
        <w:rPr>
          <w:color w:val="auto"/>
          <w:sz w:val="22"/>
          <w:szCs w:val="22"/>
        </w:rPr>
      </w:pPr>
      <w:r w:rsidRPr="00AE3D87">
        <w:rPr>
          <w:color w:val="auto"/>
          <w:sz w:val="22"/>
          <w:szCs w:val="22"/>
          <w:rtl/>
          <w:lang w:bidi="he-IL"/>
        </w:rPr>
        <w:t>הצהרת שימוש בכלי</w:t>
      </w:r>
      <w:r w:rsidRPr="00AE3D87">
        <w:rPr>
          <w:color w:val="auto"/>
          <w:sz w:val="22"/>
          <w:szCs w:val="22"/>
        </w:rPr>
        <w:t xml:space="preserve"> AI</w:t>
      </w:r>
    </w:p>
    <w:p w:rsidR="00BC34F4" w:rsidRPr="001769A3" w:rsidRDefault="00BC34F4" w:rsidP="00BC34F4">
      <w:pPr>
        <w:pStyle w:val="NormalWeb"/>
        <w:bidi/>
        <w:spacing w:line="360" w:lineRule="auto"/>
        <w:rPr>
          <w:rFonts w:hint="cs"/>
          <w:b/>
          <w:bCs/>
          <w:rtl/>
        </w:rPr>
      </w:pPr>
      <w:r>
        <w:rPr>
          <w:rtl/>
        </w:rPr>
        <w:t xml:space="preserve">בעבודה זו נעזרתי בכלי </w:t>
      </w:r>
      <w:r>
        <w:rPr>
          <w:rFonts w:hint="cs"/>
          <w:rtl/>
        </w:rPr>
        <w:t>ה</w:t>
      </w:r>
      <w:r>
        <w:rPr>
          <w:rtl/>
        </w:rPr>
        <w:t>בינה המלאכותית</w:t>
      </w:r>
      <w:r>
        <w:t xml:space="preserve"> ChatGPT </w:t>
      </w:r>
      <w:r>
        <w:rPr>
          <w:rFonts w:hint="cs"/>
          <w:rtl/>
        </w:rPr>
        <w:t xml:space="preserve"> </w:t>
      </w:r>
      <w:r>
        <w:rPr>
          <w:rtl/>
        </w:rPr>
        <w:t>לצורך</w:t>
      </w:r>
      <w:r>
        <w:rPr>
          <w:rFonts w:hint="cs"/>
          <w:rtl/>
        </w:rPr>
        <w:t>:</w:t>
      </w:r>
      <w:r>
        <w:rPr>
          <w:rtl/>
        </w:rPr>
        <w:br/>
      </w:r>
      <w:r>
        <w:rPr>
          <w:rFonts w:hint="cs"/>
          <w:rtl/>
        </w:rPr>
        <w:t>זיהוי ומציאת מקורות רלוונטיים לעבודה</w:t>
      </w:r>
      <w:r>
        <w:rPr>
          <w:rtl/>
        </w:rPr>
        <w:br/>
        <w:t>ארגון המבנה הלוגי לפי מודל</w:t>
      </w:r>
      <w:r>
        <w:t xml:space="preserve"> Claim-Evidence-Impact </w:t>
      </w:r>
      <w:r>
        <w:rPr>
          <w:rtl/>
        </w:rPr>
        <w:br/>
      </w:r>
      <w:r>
        <w:rPr>
          <w:rFonts w:hint="cs"/>
          <w:rtl/>
        </w:rPr>
        <w:t xml:space="preserve">זיהוי שגיאות בטקסט </w:t>
      </w:r>
      <w:r>
        <w:rPr>
          <w:rtl/>
        </w:rPr>
        <w:t xml:space="preserve">ותיקון הפניות ביבליוגרפיות </w:t>
      </w:r>
      <w:r>
        <w:rPr>
          <w:rtl/>
        </w:rPr>
        <w:br/>
      </w:r>
      <w:r w:rsidRPr="001769A3">
        <w:rPr>
          <w:rFonts w:hint="cs"/>
          <w:b/>
          <w:bCs/>
          <w:rtl/>
        </w:rPr>
        <w:t xml:space="preserve">כלל הפעולות שבהם נעזרתי ב </w:t>
      </w:r>
      <w:r w:rsidRPr="001769A3">
        <w:rPr>
          <w:rFonts w:hint="cs"/>
          <w:b/>
          <w:bCs/>
        </w:rPr>
        <w:t>AI</w:t>
      </w:r>
      <w:r w:rsidRPr="001769A3">
        <w:rPr>
          <w:rFonts w:hint="cs"/>
          <w:b/>
          <w:bCs/>
          <w:rtl/>
        </w:rPr>
        <w:t xml:space="preserve"> עברו בדיקה ואישוש שלי, ולפיכך</w:t>
      </w:r>
      <w:r w:rsidRPr="001769A3">
        <w:rPr>
          <w:b/>
          <w:bCs/>
          <w:rtl/>
        </w:rPr>
        <w:t xml:space="preserve"> האחריות על התוכן הסופי הנה שלי בלבד</w:t>
      </w:r>
      <w:r w:rsidRPr="001769A3">
        <w:rPr>
          <w:b/>
          <w:bCs/>
        </w:rPr>
        <w:t>.</w:t>
      </w:r>
    </w:p>
    <w:p w:rsidR="00BC34F4" w:rsidRPr="001D659B" w:rsidRDefault="00BC34F4" w:rsidP="00BC34F4">
      <w:pPr>
        <w:bidi/>
        <w:spacing w:line="360" w:lineRule="auto"/>
        <w:rPr>
          <w:rtl/>
        </w:rPr>
      </w:pPr>
    </w:p>
    <w:p w:rsidR="00BC34F4" w:rsidRPr="00023618" w:rsidRDefault="00BC34F4" w:rsidP="00BC34F4">
      <w:pPr>
        <w:bidi/>
        <w:spacing w:line="360" w:lineRule="auto"/>
        <w:ind w:left="360"/>
        <w:mirrorIndents/>
        <w:rPr>
          <w:rFonts w:cstheme="minorHAnsi"/>
        </w:rPr>
      </w:pPr>
    </w:p>
    <w:p w:rsidR="000C3EE3" w:rsidRDefault="00BC34F4">
      <w:bookmarkStart w:id="0" w:name="_GoBack"/>
      <w:bookmarkEnd w:id="0"/>
    </w:p>
    <w:sectPr w:rsidR="000C3EE3" w:rsidSect="00AD079B">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26FE8"/>
    <w:multiLevelType w:val="hybridMultilevel"/>
    <w:tmpl w:val="F732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4F4"/>
    <w:rsid w:val="0026337F"/>
    <w:rsid w:val="00AD079B"/>
    <w:rsid w:val="00BC34F4"/>
    <w:rsid w:val="00BF37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BEED3-6B89-4088-88B8-41D3262D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4F4"/>
    <w:pPr>
      <w:spacing w:line="240" w:lineRule="auto"/>
    </w:pPr>
  </w:style>
  <w:style w:type="paragraph" w:styleId="2">
    <w:name w:val="heading 2"/>
    <w:basedOn w:val="a"/>
    <w:next w:val="a"/>
    <w:link w:val="20"/>
    <w:uiPriority w:val="9"/>
    <w:unhideWhenUsed/>
    <w:qFormat/>
    <w:rsid w:val="00BC34F4"/>
    <w:pPr>
      <w:keepNext/>
      <w:keepLines/>
      <w:spacing w:before="200" w:line="276" w:lineRule="auto"/>
      <w:outlineLvl w:val="1"/>
    </w:pPr>
    <w:rPr>
      <w:rFonts w:asciiTheme="majorHAnsi" w:eastAsiaTheme="majorEastAsia" w:hAnsiTheme="majorHAnsi" w:cstheme="majorBidi"/>
      <w:b/>
      <w:bCs/>
      <w:color w:val="5B9BD5" w:themeColor="accent1"/>
      <w:sz w:val="26"/>
      <w:szCs w:val="2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BC34F4"/>
    <w:rPr>
      <w:rFonts w:asciiTheme="majorHAnsi" w:eastAsiaTheme="majorEastAsia" w:hAnsiTheme="majorHAnsi" w:cstheme="majorBidi"/>
      <w:b/>
      <w:bCs/>
      <w:color w:val="5B9BD5" w:themeColor="accent1"/>
      <w:sz w:val="26"/>
      <w:szCs w:val="26"/>
      <w:lang w:bidi="ar-SA"/>
    </w:rPr>
  </w:style>
  <w:style w:type="paragraph" w:styleId="NormalWeb">
    <w:name w:val="Normal (Web)"/>
    <w:basedOn w:val="a"/>
    <w:uiPriority w:val="99"/>
    <w:semiHidden/>
    <w:unhideWhenUsed/>
    <w:rsid w:val="00BC34F4"/>
    <w:rPr>
      <w:rFonts w:ascii="Times New Roman" w:hAnsi="Times New Roman" w:cs="Times New Roman"/>
      <w:sz w:val="24"/>
      <w:szCs w:val="24"/>
    </w:rPr>
  </w:style>
  <w:style w:type="character" w:styleId="a3">
    <w:name w:val="Strong"/>
    <w:basedOn w:val="a0"/>
    <w:uiPriority w:val="22"/>
    <w:qFormat/>
    <w:rsid w:val="00BC34F4"/>
    <w:rPr>
      <w:b/>
      <w:bCs/>
    </w:rPr>
  </w:style>
  <w:style w:type="paragraph" w:styleId="a4">
    <w:name w:val="List Paragraph"/>
    <w:basedOn w:val="a"/>
    <w:uiPriority w:val="34"/>
    <w:qFormat/>
    <w:rsid w:val="00BC3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1781</Words>
  <Characters>9637</Characters>
  <Application>Microsoft Office Word</Application>
  <DocSecurity>0</DocSecurity>
  <Lines>141</Lines>
  <Paragraphs>39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חשבון Microsoft</dc:creator>
  <cp:keywords/>
  <dc:description/>
  <cp:lastModifiedBy>חשבון Microsoft</cp:lastModifiedBy>
  <cp:revision>1</cp:revision>
  <dcterms:created xsi:type="dcterms:W3CDTF">2026-03-16T18:44:00Z</dcterms:created>
  <dcterms:modified xsi:type="dcterms:W3CDTF">2026-03-16T18:45:00Z</dcterms:modified>
</cp:coreProperties>
</file>