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bidi w:val="1"/>
      </w:pPr>
      <w:r>
        <w:rPr>
          <w:b/>
          <w:sz w:val="28"/>
        </w:rPr>
        <w:t>עבודת סוף קורס – דיבייט בכתב</w:t>
        <w:br/>
        <w:t>חלק אישי (עמדת "בעד")</w:t>
      </w:r>
    </w:p>
    <w:p/>
    <w:p>
      <w:pPr>
        <w:jc w:val="right"/>
        <w:bidi w:val="1"/>
      </w:pPr>
      <w:r>
        <w:t>שאלת הדיבייט (כפי שאושרה): "האם האיחוד האירופי צריך להאיץ את תהליך ההצטרפות של אוקראינה כחברה מלאה?"</w:t>
      </w:r>
    </w:p>
    <w:p/>
    <w:p>
      <w:pPr>
        <w:jc w:val="right"/>
        <w:bidi w:val="1"/>
      </w:pPr>
      <w:r>
        <w:t>עמדתי: בעד האצה – לא כקיצור דרך של תנאים, אלא כהאצה בתוך המסגרת הפורמלית של תהליך ההצטרפות: תיעדוף פרקים, לוחות זמנים צפופים יותר, סיוע טכני והצבת יעדים מדידים להתכנסות אל ה־</w:t>
      </w:r>
      <w:r>
        <w:rPr>
          <w:b/>
        </w:rPr>
        <w:t>acquis communautaire</w:t>
      </w:r>
      <w:r>
        <w:t>, לצד שימוש מושכל בהסדרי מעבר.</w:t>
      </w:r>
    </w:p>
    <w:p/>
    <w:p>
      <w:pPr>
        <w:jc w:val="right"/>
        <w:bidi w:val="1"/>
      </w:pPr>
      <w:r>
        <w:rPr>
          <w:b/>
        </w:rPr>
        <w:t>טיעון א׳: האצה כמנוף לביטחון אירופי ולהעמקת יכולת הפעולה של האיחוד</w:t>
      </w:r>
    </w:p>
    <w:p>
      <w:pPr>
        <w:jc w:val="right"/>
        <w:bidi w:val="1"/>
      </w:pPr>
      <w:r>
        <w:rPr>
          <w:b/>
        </w:rPr>
        <w:t>טענה (Claim)</w:t>
      </w:r>
    </w:p>
    <w:p>
      <w:pPr>
        <w:jc w:val="right"/>
        <w:bidi w:val="1"/>
      </w:pPr>
      <w:r>
        <w:t xml:space="preserve">בצל מלחמת רוסיה–אוקראינה, האצה של תהליך </w:t>
      </w:r>
      <w:r>
        <w:rPr>
          <w:b/>
        </w:rPr>
        <w:t>הרחבה</w:t>
      </w:r>
      <w:r>
        <w:t xml:space="preserve"> היא כלי מדיניות שמשרת אינטרס אירופי מובהק: חיזוק יציבות ויכולת פעולה בזירת החוץ והביטחון. במקום להשאיר את אוקראינה באזור אפור, שבו רוסיה יכולה להפעיל לחץ מתמשך, האיחוד צריך להאיץ את שלבי המו״מ וההתכנסות אל ה־</w:t>
      </w:r>
      <w:r>
        <w:rPr>
          <w:b/>
        </w:rPr>
        <w:t>acquis communautaire</w:t>
      </w:r>
      <w:r>
        <w:t xml:space="preserve"> במסגרת </w:t>
      </w:r>
      <w:r>
        <w:rPr>
          <w:b/>
        </w:rPr>
        <w:t>אמנה</w:t>
      </w:r>
      <w:r>
        <w:t xml:space="preserve"> והכללים הקיימים. במקביל, עצם הרחבת החברות תחת תנאי מלחמה ושיקום צפויה לייצר לחץ רפורמי פנימי על האיחוד – במיוחד סביב מגבלות </w:t>
      </w:r>
      <w:r>
        <w:rPr>
          <w:b/>
        </w:rPr>
        <w:t>הליך קבלת החלטות פה־אחד</w:t>
      </w:r>
      <w:r>
        <w:t xml:space="preserve"> בתחומי </w:t>
      </w:r>
      <w:r>
        <w:rPr>
          <w:b/>
        </w:rPr>
        <w:t>CFSP</w:t>
      </w:r>
      <w:r>
        <w:t xml:space="preserve"> – ובכך לדחוף </w:t>
      </w:r>
      <w:r>
        <w:rPr>
          <w:b/>
        </w:rPr>
        <w:t>העמקה</w:t>
      </w:r>
      <w:r>
        <w:t xml:space="preserve"> מוסדית.</w:t>
      </w:r>
    </w:p>
    <w:p>
      <w:pPr>
        <w:jc w:val="right"/>
        <w:bidi w:val="1"/>
      </w:pPr>
      <w:r>
        <w:rPr>
          <w:b/>
        </w:rPr>
        <w:t>ראיה (Evidence)</w:t>
      </w:r>
    </w:p>
    <w:p>
      <w:pPr>
        <w:jc w:val="right"/>
        <w:bidi w:val="1"/>
      </w:pPr>
      <w:r>
        <w:t xml:space="preserve">ראשית, מבחינה משפטית־מוסדית, “האצה” אינה ביטול תנאים אלא ניהול הקצב בתוך ההליך: תהליך ההצטרפות פועל לפי סעיף 49 </w:t>
      </w:r>
      <w:r>
        <w:rPr>
          <w:b/>
        </w:rPr>
        <w:t>אמנה</w:t>
      </w:r>
      <w:r>
        <w:t xml:space="preserve"> האיחוד, ומתקדם באמצעות החלטות מועצה והסכמת הפרלמנט.¹ לכן השאלה האמיתית איננה “לוותר על הכללים”, אלא האם להפוך את </w:t>
      </w:r>
      <w:r>
        <w:rPr>
          <w:b/>
        </w:rPr>
        <w:t>הרחבה</w:t>
      </w:r>
      <w:r>
        <w:t xml:space="preserve"> למהלך אסטרטגי מואץ באמצעות תיעדוף, סיוע והצבת אבני דרך.</w:t>
      </w:r>
    </w:p>
    <w:p>
      <w:pPr>
        <w:jc w:val="right"/>
        <w:bidi w:val="1"/>
      </w:pPr>
      <w:r>
        <w:t xml:space="preserve">שנית, הספרות על אינטגרציה מצביעה על קשר דינמי בין </w:t>
      </w:r>
      <w:r>
        <w:rPr>
          <w:b/>
        </w:rPr>
        <w:t>הרחבה</w:t>
      </w:r>
      <w:r>
        <w:t xml:space="preserve"> ל־</w:t>
      </w:r>
      <w:r>
        <w:rPr>
          <w:b/>
        </w:rPr>
        <w:t>העמקה</w:t>
      </w:r>
      <w:r>
        <w:t>. קֶלֶמֶן, מֶנוֹן וסלָפּין מראים שמדינות “לגארד” יכולות ליצור תקיעות בטווח הקצר, אך שהתקיעות הזו עשויה לחזק שחקנים על־לאומיים (בעיקר הנציבות ובית הדין) ולתמרץ רפורמות פרוצדורליות – למשל הרחבת תחומים שמועברים ל־</w:t>
      </w:r>
      <w:r>
        <w:rPr>
          <w:b/>
        </w:rPr>
        <w:t>QMV</w:t>
      </w:r>
      <w:r>
        <w:t xml:space="preserve"> – כדי לשמור על תפקוד האיחוד.² הם אף מצביעים על כך שהציפייה ל</w:t>
      </w:r>
      <w:r>
        <w:rPr>
          <w:b/>
        </w:rPr>
        <w:t>הרחבה</w:t>
      </w:r>
      <w:r>
        <w:t xml:space="preserve"> קדמה במקרים היסטוריים להתאמות מוסדיות והרחבת </w:t>
      </w:r>
      <w:r>
        <w:rPr>
          <w:b/>
        </w:rPr>
        <w:t>QMV</w:t>
      </w:r>
      <w:r>
        <w:t xml:space="preserve"> בהסכמי </w:t>
      </w:r>
      <w:r>
        <w:rPr>
          <w:b/>
        </w:rPr>
        <w:t>אמנה</w:t>
      </w:r>
      <w:r>
        <w:t xml:space="preserve"> מרכזיים.³</w:t>
      </w:r>
    </w:p>
    <w:p>
      <w:pPr>
        <w:jc w:val="right"/>
        <w:bidi w:val="1"/>
      </w:pPr>
      <w:r>
        <w:t>שלישית, בהקשר הנוכחי, מחקרו של היידברדר (2024) על תגובת האיחוד לפלישה הרוסית מדגים יכולת תיאום מהירה תחת “שוק חיצוני”: הפעלה מלאה של מנגנון IPCR, שימוש נרחב ב־European Peace Facility (כולל החלטה על חבילת סיוע צבאי בהיקף 500 מיליון אירו בתוך ארבעה ימים), וקידום ה־Strategic Compass במרץ 2022.⁴ בהמשך הוא מראה גם את הפעלת ה־Temporary Protection Directive עבור פליטים מאוקראינה – דוגמה ליכולת ליצור פתרון אירופי מיידי גם כשיש מחלוקות עומק במערכת.⁵ המשמעות היא שהאיחוד כבר מחזיק בתשתית מוסדית לתנועה מהירה כשיש לחץ ביטחוני.</w:t>
      </w:r>
    </w:p>
    <w:p>
      <w:pPr>
        <w:jc w:val="right"/>
        <w:bidi w:val="1"/>
      </w:pPr>
      <w:r>
        <w:t>רביעית, היידברדר (2014) מוסיפה מנגנון משלים: במהלך ההכנה ל</w:t>
      </w:r>
      <w:r>
        <w:rPr>
          <w:b/>
        </w:rPr>
        <w:t>הרחבה</w:t>
      </w:r>
      <w:r>
        <w:t xml:space="preserve"> המזרחית, הנציבות קיבלה כלים מול מדינות מועמדות שחלקם חרגו מהסמכויות הרגילות, וחלק מן “יכולות ההיגוי” הללו נשארו גם לאחר ההצטרפות – כלומר </w:t>
      </w:r>
      <w:r>
        <w:rPr>
          <w:b/>
        </w:rPr>
        <w:t>הרחבה</w:t>
      </w:r>
      <w:r>
        <w:t xml:space="preserve"> יצרה לחץ שהוביל להתעצמות </w:t>
      </w:r>
      <w:r>
        <w:rPr>
          <w:b/>
        </w:rPr>
        <w:t>על־לאומית</w:t>
      </w:r>
      <w:r>
        <w:t xml:space="preserve"> מתמשכת בתחומי מדיניות מסוימים.⁶ זה רלוונטי לאוקראינה, משום שהאצה תגדיל את מרחב הפעולה של הנציבות בתחום ההתכנסות והפיקוח, ובכך תתרום ליישור קו מוסדי בזמן שיקום.</w:t>
      </w:r>
    </w:p>
    <w:p>
      <w:pPr>
        <w:jc w:val="right"/>
        <w:bidi w:val="1"/>
      </w:pPr>
      <w:r>
        <w:rPr>
          <w:b/>
        </w:rPr>
        <w:t>השפעה (Impact)</w:t>
      </w:r>
    </w:p>
    <w:p>
      <w:pPr>
        <w:jc w:val="right"/>
        <w:bidi w:val="1"/>
      </w:pPr>
      <w:r>
        <w:t xml:space="preserve">אם העמדה בעד תתקבל, האיחוד ייצור “עוגן אירופי” חזק יותר מול רוסיה: מסר ברור על גבולות פוליטיים־נורמטיביים באירופה, והרחבת מרחב </w:t>
      </w:r>
      <w:r>
        <w:rPr>
          <w:b/>
        </w:rPr>
        <w:t>סולידריות</w:t>
      </w:r>
      <w:r>
        <w:t xml:space="preserve"> בתוך </w:t>
      </w:r>
      <w:r>
        <w:rPr>
          <w:b/>
        </w:rPr>
        <w:t>משילות מרובדת</w:t>
      </w:r>
      <w:r>
        <w:t xml:space="preserve"> אירופית. במקביל, האצה תייצר תמריץ פנימי לדיון מחודש על יעילות </w:t>
      </w:r>
      <w:r>
        <w:rPr>
          <w:b/>
        </w:rPr>
        <w:t>הליך קבלת החלטות פה־אחד</w:t>
      </w:r>
      <w:r>
        <w:t xml:space="preserve"> ב־</w:t>
      </w:r>
      <w:r>
        <w:rPr>
          <w:b/>
        </w:rPr>
        <w:t>CFSP</w:t>
      </w:r>
      <w:r>
        <w:t xml:space="preserve"> ועל הצורך בהרחבת שימוש ב־</w:t>
      </w:r>
      <w:r>
        <w:rPr>
          <w:b/>
        </w:rPr>
        <w:t>QMV</w:t>
      </w:r>
      <w:r>
        <w:t xml:space="preserve"> לפחות בתחומים מסוימים – </w:t>
      </w:r>
      <w:r>
        <w:rPr>
          <w:b/>
        </w:rPr>
        <w:t>העמקה</w:t>
      </w:r>
      <w:r>
        <w:t xml:space="preserve"> שמקטינה עלויות תיאום ומעלה את יכולת התגובה. הסיכון (שחיקה בלגיטימציה ציבורית) קיים, אבל ניתן לניהול באמצעות תנאים מדידים והתקדמות מדורגת; והימנעות מהאצה דווקא משאירה את האיחוד חשוף ללחץ ביטחוני מתמשך בלי מנוף רפורמי חזק כלפי אוקראינה.</w:t>
      </w:r>
    </w:p>
    <w:p/>
    <w:p>
      <w:pPr>
        <w:jc w:val="right"/>
        <w:bidi w:val="1"/>
      </w:pPr>
      <w:r>
        <w:rPr>
          <w:b/>
        </w:rPr>
        <w:t>טיעון ב׳: האצה דרך אינטגרציה מובחנת – שמירה על סטנדרטים לצד התקדמות מדורגת אל השוק הפנימי וארבע החירויות</w:t>
      </w:r>
    </w:p>
    <w:p>
      <w:pPr>
        <w:jc w:val="right"/>
        <w:bidi w:val="1"/>
      </w:pPr>
      <w:r>
        <w:rPr>
          <w:b/>
        </w:rPr>
        <w:t>טענה (Claim)</w:t>
      </w:r>
    </w:p>
    <w:p>
      <w:pPr>
        <w:jc w:val="right"/>
        <w:bidi w:val="1"/>
      </w:pPr>
      <w:r>
        <w:t xml:space="preserve">הדילמה איננה “הצטרפות עכשיו” מול “המתנה אינסופית”, אלא כיצד לתכנן </w:t>
      </w:r>
      <w:r>
        <w:rPr>
          <w:b/>
        </w:rPr>
        <w:t>הרחבה</w:t>
      </w:r>
      <w:r>
        <w:t xml:space="preserve"> כך שלא תפגע ב־</w:t>
      </w:r>
      <w:r>
        <w:rPr>
          <w:b/>
        </w:rPr>
        <w:t>לגיטימיות</w:t>
      </w:r>
      <w:r>
        <w:t xml:space="preserve"> וביכולת מימון. התשובה הטובה ביותר היא האצה באמצעות אינטגרציה מובחנת והסדרי מעבר: הכנסת אוקראינה למסלול שבו אימוץ </w:t>
      </w:r>
      <w:r>
        <w:rPr>
          <w:b/>
        </w:rPr>
        <w:t>acquis communautaire</w:t>
      </w:r>
      <w:r>
        <w:t xml:space="preserve"> מתקדם מהר בתחומים שמייצרים יציבות (רגולציה, תחרות, מנהל ציבורי, צדק וביטחון פנים), בעוד תחומים רגישים תקציבית ופוליטית מקבלים פריסה מדורגת. כך ניתן להתקרב מהר יותר ל־השוק הפנימי ול־</w:t>
      </w:r>
      <w:r>
        <w:rPr>
          <w:b/>
        </w:rPr>
        <w:t>ארבע החירויות</w:t>
      </w:r>
      <w:r>
        <w:t xml:space="preserve"> בלי לייצר “הלם” תקציבי או פוליטי.</w:t>
      </w:r>
    </w:p>
    <w:p>
      <w:pPr>
        <w:jc w:val="right"/>
        <w:bidi w:val="1"/>
      </w:pPr>
      <w:r>
        <w:rPr>
          <w:b/>
        </w:rPr>
        <w:t>ראיה (Evidence)</w:t>
      </w:r>
    </w:p>
    <w:p>
      <w:pPr>
        <w:jc w:val="right"/>
        <w:bidi w:val="1"/>
      </w:pPr>
      <w:r>
        <w:t>ראשית, בספרות תיאורטית, לֶאופֶן ועמיתיו מגדירים את האיחוד כ“מערכת של אינטגרציה מובחנת”: ליבת מוסדות וחברות קבועה, אך רמות שונות של מרכזיות והיקף טריטוריאלי לפי תחומי מדיניות.⁷ כלומר, דיפרנציאציה איננה “תאונה” אלא תכונה מבנית של האיחוד.</w:t>
      </w:r>
    </w:p>
    <w:p>
      <w:pPr>
        <w:jc w:val="right"/>
        <w:bidi w:val="1"/>
      </w:pPr>
      <w:r>
        <w:t xml:space="preserve">שנית, אמפירית, שימֶלְפֶנִיג מראה שהרחבות היסטוריות התבססו פעמים רבות על חריגות זמניות לטובת המצטרפות: מתוך 267 דיפרנציאציות שנוצרו עקב </w:t>
      </w:r>
      <w:r>
        <w:rPr>
          <w:b/>
        </w:rPr>
        <w:t>הרחבה</w:t>
      </w:r>
      <w:r>
        <w:t xml:space="preserve"> לאורך סבבים שונים, 78% היו “exemptive” (דחיית חובות של חברות), ורובן הסתיימו בתוך עשור (95% בתוך 10 שנים).⁸ הנתון הזה קריטי: הוא מצביע על מנגנון שמאפשר </w:t>
      </w:r>
      <w:r>
        <w:rPr>
          <w:b/>
        </w:rPr>
        <w:t>הרחבה</w:t>
      </w:r>
      <w:r>
        <w:t xml:space="preserve"> מואצת בלי לוותר על היעד של התכנסות מלאה – פשוט באמצעות תזמון והדרגתיות.</w:t>
      </w:r>
    </w:p>
    <w:p>
      <w:pPr>
        <w:jc w:val="right"/>
        <w:bidi w:val="1"/>
      </w:pPr>
      <w:r>
        <w:t>שלישית, ברמה הפוליטית הפנימית, חשוב להראות ריאליזם: לא עצם הגידול במספר החברות הוא שמסביר בהכרח ירידה ביכולת שיתוף הפעולה, אלא לעיתים ההטרוגניות הפוליטית בין ממשלות. שניידר מסכמת שבממצאיה “הדטרמיננט העיקרי” לשיתוף פעולה הוא הטרוגניות אידאולוגית במועצה, יותר מאשר מספר החברות עצמו.⁹ זה מלמד שהחשש מ“אי־תפקוד” בעקבות אוקראינה צריך להיות מנוהל פוליטית ומוסדית (למשל באמצעות אינטגרציה מובחנת והרחבת תחומים שמוכרעים ב־</w:t>
      </w:r>
      <w:r>
        <w:rPr>
          <w:b/>
        </w:rPr>
        <w:t>QMV</w:t>
      </w:r>
      <w:r>
        <w:t>), ולא להפוך לטיעון עצירה גורף.</w:t>
      </w:r>
    </w:p>
    <w:p>
      <w:pPr>
        <w:jc w:val="right"/>
        <w:bidi w:val="1"/>
      </w:pPr>
      <w:r>
        <w:t xml:space="preserve">רביעית, ההיבט התקציבי אינו שוליים: הצטרפות אוקראינה תשפיע על חלוקות בתוך </w:t>
      </w:r>
      <w:r>
        <w:rPr>
          <w:b/>
        </w:rPr>
        <w:t>תכנית תקציב רב־שנתית</w:t>
      </w:r>
      <w:r>
        <w:t xml:space="preserve"> (**</w:t>
      </w:r>
      <w:r>
        <w:rPr>
          <w:b/>
        </w:rPr>
        <w:t>MFF</w:t>
      </w:r>
      <w:r>
        <w:t xml:space="preserve">**), על </w:t>
      </w:r>
      <w:r>
        <w:rPr>
          <w:b/>
        </w:rPr>
        <w:t>מדיניות לכידות</w:t>
      </w:r>
      <w:r>
        <w:t xml:space="preserve"> ועל שיח “מדינות תורמות/מדינות מקבלות”. כאן דווקא ספרות היסוד על פוליטיקת תקציב מסבירה למה הסדרי מעבר הם פתרון סביר: היקס מתאר כיצד “דילים” תקציביים רב־שנתיים מתנהלים לעיתים תחת דרישת הסכמה רחבה/וטו, ולכן כל שינוי שמייצר חלוקה מחדש צפוי להיתקל בהתנגדויות – בעוד שהתקציב השנתי מתקבל בקלות יחסית באמצעות כללים שונים.¹⁰ המשמעות: אם רוצים להאיץ, חייבים לתכנן מראש מסלול שמרכך את הזעזוע התקציבי באמצעות פריסה מדורגת, ולא להתעקש על יישום מלא ומיידי בכל תחום.</w:t>
      </w:r>
    </w:p>
    <w:p>
      <w:pPr>
        <w:jc w:val="right"/>
        <w:bidi w:val="1"/>
      </w:pPr>
      <w:r>
        <w:t xml:space="preserve">חמישית, מלחמת רוסיה–אוקראינה מחדדת את ממד </w:t>
      </w:r>
      <w:r>
        <w:rPr>
          <w:b/>
        </w:rPr>
        <w:t>לגיטימיות</w:t>
      </w:r>
      <w:r>
        <w:t xml:space="preserve"> והפוליטיקה הציבורית. הוּגה ומרקס מדגישים במסגרת פוסט־פונקציונליזם שהפוליטיזציה מצמצמת את מרחב הפשרה של אליטות; משבר יכול להפוך למאבק זהות שמקשה על מהלכים “טכניים”.¹¹ לכן האצה תצטרך להיות “מוצדקת לציבור” לא רק בביטחון, אלא גם במנגנוני הגנה על סטנדרטים ושלטון חוק – בדיוק מה שסידור מדורג וגלוי של החריגות מאפשר.</w:t>
      </w:r>
    </w:p>
    <w:p>
      <w:pPr>
        <w:jc w:val="right"/>
        <w:bidi w:val="1"/>
      </w:pPr>
      <w:r>
        <w:rPr>
          <w:b/>
        </w:rPr>
        <w:t>השפעה (Impact)</w:t>
      </w:r>
    </w:p>
    <w:p>
      <w:pPr>
        <w:jc w:val="right"/>
        <w:bidi w:val="1"/>
      </w:pPr>
      <w:r>
        <w:t xml:space="preserve">אם העמדה בעד תתקבל, האיחוד ירוויח פתרון שמקטין את עלויות הפוליטיקה הפנימית ומגן על </w:t>
      </w:r>
      <w:r>
        <w:rPr>
          <w:b/>
        </w:rPr>
        <w:t>לגיטימיות</w:t>
      </w:r>
      <w:r>
        <w:t>: הוא יוכל להאיץ רפורמות והתכנסות אוקראינית אל ה־</w:t>
      </w:r>
      <w:r>
        <w:rPr>
          <w:b/>
        </w:rPr>
        <w:t>acquis communautaire</w:t>
      </w:r>
      <w:r>
        <w:t xml:space="preserve"> בתחומים מרכזיים, להתקדם מהר יותר אל השוק הפנימי ולחלקים מ־</w:t>
      </w:r>
      <w:r>
        <w:rPr>
          <w:b/>
        </w:rPr>
        <w:t>ארבע החירויות</w:t>
      </w:r>
      <w:r>
        <w:t>, ובו־בזמן “לקנות זמן” להתאמות תקציביות ושלטון חוק. במונחי דינמיקה של אינטגרציה, זה מסייע להימנע מהקפאה שעלולה להוביל ל“כישלון שמניע קדימה” רק אחרי משבר נוסף; ג׳ונס, קלמן ומֶוּנְיֶה מראים כיצד פתרונות חלקיים בזמן משבר נוטים לייצר מוסדות לא־שלמים שמצמיחים משבר עתידי – כלומר עדיף לתכנן מראש מסלול מדורג, ולא להגיע אליו בדיעבד תחת לחץ.¹²</w:t>
      </w:r>
    </w:p>
    <w:p/>
    <w:p>
      <w:pPr>
        <w:jc w:val="right"/>
        <w:bidi w:val="1"/>
      </w:pPr>
      <w:r>
        <w:rPr>
          <w:b/>
        </w:rPr>
        <w:t>הערות שוליים (למספור בוורד)</w:t>
      </w:r>
    </w:p>
    <w:p>
      <w:pPr>
        <w:jc w:val="right"/>
        <w:bidi w:val="1"/>
      </w:pPr>
      <w:r>
        <w:t>1. Consolidated Treaty on European Union (TEU), Article 49 (הליך הצטרפות והעברת בקשה למועצה, דרישת הסכמה).</w:t>
      </w:r>
    </w:p>
    <w:p>
      <w:pPr>
        <w:jc w:val="right"/>
        <w:bidi w:val="1"/>
      </w:pPr>
      <w:r>
        <w:t>2. Kelemen, R.D., Menon, A., &amp; Slapin, J. (2014). “Wider and deeper? Enlargement and integration in the European Union”. Journal of European Public Policy, 21(5), 647–663, עמ׳ 648 (הטענה על תקיעות קצרה מול תמריץ לשינוי מוסדי וחיזוק שחקנים על־לאומיים).</w:t>
      </w:r>
    </w:p>
    <w:p>
      <w:pPr>
        <w:jc w:val="right"/>
        <w:bidi w:val="1"/>
      </w:pPr>
      <w:r>
        <w:t xml:space="preserve">3. שם, עמ׳ 656–657 (דיון על לחץ להרחבת </w:t>
      </w:r>
      <w:r>
        <w:rPr>
          <w:b/>
        </w:rPr>
        <w:t>QMV</w:t>
      </w:r>
      <w:r>
        <w:t xml:space="preserve"> ורפורמות </w:t>
      </w:r>
      <w:r>
        <w:rPr>
          <w:b/>
        </w:rPr>
        <w:t>אמנה</w:t>
      </w:r>
      <w:r>
        <w:t xml:space="preserve"> בהקשר הרחבות; אזכורים ל־SEA/Amsterdam/Nice/Lisbon).</w:t>
      </w:r>
    </w:p>
    <w:p>
      <w:pPr>
        <w:jc w:val="right"/>
        <w:bidi w:val="1"/>
      </w:pPr>
      <w:r>
        <w:t>4. Heidbreder, E.G. (2024). “Withering the exogenous shock: EU policy responses to the Russian war against Ukraine”. West European Politics, 47(6), 1392–1418, עמ׳ 1398–1401 (הפעלה מלאה של IPCR; EPF; הסכמה על €500 מיליון בתוך ארבעה ימים; Strategic Compass).</w:t>
      </w:r>
    </w:p>
    <w:p>
      <w:pPr>
        <w:jc w:val="right"/>
        <w:bidi w:val="1"/>
      </w:pPr>
      <w:r>
        <w:t>5. שם, עמ׳ 1408–1409 (הפעלה של Temporary Protection Directive והקשר למדיניות הגירה).</w:t>
      </w:r>
    </w:p>
    <w:p>
      <w:pPr>
        <w:jc w:val="right"/>
        <w:bidi w:val="1"/>
      </w:pPr>
      <w:r>
        <w:t xml:space="preserve">6. Heidbreder, E.G. (2014). “Why widening makes deepening: unintended policy extension through polity expansion”. Journal of European Public Policy, 21(5), 746–760, עמ׳ 746–748 (תקציר ומנגנון: </w:t>
      </w:r>
      <w:r>
        <w:rPr>
          <w:b/>
        </w:rPr>
        <w:t>הרחבה</w:t>
      </w:r>
      <w:r>
        <w:t xml:space="preserve"> יוצרת לחץ שיטתי להעמקת יכולות </w:t>
      </w:r>
      <w:r>
        <w:rPr>
          <w:b/>
        </w:rPr>
        <w:t>על־לאומיות</w:t>
      </w:r>
      <w:r>
        <w:t>; סמכויות הנציבות מול מועמדות).</w:t>
      </w:r>
    </w:p>
    <w:p>
      <w:pPr>
        <w:jc w:val="right"/>
        <w:bidi w:val="1"/>
      </w:pPr>
      <w:r>
        <w:t>7. Leuffen, D., Rittberger, B., &amp; Schimmelfennig, F. (2013). Differentiated Integration: Explaining Variation in the European Union. (Oxford University Press), פרק 1, עמ׳ 10 (“כך אנו מגדירים ‘מערכת של אינטגרציה מובחנת’”).</w:t>
      </w:r>
    </w:p>
    <w:p>
      <w:pPr>
        <w:jc w:val="right"/>
        <w:bidi w:val="1"/>
      </w:pPr>
      <w:r>
        <w:t>8. Schimmelfennig, F. (2014). “EU enlargement and differentiated integration: Discrimination or equal treatment?”. Journal of European Public Policy, 21(5), 681–698, עמ׳ 689 (267 דיפרנציאציות; 78% exemptive; 95% מסתיימות בתוך 10 שנים).</w:t>
      </w:r>
    </w:p>
    <w:p>
      <w:pPr>
        <w:jc w:val="right"/>
        <w:bidi w:val="1"/>
      </w:pPr>
      <w:r>
        <w:t>9. Schneider, C.J. (2014). “Domestic politics and the widening–deepening trade-off in the European Union”. Journal of European Public Policy, 21(5), 699–712, עמ׳ 710 (הטענה שהטרוגניות אידאולוגית במועצה מסבירה שיתוף פעולה יותר ממספר החברות).</w:t>
      </w:r>
    </w:p>
    <w:p>
      <w:pPr>
        <w:jc w:val="right"/>
        <w:bidi w:val="1"/>
      </w:pPr>
      <w:r>
        <w:t>10. Hix, S. (מהדורה בסילבוס/קובץ שהועלה). The Political System of the European Union, פרק 9 (תקציב): עמודים סביב הדיון על חבילות תקציב רב־שנתיות והסכמה/וטו לעומת התקציב השנתי; וכן תיאור “</w:t>
      </w:r>
      <w:r>
        <w:rPr>
          <w:b/>
        </w:rPr>
        <w:t>own resources</w:t>
      </w:r>
      <w:r>
        <w:t>” כ</w:t>
      </w:r>
      <w:r>
        <w:rPr>
          <w:b/>
        </w:rPr>
        <w:t>מקורות תקציב</w:t>
      </w:r>
      <w:r>
        <w:t xml:space="preserve"> של האיחוד (עמ׳ PDF 259–264; 260–263).</w:t>
      </w:r>
    </w:p>
    <w:p>
      <w:pPr>
        <w:jc w:val="right"/>
        <w:bidi w:val="1"/>
      </w:pPr>
      <w:r>
        <w:t>11. Hooghe, L., &amp; Marks, G. (2019). “Grand theories of European integration in the twenty-first century”. Journal of European Public Policy, 26(8), עמ׳ 1113–1115 (דיון על פוסט־פונקציונליזם, politicization והאפקט המצמצם של פוליטיזציה על אפשרויות רפורמה).</w:t>
      </w:r>
    </w:p>
    <w:p>
      <w:pPr>
        <w:jc w:val="right"/>
        <w:bidi w:val="1"/>
      </w:pPr>
      <w:r>
        <w:t>12. Jones, E., Kelemen, R.D., &amp; Meunier, S. (2021). “Failing forward? Crises and patterns of European integration”. Journal of European Public Policy, 28(10), 1519–1536, עמ׳ 1519–1521 (מנגנון ‘failing forward’: פתרונות חלקיים/מוסדות לא־שלמים שמכינים קרקע למשבר הבא).</w:t>
      </w:r>
    </w:p>
    <w:p/>
    <w:p>
      <w:pPr>
        <w:jc w:val="right"/>
        <w:bidi w:val="1"/>
      </w:pPr>
      <w:r>
        <w:rPr>
          <w:b/>
        </w:rPr>
        <w:t>רשימה ביבליוגרפית</w:t>
      </w:r>
    </w:p>
    <w:p>
      <w:pPr>
        <w:jc w:val="right"/>
        <w:bidi w:val="1"/>
      </w:pPr>
      <w:r>
        <w:t>Hix, S. The Political System of the European Union. (מהדורה כפי שהועלתה בקובץ zip).</w:t>
      </w:r>
    </w:p>
    <w:p>
      <w:pPr>
        <w:jc w:val="right"/>
        <w:bidi w:val="1"/>
      </w:pPr>
      <w:r>
        <w:t>Heidbreder, E.G. (2014). Why widening makes deepening: unintended policy extension through polity expansion. Journal of European Public Policy, 21(5), 746–760.</w:t>
      </w:r>
    </w:p>
    <w:p>
      <w:pPr>
        <w:jc w:val="right"/>
        <w:bidi w:val="1"/>
      </w:pPr>
      <w:r>
        <w:t>Heidbreder, E.G. (2024). Withering the exogenous shock: EU policy responses to the Russian war against Ukraine. West European Politics, 47(6), 1392–1418.</w:t>
      </w:r>
    </w:p>
    <w:p>
      <w:pPr>
        <w:jc w:val="right"/>
        <w:bidi w:val="1"/>
      </w:pPr>
      <w:r>
        <w:t>Hooghe, L., &amp; Marks, G. (2019). Grand theories of European integration in the twenty-first century. Journal of European Public Policy, 26(8), 1113–1133.</w:t>
      </w:r>
    </w:p>
    <w:p>
      <w:pPr>
        <w:jc w:val="right"/>
        <w:bidi w:val="1"/>
      </w:pPr>
      <w:r>
        <w:t>Jones, E., Kelemen, R.D., &amp; Meunier, S. (2021). Failing forward? Crises and patterns of European integration. Journal of European Public Policy, 28(10), 1519–1536.</w:t>
      </w:r>
    </w:p>
    <w:p>
      <w:pPr>
        <w:jc w:val="right"/>
        <w:bidi w:val="1"/>
      </w:pPr>
      <w:r>
        <w:t>Kelemen, R.D., Menon, A., &amp; Slapin, J. (2014). Wider and deeper? Enlargement and integration in the European Union. Journal of European Public Policy, 21(5), 647–663.</w:t>
      </w:r>
    </w:p>
    <w:p>
      <w:pPr>
        <w:jc w:val="right"/>
        <w:bidi w:val="1"/>
      </w:pPr>
      <w:r>
        <w:t>Leuffen, D., Rittberger, B., &amp; Schimmelfennig, F. (2013). Differentiated Integration: Explaining Variation in the European Union. Oxford University Press.</w:t>
      </w:r>
    </w:p>
    <w:p>
      <w:pPr>
        <w:jc w:val="right"/>
        <w:bidi w:val="1"/>
      </w:pPr>
      <w:r>
        <w:t>Schimmelfennig, F. (2014). EU enlargement and differentiated integration: Discrimination or equal treatment? Journal of European Public Policy, 21(5), 681–698.</w:t>
      </w:r>
    </w:p>
    <w:p>
      <w:pPr>
        <w:jc w:val="right"/>
        <w:bidi w:val="1"/>
      </w:pPr>
      <w:r>
        <w:t>Schneider, C.J. (2014). Domestic politics and the widening–deepening trade-off in the European Union. Journal of European Public Policy, 21(5), 699–712.</w:t>
      </w:r>
    </w:p>
    <w:p>
      <w:pPr>
        <w:jc w:val="right"/>
        <w:bidi w:val="1"/>
      </w:pPr>
      <w:r>
        <w:t>Treaty on European Union (Consolidated), Article 49.</w:t>
      </w:r>
    </w:p>
    <w:p/>
    <w:p>
      <w:pPr>
        <w:jc w:val="right"/>
        <w:bidi w:val="1"/>
      </w:pPr>
      <w:r>
        <w:t>שימוש בכלי AI: נעזרתי ב־ChatGPT (GPT‑5.2 Thinking) לצורך ניסוח טיוטה, ארגון הטיעונים במבנה Claim–Evidence–Impact, והכוונה לאיתור מקורות מתוך חומרי הקורס שסופקו (קבצי ה־PDF שב־zip). האחריות על התוכן, הדיוק וההפניות היא שלי.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