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u w:val="single"/>
        </w:rPr>
      </w:pPr>
      <w:r w:rsidDel="00000000" w:rsidR="00000000" w:rsidRPr="00000000">
        <w:rPr>
          <w:sz w:val="28"/>
          <w:szCs w:val="28"/>
          <w:u w:val="single"/>
          <w:rtl w:val="0"/>
        </w:rPr>
        <w:t xml:space="preserve">Assignment #2 for the course “Research Methods”</w:t>
      </w:r>
    </w:p>
    <w:p w:rsidR="00000000" w:rsidDel="00000000" w:rsidP="00000000" w:rsidRDefault="00000000" w:rsidRPr="00000000" w14:paraId="00000002">
      <w:pPr>
        <w:jc w:val="center"/>
        <w:rPr>
          <w:b w:val="1"/>
          <w:bCs w:val="1"/>
          <w:sz w:val="28"/>
          <w:szCs w:val="28"/>
        </w:rPr>
      </w:pPr>
      <w:r w:rsidDel="00000000" w:rsidR="00000000" w:rsidRPr="00000000">
        <w:rPr>
          <w:sz w:val="28"/>
          <w:szCs w:val="28"/>
          <w:rtl w:val="0"/>
        </w:rPr>
        <w:t xml:space="preserve">By: </w:t>
      </w:r>
      <w:r w:rsidDel="00000000" w:rsidR="00000000" w:rsidRPr="00000000">
        <w:rPr>
          <w:b w:val="1"/>
          <w:bCs w:val="1"/>
          <w:sz w:val="28"/>
          <w:szCs w:val="28"/>
          <w:rtl w:val="0"/>
        </w:rPr>
        <w:t xml:space="preserve">Benny Hochster </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17 Nov 2025</w:t>
      </w:r>
    </w:p>
    <w:p w:rsidR="00000000" w:rsidDel="00000000" w:rsidP="00000000" w:rsidRDefault="00000000" w:rsidRPr="00000000" w14:paraId="00000004">
      <w:pPr>
        <w:jc w:val="cente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Assignment Details: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8f9fa" w:val="clear"/>
        <w:spacing w:before="240" w:lineRule="auto"/>
        <w:rPr>
          <w:color w:val="282828"/>
          <w:sz w:val="23"/>
          <w:szCs w:val="23"/>
        </w:rPr>
      </w:pPr>
      <w:r w:rsidDel="00000000" w:rsidR="00000000" w:rsidRPr="00000000">
        <w:rPr>
          <w:color w:val="282828"/>
          <w:sz w:val="23"/>
          <w:szCs w:val="23"/>
          <w:rtl w:val="0"/>
        </w:rPr>
        <w:t xml:space="preserve">Dear students,</w:t>
      </w:r>
    </w:p>
    <w:p w:rsidR="00000000" w:rsidDel="00000000" w:rsidP="00000000" w:rsidRDefault="00000000" w:rsidRPr="00000000" w14:paraId="00000009">
      <w:pPr>
        <w:shd w:fill="f8f9fa" w:val="clear"/>
        <w:spacing w:before="240" w:lineRule="auto"/>
        <w:rPr>
          <w:color w:val="282828"/>
          <w:sz w:val="23"/>
          <w:szCs w:val="23"/>
        </w:rPr>
      </w:pPr>
      <w:r w:rsidDel="00000000" w:rsidR="00000000" w:rsidRPr="00000000">
        <w:rPr>
          <w:color w:val="282828"/>
          <w:sz w:val="23"/>
          <w:szCs w:val="23"/>
          <w:rtl w:val="0"/>
        </w:rPr>
        <w:t xml:space="preserve">Based on three academic articles on topics you find relevant, interesting, and “puzzling,” please identify </w:t>
      </w:r>
      <w:r w:rsidDel="00000000" w:rsidR="00000000" w:rsidRPr="00000000">
        <w:rPr>
          <w:b w:val="1"/>
          <w:bCs w:val="1"/>
          <w:color w:val="282828"/>
          <w:sz w:val="23"/>
          <w:szCs w:val="23"/>
          <w:rtl w:val="0"/>
        </w:rPr>
        <w:t xml:space="preserve">three research questions</w:t>
      </w:r>
      <w:r w:rsidDel="00000000" w:rsidR="00000000" w:rsidRPr="00000000">
        <w:rPr>
          <w:color w:val="282828"/>
          <w:sz w:val="23"/>
          <w:szCs w:val="23"/>
          <w:rtl w:val="0"/>
        </w:rPr>
        <w:t xml:space="preserve">.</w:t>
      </w:r>
    </w:p>
    <w:p w:rsidR="00000000" w:rsidDel="00000000" w:rsidP="00000000" w:rsidRDefault="00000000" w:rsidRPr="00000000" w14:paraId="0000000A">
      <w:pPr>
        <w:shd w:fill="f8f9fa" w:val="clear"/>
        <w:spacing w:before="240" w:lineRule="auto"/>
        <w:rPr>
          <w:color w:val="282828"/>
          <w:sz w:val="23"/>
          <w:szCs w:val="23"/>
        </w:rPr>
      </w:pPr>
      <w:r w:rsidDel="00000000" w:rsidR="00000000" w:rsidRPr="00000000">
        <w:rPr>
          <w:color w:val="282828"/>
          <w:sz w:val="23"/>
          <w:szCs w:val="23"/>
          <w:rtl w:val="0"/>
        </w:rPr>
        <w:t xml:space="preserve">For </w:t>
      </w:r>
      <w:r w:rsidDel="00000000" w:rsidR="00000000" w:rsidRPr="00000000">
        <w:rPr>
          <w:b w:val="1"/>
          <w:bCs w:val="1"/>
          <w:color w:val="282828"/>
          <w:sz w:val="23"/>
          <w:szCs w:val="23"/>
          <w:rtl w:val="0"/>
        </w:rPr>
        <w:t xml:space="preserve">each</w:t>
      </w:r>
      <w:r w:rsidDel="00000000" w:rsidR="00000000" w:rsidRPr="00000000">
        <w:rPr>
          <w:color w:val="282828"/>
          <w:sz w:val="23"/>
          <w:szCs w:val="23"/>
          <w:rtl w:val="0"/>
        </w:rPr>
        <w:t xml:space="preserve"> research question, you should then propose </w:t>
      </w:r>
      <w:r w:rsidDel="00000000" w:rsidR="00000000" w:rsidRPr="00000000">
        <w:rPr>
          <w:b w:val="1"/>
          <w:bCs w:val="1"/>
          <w:color w:val="282828"/>
          <w:sz w:val="23"/>
          <w:szCs w:val="23"/>
          <w:rtl w:val="0"/>
        </w:rPr>
        <w:t xml:space="preserve">three potential explanations (hypotheses)</w:t>
      </w:r>
      <w:r w:rsidDel="00000000" w:rsidR="00000000" w:rsidRPr="00000000">
        <w:rPr>
          <w:color w:val="282828"/>
          <w:sz w:val="23"/>
          <w:szCs w:val="23"/>
          <w:rtl w:val="0"/>
        </w:rPr>
        <w:t xml:space="preserve">, following the principles and standards we discussed in class.</w:t>
      </w:r>
    </w:p>
    <w:p w:rsidR="00000000" w:rsidDel="00000000" w:rsidP="00000000" w:rsidRDefault="00000000" w:rsidRPr="00000000" w14:paraId="0000000B">
      <w:pPr>
        <w:shd w:fill="f8f9fa" w:val="clear"/>
        <w:spacing w:before="240" w:lineRule="auto"/>
        <w:rPr>
          <w:color w:val="282828"/>
          <w:sz w:val="23"/>
          <w:szCs w:val="23"/>
        </w:rPr>
      </w:pPr>
      <w:r w:rsidDel="00000000" w:rsidR="00000000" w:rsidRPr="00000000">
        <w:rPr>
          <w:color w:val="282828"/>
          <w:sz w:val="23"/>
          <w:szCs w:val="23"/>
          <w:rtl w:val="0"/>
        </w:rPr>
        <w:t xml:space="preserve">If the articles do not provide enough explicit questions or hypotheses, you may formulate additional ones on your own.</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b w:val="1"/>
          <w:bCs w:val="1"/>
          <w:sz w:val="28"/>
          <w:szCs w:val="28"/>
          <w:u w:val="single"/>
        </w:rPr>
      </w:pPr>
      <w:r w:rsidDel="00000000" w:rsidR="00000000" w:rsidRPr="00000000">
        <w:rPr>
          <w:rtl w:val="0"/>
        </w:rPr>
      </w:r>
    </w:p>
    <w:p w:rsidR="00000000" w:rsidDel="00000000" w:rsidP="00000000" w:rsidRDefault="00000000" w:rsidRPr="00000000" w14:paraId="0000001F">
      <w:pPr>
        <w:jc w:val="center"/>
        <w:rPr>
          <w:b w:val="1"/>
          <w:bCs w:val="1"/>
        </w:rPr>
      </w:pPr>
      <w:r w:rsidDel="00000000" w:rsidR="00000000" w:rsidRPr="00000000">
        <w:rPr>
          <w:b w:val="1"/>
          <w:bCs w:val="1"/>
          <w:rtl w:val="0"/>
        </w:rPr>
        <w:t xml:space="preserve">P. 1/4</w:t>
      </w:r>
      <w:r w:rsidDel="00000000" w:rsidR="00000000" w:rsidRPr="00000000">
        <w:rPr>
          <w:rtl w:val="0"/>
        </w:rPr>
      </w:r>
    </w:p>
    <w:p w:rsidR="00000000" w:rsidDel="00000000" w:rsidP="00000000" w:rsidRDefault="00000000" w:rsidRPr="00000000" w14:paraId="00000020">
      <w:pPr>
        <w:rPr>
          <w:b w:val="1"/>
          <w:bCs w:val="1"/>
          <w:sz w:val="28"/>
          <w:szCs w:val="28"/>
          <w:u w:val="single"/>
        </w:rPr>
      </w:pPr>
      <w:r w:rsidDel="00000000" w:rsidR="00000000" w:rsidRPr="00000000">
        <w:rPr>
          <w:b w:val="1"/>
          <w:bCs w:val="1"/>
        </w:rPr>
        <mc:AlternateContent>
          <mc:Choice Requires="wpg">
            <w:drawing>
              <wp:anchor allowOverlap="1" behindDoc="0" hidden="0" layoutInCell="1" locked="0" relativeHeight="0" simplePos="0">
                <wp:simplePos x="0" y="0"/>
                <wp:positionH relativeFrom="character">
                  <wp:posOffset>8144958</wp:posOffset>
                </wp:positionH>
                <wp:positionV relativeFrom="line">
                  <wp:posOffset>811427</wp:posOffset>
                </wp:positionV>
                <wp:extent cx="25350" cy="27250"/>
                <wp:effectExtent b="0" l="0" r="0" t="0"/>
                <wp:wrapNone/>
                <wp:docPr id="2" name=""/>
                <a:graphic>
                  <a:graphicData uri="http://schemas.microsoft.com/office/word/2010/wordprocessingShape">
                    <wps:wsp>
                      <wps:cNvSpPr/>
                      <wps:cNvPr id="3" name="Shape 3"/>
                      <wps:spPr>
                        <a:xfrm>
                          <a:off x="8144958" y="811427"/>
                          <a:ext cx="25350" cy="27250"/>
                        </a:xfrm>
                        <a:custGeom>
                          <a:rect b="b" l="l" r="r" t="t"/>
                          <a:pathLst>
                            <a:path extrusionOk="0" h="1090" w="1014">
                              <a:moveTo>
                                <a:pt x="507" y="0"/>
                              </a:moveTo>
                              <a:lnTo>
                                <a:pt x="200" y="94"/>
                              </a:lnTo>
                              <a:lnTo>
                                <a:pt x="0" y="345"/>
                              </a:lnTo>
                              <a:lnTo>
                                <a:pt x="0" y="745"/>
                              </a:lnTo>
                              <a:lnTo>
                                <a:pt x="200" y="995"/>
                              </a:lnTo>
                              <a:lnTo>
                                <a:pt x="507" y="1090"/>
                              </a:lnTo>
                              <a:lnTo>
                                <a:pt x="813" y="995"/>
                              </a:lnTo>
                              <a:lnTo>
                                <a:pt x="1013" y="745"/>
                              </a:lnTo>
                              <a:lnTo>
                                <a:pt x="1013" y="345"/>
                              </a:lnTo>
                              <a:lnTo>
                                <a:pt x="813" y="94"/>
                              </a:lnTo>
                              <a:lnTo>
                                <a:pt x="507" y="0"/>
                              </a:lnTo>
                              <a:close/>
                            </a:path>
                          </a:pathLst>
                        </a:custGeom>
                        <a:solidFill>
                          <a:srgbClr val="FE5252"/>
                        </a:solidFill>
                        <a:ln>
                          <a:noFill/>
                        </a:ln>
                      </wps:spPr>
                      <wps:bodyPr anchorCtr="0" anchor="ctr" bIns="91425" lIns="91425" spcFirstLastPara="1" rIns="91425" wrap="square" tIns="91425">
                        <a:noAutofit/>
                      </wps:bodyPr>
                    </wps:wsp>
                  </a:graphicData>
                </a:graphic>
              </wp:anchor>
            </w:drawing>
          </mc:Choice>
          <mc:Fallback>
            <w:drawing>
              <wp:anchor allowOverlap="0" behindDoc="0" hidden="0" layoutInCell="1" locked="0" relativeHeight="0" simplePos="0">
                <wp:simplePos x="0" y="0"/>
                <wp:positionH/>
                <wp:positionV/>
                <wp:extent cx="0" cy="0"/>
                <wp:wrapSquare wrapText="bothSides"/>
                <wp:docPr id="0"/>
                <a:graphic>
                  <a:graphicData/>
                </a:graphic>
              </wp:anchor>
            </w:drawing>
          </mc:Fallback>
        </mc:AlternateContent>
      </w:r>
      <w:r w:rsidDel="00000000" w:rsidR="00000000" w:rsidRPr="00000000">
        <w:rPr>
          <w:b w:val="1"/>
          <w:bCs w:val="1"/>
          <w:sz w:val="28"/>
          <w:szCs w:val="28"/>
          <w:u w:val="single"/>
        </w:rPr>
        <mc:AlternateContent>
          <mc:Choice Requires="wpg">
            <w:drawing>
              <wp:anchor allowOverlap="1" behindDoc="0" hidden="0" layoutInCell="1" locked="0" relativeHeight="0" simplePos="0">
                <wp:simplePos x="0" y="0"/>
                <wp:positionH relativeFrom="character">
                  <wp:posOffset>8229674</wp:posOffset>
                </wp:positionH>
                <wp:positionV relativeFrom="line">
                  <wp:posOffset>-754367</wp:posOffset>
                </wp:positionV>
                <wp:extent cx="1095825" cy="336275"/>
                <wp:effectExtent b="0" l="0" r="0" t="0"/>
                <wp:wrapNone/>
                <wp:docPr id="1" name=""/>
                <a:graphic>
                  <a:graphicData uri="http://schemas.microsoft.com/office/word/2010/wordprocessingShape">
                    <wps:wsp>
                      <wps:cNvSpPr/>
                      <wps:cNvPr id="2" name="Shape 2"/>
                      <wps:spPr>
                        <a:xfrm>
                          <a:off x="8229674" y="-754367"/>
                          <a:ext cx="1095825" cy="336275"/>
                        </a:xfrm>
                        <a:custGeom>
                          <a:rect b="b" l="l" r="r" t="t"/>
                          <a:pathLst>
                            <a:path extrusionOk="0" h="13451" w="43833">
                              <a:moveTo>
                                <a:pt x="43426" y="0"/>
                              </a:moveTo>
                              <a:lnTo>
                                <a:pt x="43009" y="53"/>
                              </a:lnTo>
                              <a:lnTo>
                                <a:pt x="39658" y="1192"/>
                              </a:lnTo>
                              <a:lnTo>
                                <a:pt x="35933" y="2342"/>
                              </a:lnTo>
                              <a:lnTo>
                                <a:pt x="32647" y="3324"/>
                              </a:lnTo>
                              <a:lnTo>
                                <a:pt x="27766" y="4763"/>
                              </a:lnTo>
                              <a:lnTo>
                                <a:pt x="22361" y="6356"/>
                              </a:lnTo>
                              <a:lnTo>
                                <a:pt x="17116" y="7896"/>
                              </a:lnTo>
                              <a:lnTo>
                                <a:pt x="12385" y="9282"/>
                              </a:lnTo>
                              <a:lnTo>
                                <a:pt x="8435" y="10442"/>
                              </a:lnTo>
                              <a:lnTo>
                                <a:pt x="5320" y="11361"/>
                              </a:lnTo>
                              <a:lnTo>
                                <a:pt x="1306" y="12544"/>
                              </a:lnTo>
                              <a:lnTo>
                                <a:pt x="203" y="12869"/>
                              </a:lnTo>
                              <a:lnTo>
                                <a:pt x="21" y="13014"/>
                              </a:lnTo>
                              <a:lnTo>
                                <a:pt x="0" y="13244"/>
                              </a:lnTo>
                              <a:lnTo>
                                <a:pt x="139" y="13424"/>
                              </a:lnTo>
                              <a:lnTo>
                                <a:pt x="375" y="13450"/>
                              </a:lnTo>
                              <a:lnTo>
                                <a:pt x="1477" y="13135"/>
                              </a:lnTo>
                              <a:lnTo>
                                <a:pt x="5502" y="11989"/>
                              </a:lnTo>
                              <a:lnTo>
                                <a:pt x="8627" y="11092"/>
                              </a:lnTo>
                              <a:lnTo>
                                <a:pt x="12577" y="9956"/>
                              </a:lnTo>
                              <a:lnTo>
                                <a:pt x="17308" y="8593"/>
                              </a:lnTo>
                              <a:lnTo>
                                <a:pt x="22575" y="7078"/>
                              </a:lnTo>
                              <a:lnTo>
                                <a:pt x="27991" y="5518"/>
                              </a:lnTo>
                              <a:lnTo>
                                <a:pt x="32883" y="4109"/>
                              </a:lnTo>
                              <a:lnTo>
                                <a:pt x="38256" y="2569"/>
                              </a:lnTo>
                              <a:lnTo>
                                <a:pt x="43383" y="1071"/>
                              </a:lnTo>
                              <a:lnTo>
                                <a:pt x="43737" y="834"/>
                              </a:lnTo>
                              <a:lnTo>
                                <a:pt x="43833" y="506"/>
                              </a:lnTo>
                              <a:lnTo>
                                <a:pt x="43715" y="184"/>
                              </a:lnTo>
                              <a:lnTo>
                                <a:pt x="43426" y="0"/>
                              </a:lnTo>
                              <a:close/>
                            </a:path>
                          </a:pathLst>
                        </a:custGeom>
                        <a:solidFill>
                          <a:srgbClr val="FE5252"/>
                        </a:solidFill>
                        <a:ln>
                          <a:noFill/>
                        </a:ln>
                      </wps:spPr>
                      <wps:bodyPr anchorCtr="0" anchor="ctr" bIns="91425" lIns="91425" spcFirstLastPara="1" rIns="91425" wrap="square" tIns="91425">
                        <a:noAutofit/>
                      </wps:bodyPr>
                    </wps:wsp>
                  </a:graphicData>
                </a:graphic>
              </wp:anchor>
            </w:drawing>
          </mc:Choice>
          <mc:Fallback>
            <w:drawing>
              <wp:anchor allowOverlap="0" behindDoc="0" hidden="0" layoutInCell="1" locked="0" relativeHeight="0" simplePos="0">
                <wp:simplePos x="0" y="0"/>
                <wp:positionH/>
                <wp:positionV/>
                <wp:extent cx="0" cy="0"/>
                <wp:wrapSquare wrapText="bothSides"/>
                <wp:docPr id="0"/>
                <a:graphic>
                  <a:graphicData/>
                </a:graphic>
              </wp:anchor>
            </w:drawing>
          </mc:Fallback>
        </mc:AlternateContent>
      </w:r>
      <w:r w:rsidDel="00000000" w:rsidR="00000000" w:rsidRPr="00000000">
        <w:rPr>
          <w:b w:val="1"/>
          <w:bCs w:val="1"/>
          <w:sz w:val="28"/>
          <w:szCs w:val="28"/>
          <w:u w:val="single"/>
          <w:rtl w:val="0"/>
        </w:rPr>
        <w:t xml:space="preserve">Article #1</w:t>
      </w: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Meijers, Maurits J., and Christian Rauh. 2021. “The populist challenge to European defense.” Journal of European Public Policy 28 (3): 398–418. </w:t>
      </w:r>
      <w:hyperlink r:id="rId6">
        <w:r w:rsidDel="00000000" w:rsidR="00000000" w:rsidRPr="00000000">
          <w:rPr>
            <w:color w:val="1155cc"/>
            <w:sz w:val="28"/>
            <w:szCs w:val="28"/>
            <w:u w:val="single"/>
            <w:rtl w:val="0"/>
          </w:rPr>
          <w:t xml:space="preserve">https://www.tandfonline.com/doi/full/10.1080/13501763.2021.1881587</w:t>
        </w:r>
      </w:hyperlink>
      <w:r w:rsidDel="00000000" w:rsidR="00000000" w:rsidRPr="00000000">
        <w:rPr>
          <w:sz w:val="28"/>
          <w:szCs w:val="28"/>
          <w:rtl w:val="0"/>
        </w:rPr>
        <w:t xml:space="preserve"> ( full text via university access).</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rPr>
          <w:sz w:val="28"/>
          <w:szCs w:val="28"/>
        </w:rPr>
      </w:pPr>
      <w:r w:rsidDel="00000000" w:rsidR="00000000" w:rsidRPr="00000000">
        <w:rPr>
          <w:b w:val="1"/>
          <w:bCs w:val="1"/>
          <w:sz w:val="28"/>
          <w:szCs w:val="28"/>
          <w:rtl w:val="0"/>
        </w:rPr>
        <w:t xml:space="preserve">Puzzle</w:t>
      </w:r>
      <w:r w:rsidDel="00000000" w:rsidR="00000000" w:rsidRPr="00000000">
        <w:rPr>
          <w:sz w:val="28"/>
          <w:szCs w:val="28"/>
          <w:rtl w:val="0"/>
        </w:rPr>
        <w:t xml:space="preserve">: Despite the rise of populist parties across Europe, their stances on European defense cooperation vary unpredictable , sometimes supporting initiatives and other times opposing them completely, raising questions on how populism  can effect  EU defense integration </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b w:val="1"/>
          <w:bCs w:val="1"/>
          <w:sz w:val="28"/>
          <w:szCs w:val="28"/>
          <w:rtl w:val="0"/>
        </w:rPr>
        <w:t xml:space="preserve">Research Question</w:t>
      </w:r>
      <w:r w:rsidDel="00000000" w:rsidR="00000000" w:rsidRPr="00000000">
        <w:rPr>
          <w:sz w:val="28"/>
          <w:szCs w:val="28"/>
          <w:rtl w:val="0"/>
        </w:rPr>
        <w:t xml:space="preserve"> :</w:t>
      </w:r>
    </w:p>
    <w:p w:rsidR="00000000" w:rsidDel="00000000" w:rsidP="00000000" w:rsidRDefault="00000000" w:rsidRPr="00000000" w14:paraId="00000027">
      <w:pPr>
        <w:rPr>
          <w:sz w:val="28"/>
          <w:szCs w:val="28"/>
        </w:rPr>
      </w:pPr>
      <w:r w:rsidDel="00000000" w:rsidR="00000000" w:rsidRPr="00000000">
        <w:rPr>
          <w:sz w:val="28"/>
          <w:szCs w:val="28"/>
          <w:rtl w:val="0"/>
        </w:rPr>
        <w:t xml:space="preserve">WHAT’S THE EFFECT of populist party ideology (IV) on support for integrated European defense cooperation (DV)?</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sz w:val="28"/>
          <w:szCs w:val="28"/>
          <w:rtl w:val="0"/>
        </w:rPr>
        <w:t xml:space="preserve">Hypothesis 1) the effect of populist ideology leads to lower support for integrated European defense , as it prioritizes national sovereignty and distrusts supranational elites [this is the author’s hypothesis in the article ].</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sz w:val="28"/>
          <w:szCs w:val="28"/>
          <w:rtl w:val="0"/>
        </w:rPr>
        <w:t xml:space="preserve">Hypothesis 2) Stronger populist ideology  causes higher support for  defense cooperation, because it views the EU as a tool to counter external threats like migration or Russia.</w:t>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sz w:val="28"/>
          <w:szCs w:val="28"/>
          <w:rtl w:val="0"/>
        </w:rPr>
        <w:t xml:space="preserve">Hypothesis 3) Populist ideology doesn't effect  support for defense cooperation. support is primarily driven by domestic economic pressures, such as defense spending burdens.</w:t>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sz w:val="28"/>
          <w:szCs w:val="28"/>
        </w:rPr>
      </w:pP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jc w:val="center"/>
        <w:rPr>
          <w:sz w:val="28"/>
          <w:szCs w:val="28"/>
        </w:rPr>
      </w:pPr>
      <w:r w:rsidDel="00000000" w:rsidR="00000000" w:rsidRPr="00000000">
        <w:rPr>
          <w:b w:val="1"/>
          <w:bCs w:val="1"/>
          <w:rtl w:val="0"/>
        </w:rPr>
        <w:t xml:space="preserve">P. 2/4</w:t>
      </w: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b w:val="1"/>
          <w:bCs w:val="1"/>
          <w:sz w:val="28"/>
          <w:szCs w:val="28"/>
          <w:u w:val="single"/>
        </w:rPr>
      </w:pPr>
      <w:r w:rsidDel="00000000" w:rsidR="00000000" w:rsidRPr="00000000">
        <w:rPr>
          <w:b w:val="1"/>
          <w:bCs w:val="1"/>
          <w:sz w:val="28"/>
          <w:szCs w:val="28"/>
          <w:u w:val="single"/>
          <w:rtl w:val="0"/>
        </w:rPr>
        <w:t xml:space="preserve">Article #2</w:t>
      </w:r>
    </w:p>
    <w:p w:rsidR="00000000" w:rsidDel="00000000" w:rsidP="00000000" w:rsidRDefault="00000000" w:rsidRPr="00000000" w14:paraId="00000037">
      <w:pPr>
        <w:rPr>
          <w:sz w:val="28"/>
          <w:szCs w:val="28"/>
        </w:rPr>
      </w:pPr>
      <w:r w:rsidDel="00000000" w:rsidR="00000000" w:rsidRPr="00000000">
        <w:rPr>
          <w:rtl w:val="0"/>
        </w:rPr>
      </w:r>
    </w:p>
    <w:p w:rsidR="00000000" w:rsidDel="00000000" w:rsidP="00000000" w:rsidRDefault="00000000" w:rsidRPr="00000000" w14:paraId="00000038">
      <w:pPr>
        <w:rPr>
          <w:sz w:val="28"/>
          <w:szCs w:val="28"/>
        </w:rPr>
      </w:pPr>
      <w:r w:rsidDel="00000000" w:rsidR="00000000" w:rsidRPr="00000000">
        <w:rPr>
          <w:sz w:val="28"/>
          <w:szCs w:val="28"/>
          <w:rtl w:val="0"/>
        </w:rPr>
        <w:t xml:space="preserve">Brouard, Sylvain, and Isabel Tavares de Almeida. 2021. “Euroscepticism and bargaining success in the European Union.” Journal of European Public Policy 29 (1): 35–55.</w:t>
      </w:r>
    </w:p>
    <w:p w:rsidR="00000000" w:rsidDel="00000000" w:rsidP="00000000" w:rsidRDefault="00000000" w:rsidRPr="00000000" w14:paraId="00000039">
      <w:pPr>
        <w:rPr>
          <w:sz w:val="28"/>
          <w:szCs w:val="28"/>
        </w:rPr>
      </w:pPr>
      <w:hyperlink r:id="rId7">
        <w:r w:rsidDel="00000000" w:rsidR="00000000" w:rsidRPr="00000000">
          <w:rPr>
            <w:color w:val="1155cc"/>
            <w:sz w:val="28"/>
            <w:szCs w:val="28"/>
            <w:u w:val="single"/>
            <w:rtl w:val="0"/>
          </w:rPr>
          <w:t xml:space="preserve">https://www.tandfonline.com/doi/full/10.1080/13501763.2021.1991985</w:t>
        </w:r>
      </w:hyperlink>
      <w:r w:rsidDel="00000000" w:rsidR="00000000" w:rsidRPr="00000000">
        <w:rPr>
          <w:sz w:val="28"/>
          <w:szCs w:val="28"/>
          <w:rtl w:val="0"/>
        </w:rPr>
        <w:t xml:space="preserve"> (full text via university access).</w:t>
      </w:r>
    </w:p>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rPr>
          <w:sz w:val="28"/>
          <w:szCs w:val="28"/>
        </w:rPr>
      </w:pPr>
      <w:r w:rsidDel="00000000" w:rsidR="00000000" w:rsidRPr="00000000">
        <w:rPr>
          <w:b w:val="1"/>
          <w:bCs w:val="1"/>
          <w:sz w:val="28"/>
          <w:szCs w:val="28"/>
          <w:rtl w:val="0"/>
        </w:rPr>
        <w:t xml:space="preserve">Puzzle</w:t>
      </w:r>
      <w:r w:rsidDel="00000000" w:rsidR="00000000" w:rsidRPr="00000000">
        <w:rPr>
          <w:sz w:val="28"/>
          <w:szCs w:val="28"/>
          <w:rtl w:val="0"/>
        </w:rPr>
        <w:t xml:space="preserve">: Pro-European governments in Eurosceptic member states often achieve bargaining outcomes closer to their preferences in EU negotiations, but not in all countries.  why does domestic Eurosceptic sometimes enhance rather than hinder national leverage?</w:t>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b w:val="1"/>
          <w:bCs w:val="1"/>
          <w:sz w:val="28"/>
          <w:szCs w:val="28"/>
          <w:rtl w:val="0"/>
        </w:rPr>
        <w:t xml:space="preserve">Research Question</w:t>
      </w:r>
      <w:r w:rsidDel="00000000" w:rsidR="00000000" w:rsidRPr="00000000">
        <w:rPr>
          <w:sz w:val="28"/>
          <w:szCs w:val="28"/>
          <w:rtl w:val="0"/>
        </w:rPr>
        <w:t xml:space="preserve"> </w:t>
      </w:r>
    </w:p>
    <w:p w:rsidR="00000000" w:rsidDel="00000000" w:rsidP="00000000" w:rsidRDefault="00000000" w:rsidRPr="00000000" w14:paraId="0000003E">
      <w:pPr>
        <w:rPr>
          <w:sz w:val="28"/>
          <w:szCs w:val="28"/>
        </w:rPr>
      </w:pPr>
      <w:r w:rsidDel="00000000" w:rsidR="00000000" w:rsidRPr="00000000">
        <w:rPr>
          <w:sz w:val="28"/>
          <w:szCs w:val="28"/>
          <w:rtl w:val="0"/>
        </w:rPr>
        <w:t xml:space="preserve">What is the effect of domestic Eurosceptic public opinion (IV) on a pro-European government's bargaining success in EU legislative negotiations (DV)?</w:t>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rtl w:val="0"/>
        </w:rPr>
      </w:r>
    </w:p>
    <w:p w:rsidR="00000000" w:rsidDel="00000000" w:rsidP="00000000" w:rsidRDefault="00000000" w:rsidRPr="00000000" w14:paraId="00000042">
      <w:pPr>
        <w:rPr>
          <w:sz w:val="28"/>
          <w:szCs w:val="28"/>
        </w:rPr>
      </w:pPr>
      <w:r w:rsidDel="00000000" w:rsidR="00000000" w:rsidRPr="00000000">
        <w:rPr>
          <w:sz w:val="28"/>
          <w:szCs w:val="28"/>
          <w:rtl w:val="0"/>
        </w:rPr>
        <w:t xml:space="preserve">Hypothesis 1) Higher levels of domestic Eurosceptic public opinion increase pro-European governments' bargaining success, because they can credibly threaten non-compliance to extract concessions. [this is the author’s hypothesis in the article ].</w:t>
      </w:r>
    </w:p>
    <w:p w:rsidR="00000000" w:rsidDel="00000000" w:rsidP="00000000" w:rsidRDefault="00000000" w:rsidRPr="00000000" w14:paraId="00000043">
      <w:pPr>
        <w:rPr>
          <w:sz w:val="28"/>
          <w:szCs w:val="28"/>
        </w:rPr>
      </w:pPr>
      <w:r w:rsidDel="00000000" w:rsidR="00000000" w:rsidRPr="00000000">
        <w:rPr>
          <w:rtl w:val="0"/>
        </w:rPr>
      </w:r>
    </w:p>
    <w:p w:rsidR="00000000" w:rsidDel="00000000" w:rsidP="00000000" w:rsidRDefault="00000000" w:rsidRPr="00000000" w14:paraId="00000044">
      <w:pPr>
        <w:rPr>
          <w:sz w:val="28"/>
          <w:szCs w:val="28"/>
        </w:rPr>
      </w:pPr>
      <w:r w:rsidDel="00000000" w:rsidR="00000000" w:rsidRPr="00000000">
        <w:rPr>
          <w:sz w:val="28"/>
          <w:szCs w:val="28"/>
          <w:rtl w:val="0"/>
        </w:rPr>
        <w:t xml:space="preserve">Hypothesis 2) Higher levels of domestic Eurosceptic public opinion decrease bargaining success, because it makes the governments  defensive  and isolates them from EU allies.</w:t>
      </w:r>
    </w:p>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sz w:val="28"/>
          <w:szCs w:val="28"/>
          <w:rtl w:val="0"/>
        </w:rPr>
        <w:t xml:space="preserve">Hypothesis 3) Domestic Eurosceptic public opinion has no direct causal effect. bargaining success is primarily determined by the government's administrative capacity in Brussels, overriding public sentiment .</w:t>
      </w:r>
    </w:p>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sz w:val="28"/>
          <w:szCs w:val="28"/>
        </w:rPr>
      </w:pPr>
      <w:r w:rsidDel="00000000" w:rsidR="00000000" w:rsidRPr="00000000">
        <w:rPr>
          <w:rtl w:val="0"/>
        </w:rPr>
      </w:r>
    </w:p>
    <w:p w:rsidR="00000000" w:rsidDel="00000000" w:rsidP="00000000" w:rsidRDefault="00000000" w:rsidRPr="00000000" w14:paraId="00000049">
      <w:pPr>
        <w:jc w:val="center"/>
        <w:rPr>
          <w:sz w:val="28"/>
          <w:szCs w:val="28"/>
        </w:rPr>
      </w:pPr>
      <w:r w:rsidDel="00000000" w:rsidR="00000000" w:rsidRPr="00000000">
        <w:rPr>
          <w:b w:val="1"/>
          <w:bCs w:val="1"/>
          <w:rtl w:val="0"/>
        </w:rPr>
        <w:t xml:space="preserve">P. 3/4</w:t>
      </w:r>
      <w:r w:rsidDel="00000000" w:rsidR="00000000" w:rsidRPr="00000000">
        <w:rPr>
          <w:rtl w:val="0"/>
        </w:rPr>
      </w:r>
    </w:p>
    <w:p w:rsidR="00000000" w:rsidDel="00000000" w:rsidP="00000000" w:rsidRDefault="00000000" w:rsidRPr="00000000" w14:paraId="0000004A">
      <w:pPr>
        <w:rPr>
          <w:b w:val="1"/>
          <w:bCs w:val="1"/>
          <w:sz w:val="28"/>
          <w:szCs w:val="28"/>
          <w:u w:val="single"/>
        </w:rPr>
      </w:pPr>
      <w:r w:rsidDel="00000000" w:rsidR="00000000" w:rsidRPr="00000000">
        <w:rPr>
          <w:b w:val="1"/>
          <w:bCs w:val="1"/>
          <w:sz w:val="28"/>
          <w:szCs w:val="28"/>
          <w:u w:val="single"/>
          <w:rtl w:val="0"/>
        </w:rPr>
        <w:t xml:space="preserve">Article #3</w:t>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sz w:val="28"/>
          <w:szCs w:val="28"/>
          <w:rtl w:val="0"/>
        </w:rPr>
        <w:t xml:space="preserve">Toygür, Ilke, and Aleksandra Sojka. 2025. “Does climate backlash fuel euroscepticism?” Journal of European Public Policy 32 (5)</w:t>
      </w:r>
    </w:p>
    <w:p w:rsidR="00000000" w:rsidDel="00000000" w:rsidP="00000000" w:rsidRDefault="00000000" w:rsidRPr="00000000" w14:paraId="0000004D">
      <w:pPr>
        <w:rPr>
          <w:sz w:val="28"/>
          <w:szCs w:val="28"/>
        </w:rPr>
      </w:pPr>
      <w:hyperlink r:id="rId8">
        <w:r w:rsidDel="00000000" w:rsidR="00000000" w:rsidRPr="00000000">
          <w:rPr>
            <w:color w:val="1155cc"/>
            <w:sz w:val="28"/>
            <w:szCs w:val="28"/>
            <w:u w:val="single"/>
            <w:rtl w:val="0"/>
          </w:rPr>
          <w:t xml:space="preserve">https://www.tandfonline.com/doi/full/10.1080/13501763.2025.2542254</w:t>
        </w:r>
      </w:hyperlink>
      <w:r w:rsidDel="00000000" w:rsidR="00000000" w:rsidRPr="00000000">
        <w:rPr>
          <w:sz w:val="28"/>
          <w:szCs w:val="28"/>
          <w:rtl w:val="0"/>
        </w:rPr>
        <w:t xml:space="preserve">  </w:t>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i w:val="1"/>
          <w:iCs w:val="1"/>
          <w:sz w:val="28"/>
          <w:szCs w:val="28"/>
        </w:rPr>
      </w:pPr>
      <w:r w:rsidDel="00000000" w:rsidR="00000000" w:rsidRPr="00000000">
        <w:rPr>
          <w:b w:val="1"/>
          <w:bCs w:val="1"/>
          <w:sz w:val="28"/>
          <w:szCs w:val="28"/>
          <w:rtl w:val="0"/>
        </w:rPr>
        <w:t xml:space="preserve">Puzzle</w:t>
      </w:r>
      <w:r w:rsidDel="00000000" w:rsidR="00000000" w:rsidRPr="00000000">
        <w:rPr>
          <w:sz w:val="28"/>
          <w:szCs w:val="28"/>
          <w:rtl w:val="0"/>
        </w:rPr>
        <w:t xml:space="preserve">: The EU's Green Deal has sparked backlash against climate policies in some member states, correlating with rises in Eurosceptic voting, but this link is inconsistent across region </w:t>
      </w:r>
      <w:r w:rsidDel="00000000" w:rsidR="00000000" w:rsidRPr="00000000">
        <w:rPr>
          <w:i w:val="1"/>
          <w:iCs w:val="1"/>
          <w:sz w:val="28"/>
          <w:szCs w:val="28"/>
          <w:rtl w:val="0"/>
        </w:rPr>
        <w:t xml:space="preserve">why does opposition to EU climate policies translate to anti-EU sentiment and other times remain isolated?</w:t>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rPr>
          <w:b w:val="1"/>
          <w:bCs w:val="1"/>
          <w:sz w:val="28"/>
          <w:szCs w:val="28"/>
        </w:rPr>
      </w:pPr>
      <w:r w:rsidDel="00000000" w:rsidR="00000000" w:rsidRPr="00000000">
        <w:rPr>
          <w:b w:val="1"/>
          <w:bCs w:val="1"/>
          <w:sz w:val="28"/>
          <w:szCs w:val="28"/>
          <w:rtl w:val="0"/>
        </w:rPr>
        <w:t xml:space="preserve">Research Question</w:t>
      </w:r>
    </w:p>
    <w:p w:rsidR="00000000" w:rsidDel="00000000" w:rsidP="00000000" w:rsidRDefault="00000000" w:rsidRPr="00000000" w14:paraId="00000052">
      <w:pPr>
        <w:rPr>
          <w:sz w:val="28"/>
          <w:szCs w:val="28"/>
        </w:rPr>
      </w:pPr>
      <w:r w:rsidDel="00000000" w:rsidR="00000000" w:rsidRPr="00000000">
        <w:rPr>
          <w:sz w:val="28"/>
          <w:szCs w:val="28"/>
          <w:rtl w:val="0"/>
        </w:rPr>
        <w:t xml:space="preserve">What is the effect of  economic costs resulting from EU climate policies (IV) on Eurosceptic voting in European Parliament elections (DV)?</w:t>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sz w:val="28"/>
          <w:szCs w:val="28"/>
          <w:rtl w:val="0"/>
        </w:rPr>
        <w:t xml:space="preserve">Hypothesis 1) Higher perceived economic costs from EU climate policies </w:t>
      </w:r>
      <w:r w:rsidDel="00000000" w:rsidR="00000000" w:rsidRPr="00000000">
        <w:rPr>
          <w:i w:val="1"/>
          <w:iCs w:val="1"/>
          <w:sz w:val="28"/>
          <w:szCs w:val="28"/>
          <w:rtl w:val="0"/>
        </w:rPr>
        <w:t xml:space="preserve">increase</w:t>
      </w:r>
      <w:r w:rsidDel="00000000" w:rsidR="00000000" w:rsidRPr="00000000">
        <w:rPr>
          <w:sz w:val="28"/>
          <w:szCs w:val="28"/>
          <w:rtl w:val="0"/>
        </w:rPr>
        <w:t xml:space="preserve"> Eurosceptic voting, as voters attribute price hikes  (e.g., energy prices) to Brussels green policies. </w:t>
      </w:r>
    </w:p>
    <w:p w:rsidR="00000000" w:rsidDel="00000000" w:rsidP="00000000" w:rsidRDefault="00000000" w:rsidRPr="00000000" w14:paraId="00000055">
      <w:pPr>
        <w:rPr>
          <w:sz w:val="28"/>
          <w:szCs w:val="28"/>
        </w:rPr>
      </w:pPr>
      <w:r w:rsidDel="00000000" w:rsidR="00000000" w:rsidRPr="00000000">
        <w:rPr>
          <w:rtl w:val="0"/>
        </w:rPr>
      </w:r>
    </w:p>
    <w:p w:rsidR="00000000" w:rsidDel="00000000" w:rsidP="00000000" w:rsidRDefault="00000000" w:rsidRPr="00000000" w14:paraId="00000056">
      <w:pPr>
        <w:rPr>
          <w:sz w:val="28"/>
          <w:szCs w:val="28"/>
        </w:rPr>
      </w:pPr>
      <w:r w:rsidDel="00000000" w:rsidR="00000000" w:rsidRPr="00000000">
        <w:rPr>
          <w:sz w:val="28"/>
          <w:szCs w:val="28"/>
          <w:rtl w:val="0"/>
        </w:rPr>
        <w:t xml:space="preserve">Hypothesis 2) Higher perceived economic costs </w:t>
      </w:r>
      <w:r w:rsidDel="00000000" w:rsidR="00000000" w:rsidRPr="00000000">
        <w:rPr>
          <w:i w:val="1"/>
          <w:iCs w:val="1"/>
          <w:sz w:val="28"/>
          <w:szCs w:val="28"/>
          <w:rtl w:val="0"/>
        </w:rPr>
        <w:t xml:space="preserve">decrease</w:t>
      </w:r>
      <w:r w:rsidDel="00000000" w:rsidR="00000000" w:rsidRPr="00000000">
        <w:rPr>
          <w:sz w:val="28"/>
          <w:szCs w:val="28"/>
          <w:rtl w:val="0"/>
        </w:rPr>
        <w:t xml:space="preserve"> Eurosceptic voting, because voters recognize EU compensatory mechanisms like green funds as net profit </w:t>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rPr>
          <w:sz w:val="28"/>
          <w:szCs w:val="28"/>
        </w:rPr>
      </w:pPr>
      <w:r w:rsidDel="00000000" w:rsidR="00000000" w:rsidRPr="00000000">
        <w:rPr>
          <w:sz w:val="28"/>
          <w:szCs w:val="28"/>
          <w:rtl w:val="0"/>
        </w:rPr>
        <w:t xml:space="preserve">Hypothesis 3) Perceived economic costs have no direct causal effect; Eurosceptic voting is primarily driven by pre-existing ideological alignments with populist parties, which frame climate policy as elite imposition.</w:t>
      </w:r>
    </w:p>
    <w:p w:rsidR="00000000" w:rsidDel="00000000" w:rsidP="00000000" w:rsidRDefault="00000000" w:rsidRPr="00000000" w14:paraId="00000059">
      <w:pPr>
        <w:rPr>
          <w:sz w:val="28"/>
          <w:szCs w:val="28"/>
        </w:rPr>
      </w:pP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rtl w:val="0"/>
        </w:rPr>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sz w:val="28"/>
          <w:szCs w:val="28"/>
        </w:rPr>
      </w:pPr>
      <w:r w:rsidDel="00000000" w:rsidR="00000000" w:rsidRPr="00000000">
        <w:rPr>
          <w:rtl w:val="0"/>
        </w:rPr>
      </w:r>
    </w:p>
    <w:p w:rsidR="00000000" w:rsidDel="00000000" w:rsidP="00000000" w:rsidRDefault="00000000" w:rsidRPr="00000000" w14:paraId="0000005D">
      <w:pPr>
        <w:rPr>
          <w:sz w:val="28"/>
          <w:szCs w:val="28"/>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rtl w:val="0"/>
        </w:rPr>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jc w:val="center"/>
        <w:rPr>
          <w:sz w:val="28"/>
          <w:szCs w:val="28"/>
        </w:rPr>
      </w:pPr>
      <w:r w:rsidDel="00000000" w:rsidR="00000000" w:rsidRPr="00000000">
        <w:rPr>
          <w:b w:val="1"/>
          <w:bCs w:val="1"/>
          <w:rtl w:val="0"/>
        </w:rPr>
        <w:t xml:space="preserve">P. 4/4</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tandfonline.com/doi/full/10.1080/13501763.2021.1881587" TargetMode="External"/><Relationship Id="rId7" Type="http://schemas.openxmlformats.org/officeDocument/2006/relationships/hyperlink" Target="https://www.tandfonline.com/doi/full/10.1080/13501763.2021.1991985" TargetMode="External"/><Relationship Id="rId8" Type="http://schemas.openxmlformats.org/officeDocument/2006/relationships/hyperlink" Target="https://www.tandfonline.com/doi/full/10.1080/13501763.2025.2542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