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65F" w:rsidRDefault="0018565F" w:rsidP="006B6438">
      <w:pPr>
        <w:jc w:val="center"/>
        <w:rPr>
          <w:b/>
          <w:bCs/>
          <w:sz w:val="28"/>
          <w:szCs w:val="28"/>
          <w:rtl/>
        </w:rPr>
      </w:pPr>
      <w:bookmarkStart w:id="0" w:name="_GoBack"/>
      <w:bookmarkEnd w:id="0"/>
      <w:r>
        <w:rPr>
          <w:rFonts w:cs="FrankRuehl" w:hint="cs"/>
          <w:b/>
          <w:bCs/>
          <w:color w:val="000000"/>
          <w:sz w:val="32"/>
          <w:szCs w:val="32"/>
          <w:u w:val="single"/>
          <w:rtl/>
        </w:rPr>
        <w:t>ח</w:t>
      </w:r>
      <w:r w:rsidR="00D14A8B" w:rsidRPr="00D14A8B">
        <w:rPr>
          <w:rFonts w:cs="FrankRuehl" w:hint="cs"/>
          <w:b/>
          <w:bCs/>
          <w:color w:val="000000"/>
          <w:sz w:val="32"/>
          <w:szCs w:val="32"/>
          <w:u w:val="single"/>
          <w:rtl/>
        </w:rPr>
        <w:t>וק החוזים (חלק כללי), תשל"ג-1973</w:t>
      </w:r>
      <w:r w:rsidRPr="0018565F">
        <w:rPr>
          <w:rFonts w:hint="cs"/>
          <w:b/>
          <w:bCs/>
          <w:sz w:val="28"/>
          <w:szCs w:val="28"/>
          <w:rtl/>
        </w:rPr>
        <w:t xml:space="preserve"> </w:t>
      </w:r>
    </w:p>
    <w:p w:rsidR="00D14A8B" w:rsidRPr="0018565F" w:rsidRDefault="0018565F" w:rsidP="0018565F">
      <w:pPr>
        <w:rPr>
          <w:b/>
          <w:bCs/>
          <w:sz w:val="24"/>
          <w:szCs w:val="24"/>
          <w:u w:val="single"/>
          <w:rtl/>
        </w:rPr>
      </w:pPr>
      <w:r w:rsidRPr="0018565F">
        <w:rPr>
          <w:rFonts w:hint="cs"/>
          <w:b/>
          <w:bCs/>
          <w:sz w:val="24"/>
          <w:szCs w:val="24"/>
          <w:u w:val="single"/>
          <w:rtl/>
        </w:rPr>
        <w:t>פרשנות חוזה</w:t>
      </w:r>
      <w:r w:rsidRPr="0018565F">
        <w:rPr>
          <w:rFonts w:hint="cs"/>
          <w:b/>
          <w:bCs/>
          <w:sz w:val="24"/>
          <w:szCs w:val="24"/>
          <w:rtl/>
        </w:rPr>
        <w:t xml:space="preserve">: </w:t>
      </w:r>
      <w:r w:rsidRPr="0018565F">
        <w:rPr>
          <w:rFonts w:hint="cs"/>
          <w:b/>
          <w:bCs/>
          <w:sz w:val="24"/>
          <w:szCs w:val="24"/>
          <w:u w:val="single"/>
          <w:rtl/>
        </w:rPr>
        <w:t xml:space="preserve"> </w:t>
      </w:r>
    </w:p>
    <w:p w:rsidR="00306729" w:rsidRDefault="00235E51" w:rsidP="00235E51">
      <w:pPr>
        <w:pStyle w:val="p00"/>
        <w:bidi/>
        <w:spacing w:before="72" w:beforeAutospacing="0" w:after="0" w:afterAutospacing="0"/>
        <w:ind w:right="1134"/>
        <w:jc w:val="both"/>
        <w:rPr>
          <w:color w:val="000000"/>
          <w:sz w:val="20"/>
          <w:szCs w:val="20"/>
        </w:rPr>
      </w:pPr>
      <w:r>
        <w:rPr>
          <w:rStyle w:val="big-number"/>
          <w:rFonts w:cs="Miriam" w:hint="cs"/>
          <w:color w:val="000000"/>
          <w:sz w:val="32"/>
          <w:szCs w:val="32"/>
          <w:rtl/>
        </w:rPr>
        <w:t>25.</w:t>
      </w:r>
      <w:r w:rsidR="00306729">
        <w:rPr>
          <w:rStyle w:val="default"/>
          <w:rFonts w:cs="FrankRuehl" w:hint="cs"/>
          <w:color w:val="000000"/>
          <w:sz w:val="26"/>
          <w:szCs w:val="26"/>
          <w:rtl/>
        </w:rPr>
        <w:t>(א) </w:t>
      </w:r>
      <w:r w:rsidR="00306729" w:rsidRPr="00235E51">
        <w:rPr>
          <w:rStyle w:val="default"/>
          <w:rFonts w:cs="FrankRuehl" w:hint="cs"/>
          <w:b/>
          <w:bCs/>
          <w:color w:val="000000"/>
          <w:sz w:val="26"/>
          <w:szCs w:val="26"/>
          <w:rtl/>
        </w:rPr>
        <w:t>חוזה יפורש לפי אומד דעתם של הצדדים, כפי שהוא משתמע מתוך החוזה ומנסיבות העניין,</w:t>
      </w:r>
      <w:r w:rsidR="00306729">
        <w:rPr>
          <w:rStyle w:val="default"/>
          <w:rFonts w:cs="FrankRuehl" w:hint="cs"/>
          <w:color w:val="000000"/>
          <w:sz w:val="26"/>
          <w:szCs w:val="26"/>
          <w:rtl/>
        </w:rPr>
        <w:t xml:space="preserve"> ואולם אם אומד דעתם של הצדדים משתמע במפורש מלשון החוזה, יפורש החוזה בהתאם ללשונו.</w:t>
      </w:r>
    </w:p>
    <w:p w:rsidR="00306729" w:rsidRDefault="00306729" w:rsidP="00235E51">
      <w:pPr>
        <w:pStyle w:val="p00"/>
        <w:bidi/>
        <w:spacing w:before="72" w:beforeAutospacing="0" w:after="0" w:afterAutospacing="0"/>
        <w:ind w:right="1134"/>
        <w:jc w:val="both"/>
        <w:rPr>
          <w:color w:val="000000"/>
          <w:sz w:val="20"/>
          <w:szCs w:val="20"/>
          <w:rtl/>
        </w:rPr>
      </w:pPr>
      <w:r>
        <w:rPr>
          <w:rFonts w:cs="FrankRuehl" w:hint="cs"/>
          <w:color w:val="000000"/>
          <w:sz w:val="26"/>
          <w:szCs w:val="26"/>
          <w:rtl/>
        </w:rPr>
        <w:t>   </w:t>
      </w:r>
      <w:r>
        <w:rPr>
          <w:rStyle w:val="default"/>
          <w:rFonts w:cs="FrankRuehl" w:hint="cs"/>
          <w:color w:val="000000"/>
          <w:sz w:val="26"/>
          <w:szCs w:val="26"/>
          <w:rtl/>
        </w:rPr>
        <w:t>(ב) חוזה הניתן לפירושים שונים, פירוש המקיים אותו עדיף על פירוש שלפיו הוא בטל.</w:t>
      </w:r>
    </w:p>
    <w:p w:rsidR="00306729" w:rsidRPr="00306729" w:rsidRDefault="00235E51" w:rsidP="00235E51">
      <w:pPr>
        <w:pStyle w:val="p00"/>
        <w:bidi/>
        <w:spacing w:before="72" w:beforeAutospacing="0" w:after="0" w:afterAutospacing="0"/>
        <w:ind w:right="1134"/>
        <w:jc w:val="both"/>
        <w:rPr>
          <w:b/>
          <w:bCs/>
          <w:color w:val="000000"/>
          <w:sz w:val="20"/>
          <w:szCs w:val="20"/>
          <w:rtl/>
        </w:rPr>
      </w:pPr>
      <w:r>
        <w:rPr>
          <w:rStyle w:val="default"/>
          <w:rFonts w:cs="FrankRuehl" w:hint="cs"/>
          <w:color w:val="000000"/>
          <w:sz w:val="26"/>
          <w:szCs w:val="26"/>
          <w:rtl/>
        </w:rPr>
        <w:t xml:space="preserve"> </w:t>
      </w:r>
      <w:r w:rsidR="00306729">
        <w:rPr>
          <w:rStyle w:val="apple-converted-space"/>
          <w:rFonts w:cs="FrankRuehl" w:hint="cs"/>
          <w:color w:val="000000"/>
          <w:sz w:val="26"/>
          <w:szCs w:val="26"/>
          <w:rtl/>
        </w:rPr>
        <w:t> </w:t>
      </w:r>
      <w:r>
        <w:rPr>
          <w:rStyle w:val="default"/>
          <w:rFonts w:cs="FrankRuehl" w:hint="cs"/>
          <w:b/>
          <w:bCs/>
          <w:color w:val="000000"/>
          <w:sz w:val="26"/>
          <w:szCs w:val="26"/>
          <w:rtl/>
        </w:rPr>
        <w:t>(ב1) </w:t>
      </w:r>
      <w:r w:rsidR="00306729" w:rsidRPr="00306729">
        <w:rPr>
          <w:rStyle w:val="default"/>
          <w:rFonts w:cs="FrankRuehl" w:hint="cs"/>
          <w:b/>
          <w:bCs/>
          <w:color w:val="000000"/>
          <w:sz w:val="26"/>
          <w:szCs w:val="26"/>
          <w:rtl/>
        </w:rPr>
        <w:t>חוזה הניתן לפירושים שונים והיתה לאחד הצדדים לחוזה עדיפות בעיצוב תנאיו, פירוש נגדו עדיף על פירוש לטובתו.</w:t>
      </w:r>
    </w:p>
    <w:p w:rsidR="00306729" w:rsidRDefault="00235E51" w:rsidP="00235E51">
      <w:pPr>
        <w:pStyle w:val="p00"/>
        <w:bidi/>
        <w:spacing w:before="72" w:beforeAutospacing="0" w:after="0" w:afterAutospacing="0"/>
        <w:ind w:right="1134"/>
        <w:jc w:val="both"/>
        <w:rPr>
          <w:color w:val="000000"/>
          <w:sz w:val="20"/>
          <w:szCs w:val="20"/>
          <w:rtl/>
        </w:rPr>
      </w:pPr>
      <w:r>
        <w:rPr>
          <w:rStyle w:val="default"/>
          <w:rFonts w:cs="FrankRuehl" w:hint="cs"/>
          <w:color w:val="000000"/>
          <w:sz w:val="26"/>
          <w:szCs w:val="26"/>
          <w:rtl/>
        </w:rPr>
        <w:t xml:space="preserve"> </w:t>
      </w:r>
      <w:r w:rsidR="00306729">
        <w:rPr>
          <w:rStyle w:val="default"/>
          <w:rFonts w:cs="FrankRuehl" w:hint="cs"/>
          <w:color w:val="000000"/>
          <w:sz w:val="26"/>
          <w:szCs w:val="26"/>
          <w:rtl/>
        </w:rPr>
        <w:t> </w:t>
      </w:r>
      <w:r w:rsidR="00306729">
        <w:rPr>
          <w:rStyle w:val="apple-converted-space"/>
          <w:rFonts w:cs="FrankRuehl" w:hint="cs"/>
          <w:color w:val="000000"/>
          <w:sz w:val="26"/>
          <w:szCs w:val="26"/>
          <w:rtl/>
        </w:rPr>
        <w:t> </w:t>
      </w:r>
      <w:r w:rsidR="00306729">
        <w:rPr>
          <w:rStyle w:val="default"/>
          <w:rFonts w:cs="FrankRuehl" w:hint="cs"/>
          <w:color w:val="000000"/>
          <w:sz w:val="26"/>
          <w:szCs w:val="26"/>
          <w:rtl/>
        </w:rPr>
        <w:t>(</w:t>
      </w:r>
      <w:r w:rsidR="00306729" w:rsidRPr="0018565F">
        <w:rPr>
          <w:rStyle w:val="default"/>
          <w:rFonts w:cs="FrankRuehl" w:hint="cs"/>
          <w:b/>
          <w:bCs/>
          <w:color w:val="000000"/>
          <w:sz w:val="26"/>
          <w:szCs w:val="26"/>
          <w:rtl/>
        </w:rPr>
        <w:t>ג</w:t>
      </w:r>
      <w:r w:rsidR="00306729">
        <w:rPr>
          <w:rStyle w:val="default"/>
          <w:rFonts w:cs="FrankRuehl" w:hint="cs"/>
          <w:color w:val="000000"/>
          <w:sz w:val="26"/>
          <w:szCs w:val="26"/>
          <w:rtl/>
        </w:rPr>
        <w:t>)</w:t>
      </w:r>
      <w:r w:rsidR="00306729">
        <w:rPr>
          <w:rStyle w:val="apple-converted-space"/>
          <w:rFonts w:cs="FrankRuehl" w:hint="cs"/>
          <w:color w:val="000000"/>
          <w:sz w:val="26"/>
          <w:szCs w:val="26"/>
          <w:rtl/>
        </w:rPr>
        <w:t> </w:t>
      </w:r>
      <w:r w:rsidR="00306729" w:rsidRPr="0018565F">
        <w:rPr>
          <w:rStyle w:val="default"/>
          <w:rFonts w:cs="FrankRuehl" w:hint="cs"/>
          <w:b/>
          <w:bCs/>
          <w:color w:val="000000"/>
          <w:sz w:val="26"/>
          <w:szCs w:val="26"/>
          <w:rtl/>
        </w:rPr>
        <w:t>ביטויים ותניות בחוזה שנוהגים להשתמש בהם בחוזים מאותו סוג יפורשו לפי המשמעות הנודעת להם באותם חוזים</w:t>
      </w:r>
      <w:r w:rsidR="00306729">
        <w:rPr>
          <w:rStyle w:val="default"/>
          <w:rFonts w:cs="FrankRuehl" w:hint="cs"/>
          <w:color w:val="000000"/>
          <w:sz w:val="26"/>
          <w:szCs w:val="26"/>
          <w:rtl/>
        </w:rPr>
        <w:t>.</w:t>
      </w:r>
    </w:p>
    <w:p w:rsidR="00306729" w:rsidRDefault="00306729" w:rsidP="00235E51">
      <w:pPr>
        <w:pStyle w:val="p00"/>
        <w:bidi/>
        <w:spacing w:before="72" w:beforeAutospacing="0" w:after="0" w:afterAutospacing="0"/>
        <w:ind w:right="1134"/>
        <w:jc w:val="both"/>
        <w:rPr>
          <w:color w:val="000000"/>
          <w:sz w:val="20"/>
          <w:szCs w:val="20"/>
          <w:rtl/>
        </w:rPr>
      </w:pPr>
      <w:r>
        <w:rPr>
          <w:rFonts w:cs="FrankRuehl" w:hint="cs"/>
          <w:color w:val="000000"/>
          <w:sz w:val="26"/>
          <w:szCs w:val="26"/>
          <w:rtl/>
        </w:rPr>
        <w:t> </w:t>
      </w:r>
    </w:p>
    <w:p w:rsidR="001726F3" w:rsidRDefault="001726F3" w:rsidP="001726F3">
      <w:pPr>
        <w:jc w:val="center"/>
        <w:rPr>
          <w:b/>
          <w:bCs/>
          <w:sz w:val="28"/>
          <w:szCs w:val="28"/>
          <w:rtl/>
        </w:rPr>
      </w:pPr>
      <w:r>
        <w:rPr>
          <w:rFonts w:hint="cs"/>
          <w:b/>
          <w:bCs/>
          <w:sz w:val="28"/>
          <w:szCs w:val="28"/>
          <w:rtl/>
        </w:rPr>
        <w:t>כללים לפרשנות חוזה</w:t>
      </w:r>
    </w:p>
    <w:p w:rsidR="001726F3" w:rsidRDefault="001726F3" w:rsidP="001726F3">
      <w:pPr>
        <w:rPr>
          <w:rFonts w:ascii="Tahoma" w:hAnsi="Tahoma" w:cs="Tahoma"/>
          <w:color w:val="000000"/>
          <w:sz w:val="21"/>
          <w:szCs w:val="21"/>
          <w:shd w:val="clear" w:color="auto" w:fill="FFFFFF"/>
          <w:rtl/>
        </w:rPr>
      </w:pPr>
      <w:r w:rsidRPr="001726F3">
        <w:rPr>
          <w:rFonts w:ascii="Tahoma" w:hAnsi="Tahoma" w:cs="Tahoma"/>
          <w:b/>
          <w:bCs/>
          <w:color w:val="000000"/>
          <w:sz w:val="21"/>
          <w:szCs w:val="21"/>
          <w:shd w:val="clear" w:color="auto" w:fill="FFFFFF"/>
          <w:rtl/>
        </w:rPr>
        <w:t xml:space="preserve">כלל </w:t>
      </w:r>
      <w:r w:rsidRPr="001726F3">
        <w:rPr>
          <w:rFonts w:ascii="Tahoma" w:hAnsi="Tahoma" w:cs="Tahoma" w:hint="cs"/>
          <w:b/>
          <w:bCs/>
          <w:color w:val="000000"/>
          <w:sz w:val="21"/>
          <w:szCs w:val="21"/>
          <w:shd w:val="clear" w:color="auto" w:fill="FFFFFF"/>
          <w:rtl/>
        </w:rPr>
        <w:t xml:space="preserve">1: </w:t>
      </w:r>
      <w:r w:rsidRPr="001726F3">
        <w:rPr>
          <w:rFonts w:ascii="Tahoma" w:hAnsi="Tahoma" w:cs="Tahoma"/>
          <w:b/>
          <w:bCs/>
          <w:color w:val="000000"/>
          <w:sz w:val="21"/>
          <w:szCs w:val="21"/>
          <w:u w:val="single"/>
          <w:shd w:val="clear" w:color="auto" w:fill="FFFFFF"/>
          <w:rtl/>
        </w:rPr>
        <w:t xml:space="preserve">פרשנות שמגשימה את ציפיותיו הסבירות של </w:t>
      </w:r>
      <w:r w:rsidRPr="001726F3">
        <w:rPr>
          <w:rFonts w:ascii="Tahoma" w:hAnsi="Tahoma" w:cs="Tahoma" w:hint="cs"/>
          <w:b/>
          <w:bCs/>
          <w:color w:val="000000"/>
          <w:sz w:val="21"/>
          <w:szCs w:val="21"/>
          <w:u w:val="single"/>
          <w:shd w:val="clear" w:color="auto" w:fill="FFFFFF"/>
          <w:rtl/>
        </w:rPr>
        <w:t>העובד</w:t>
      </w:r>
      <w:r>
        <w:rPr>
          <w:rFonts w:ascii="Tahoma" w:hAnsi="Tahoma" w:cs="Tahoma" w:hint="cs"/>
          <w:color w:val="000000"/>
          <w:sz w:val="21"/>
          <w:szCs w:val="21"/>
          <w:shd w:val="clear" w:color="auto" w:fill="FFFFFF"/>
          <w:rtl/>
        </w:rPr>
        <w:t xml:space="preserve"> (סעיף 25 א לחוק)</w:t>
      </w:r>
    </w:p>
    <w:p w:rsidR="00D14A8B" w:rsidRDefault="00D14A8B" w:rsidP="00D14A8B">
      <w:pPr>
        <w:jc w:val="center"/>
        <w:rPr>
          <w:rFonts w:ascii="Tahoma" w:eastAsia="Times New Roman" w:hAnsi="Tahoma" w:cs="Tahoma"/>
          <w:color w:val="000000"/>
          <w:sz w:val="21"/>
          <w:szCs w:val="21"/>
          <w:rtl/>
        </w:rPr>
      </w:pPr>
      <w:r>
        <w:rPr>
          <w:rFonts w:hint="cs"/>
          <w:b/>
          <w:bCs/>
          <w:sz w:val="28"/>
          <w:szCs w:val="28"/>
          <w:rtl/>
        </w:rPr>
        <w:t>מתוך:</w:t>
      </w:r>
      <w:r w:rsidRPr="003A4A74">
        <w:rPr>
          <w:rFonts w:ascii="Tahoma" w:eastAsia="Times New Roman" w:hAnsi="Tahoma" w:cs="Tahoma"/>
          <w:color w:val="000000"/>
          <w:sz w:val="21"/>
          <w:szCs w:val="21"/>
          <w:rtl/>
        </w:rPr>
        <w:t xml:space="preserve"> </w:t>
      </w:r>
    </w:p>
    <w:p w:rsidR="00D14A8B" w:rsidRPr="0058550C" w:rsidRDefault="00D14A8B" w:rsidP="00D14A8B">
      <w:pPr>
        <w:jc w:val="center"/>
        <w:rPr>
          <w:b/>
          <w:bCs/>
          <w:sz w:val="28"/>
          <w:szCs w:val="28"/>
          <w:rtl/>
        </w:rPr>
      </w:pPr>
      <w:r w:rsidRPr="003A4A74">
        <w:rPr>
          <w:rFonts w:ascii="Tahoma" w:eastAsia="Times New Roman" w:hAnsi="Tahoma" w:cs="Tahoma"/>
          <w:b/>
          <w:bCs/>
          <w:color w:val="000000"/>
          <w:sz w:val="21"/>
          <w:szCs w:val="21"/>
          <w:rtl/>
        </w:rPr>
        <w:t xml:space="preserve">ע"א 453/11 </w:t>
      </w:r>
      <w:r w:rsidRPr="003A4A74">
        <w:rPr>
          <w:rFonts w:ascii="Tahoma" w:eastAsia="Times New Roman" w:hAnsi="Tahoma" w:cs="Tahoma"/>
          <w:color w:val="000000"/>
          <w:sz w:val="21"/>
          <w:szCs w:val="21"/>
          <w:rtl/>
        </w:rPr>
        <w:t>מ.ש. מוצרי אלומניום בע"</w:t>
      </w:r>
      <w:r w:rsidRPr="00F74BDC">
        <w:rPr>
          <w:rFonts w:ascii="Tahoma" w:eastAsia="Times New Roman" w:hAnsi="Tahoma" w:cs="Tahoma"/>
          <w:color w:val="000000"/>
          <w:sz w:val="21"/>
          <w:szCs w:val="21"/>
          <w:rtl/>
        </w:rPr>
        <w:t xml:space="preserve">מ נגד "אריה" חברה לביטוח בע"מ </w:t>
      </w:r>
      <w:r w:rsidRPr="0058550C">
        <w:rPr>
          <w:rFonts w:ascii="Tahoma" w:eastAsia="Times New Roman" w:hAnsi="Tahoma" w:cs="Tahoma"/>
          <w:b/>
          <w:bCs/>
          <w:color w:val="000000"/>
          <w:sz w:val="21"/>
          <w:szCs w:val="21"/>
          <w:rtl/>
        </w:rPr>
        <w:t>ו</w:t>
      </w:r>
      <w:r w:rsidRPr="0058550C">
        <w:rPr>
          <w:rFonts w:ascii="Tahoma" w:eastAsia="Times New Roman" w:hAnsi="Tahoma" w:cs="Tahoma" w:hint="cs"/>
          <w:b/>
          <w:bCs/>
          <w:color w:val="000000"/>
          <w:sz w:val="21"/>
          <w:szCs w:val="21"/>
          <w:rtl/>
        </w:rPr>
        <w:t>א</w:t>
      </w:r>
      <w:r w:rsidRPr="003A4A74">
        <w:rPr>
          <w:rFonts w:ascii="Tahoma" w:eastAsia="Times New Roman" w:hAnsi="Tahoma" w:cs="Tahoma"/>
          <w:b/>
          <w:bCs/>
          <w:color w:val="000000"/>
          <w:sz w:val="21"/>
          <w:szCs w:val="21"/>
          <w:rtl/>
        </w:rPr>
        <w:t>ח</w:t>
      </w:r>
      <w:r w:rsidRPr="003A4A74">
        <w:rPr>
          <w:rFonts w:ascii="Tahoma" w:eastAsia="Times New Roman" w:hAnsi="Tahoma" w:cs="Tahoma"/>
          <w:b/>
          <w:bCs/>
          <w:color w:val="000000"/>
          <w:sz w:val="21"/>
          <w:szCs w:val="21"/>
        </w:rPr>
        <w:t>'</w:t>
      </w:r>
    </w:p>
    <w:p w:rsidR="00D14A8B" w:rsidRPr="00B73BCF" w:rsidRDefault="00D14A8B" w:rsidP="00D14A8B">
      <w:pPr>
        <w:spacing w:after="0" w:line="240" w:lineRule="auto"/>
        <w:jc w:val="center"/>
        <w:rPr>
          <w:rFonts w:ascii="Tahoma" w:eastAsia="Times New Roman" w:hAnsi="Tahoma" w:cs="Tahoma"/>
          <w:color w:val="000000"/>
          <w:sz w:val="21"/>
          <w:szCs w:val="21"/>
          <w:rtl/>
        </w:rPr>
      </w:pPr>
      <w:r w:rsidRPr="003A4A74">
        <w:rPr>
          <w:rFonts w:ascii="Tahoma" w:eastAsia="Times New Roman" w:hAnsi="Tahoma" w:cs="Tahoma"/>
          <w:b/>
          <w:bCs/>
          <w:color w:val="000000"/>
          <w:sz w:val="21"/>
          <w:szCs w:val="21"/>
          <w:rtl/>
        </w:rPr>
        <w:t>בבית המשפט העליון</w:t>
      </w:r>
      <w:r w:rsidRPr="003A4A74">
        <w:rPr>
          <w:rFonts w:ascii="Tahoma" w:eastAsia="Times New Roman" w:hAnsi="Tahoma" w:cs="Tahoma"/>
          <w:color w:val="000000"/>
          <w:sz w:val="21"/>
          <w:szCs w:val="21"/>
          <w:rtl/>
        </w:rPr>
        <w:t xml:space="preserve"> בשבתו כבית משפט לערעורים אזרחיים</w:t>
      </w:r>
    </w:p>
    <w:p w:rsidR="00D14A8B" w:rsidRDefault="00D14A8B" w:rsidP="00D14A8B">
      <w:pPr>
        <w:spacing w:after="0" w:line="240" w:lineRule="auto"/>
        <w:jc w:val="center"/>
        <w:rPr>
          <w:rFonts w:ascii="Tahoma" w:eastAsia="Times New Roman" w:hAnsi="Tahoma" w:cs="Tahoma"/>
          <w:color w:val="000000"/>
          <w:sz w:val="21"/>
          <w:szCs w:val="21"/>
          <w:rtl/>
        </w:rPr>
      </w:pPr>
      <w:r>
        <w:rPr>
          <w:rFonts w:ascii="Tahoma" w:eastAsia="Times New Roman" w:hAnsi="Tahoma" w:cs="Tahoma" w:hint="cs"/>
          <w:color w:val="000000"/>
          <w:sz w:val="21"/>
          <w:szCs w:val="21"/>
          <w:rtl/>
        </w:rPr>
        <w:t xml:space="preserve">בפני </w:t>
      </w:r>
      <w:r w:rsidRPr="003A4A74">
        <w:rPr>
          <w:rFonts w:ascii="Tahoma" w:eastAsia="Times New Roman" w:hAnsi="Tahoma" w:cs="Tahoma"/>
          <w:color w:val="000000"/>
          <w:sz w:val="21"/>
          <w:szCs w:val="21"/>
          <w:rtl/>
        </w:rPr>
        <w:t>כבוד השופט</w:t>
      </w:r>
      <w:r>
        <w:rPr>
          <w:rFonts w:ascii="Tahoma" w:eastAsia="Times New Roman" w:hAnsi="Tahoma" w:cs="Tahoma" w:hint="cs"/>
          <w:color w:val="000000"/>
          <w:sz w:val="21"/>
          <w:szCs w:val="21"/>
          <w:rtl/>
        </w:rPr>
        <w:t xml:space="preserve">ים: </w:t>
      </w:r>
      <w:r w:rsidRPr="003A4A74">
        <w:rPr>
          <w:rFonts w:ascii="Tahoma" w:eastAsia="Times New Roman" w:hAnsi="Tahoma" w:cs="Tahoma"/>
          <w:color w:val="000000"/>
          <w:sz w:val="21"/>
          <w:szCs w:val="21"/>
          <w:rtl/>
        </w:rPr>
        <w:t>י' דנציגר</w:t>
      </w:r>
      <w:r>
        <w:rPr>
          <w:rFonts w:ascii="Tahoma" w:eastAsia="Times New Roman" w:hAnsi="Tahoma" w:cs="Tahoma" w:hint="cs"/>
          <w:color w:val="000000"/>
          <w:sz w:val="21"/>
          <w:szCs w:val="21"/>
          <w:rtl/>
        </w:rPr>
        <w:t>, נ' הנדל, ד' ברק-ארז</w:t>
      </w:r>
    </w:p>
    <w:p w:rsidR="00D14A8B" w:rsidRDefault="00D14A8B" w:rsidP="00D14A8B">
      <w:pPr>
        <w:rPr>
          <w:rFonts w:ascii="Tahoma" w:hAnsi="Tahoma" w:cs="Tahoma"/>
          <w:color w:val="000000"/>
          <w:sz w:val="21"/>
          <w:szCs w:val="21"/>
          <w:shd w:val="clear" w:color="auto" w:fill="FFFFFF"/>
          <w:rtl/>
        </w:rPr>
      </w:pPr>
    </w:p>
    <w:p w:rsidR="00C44B37" w:rsidRDefault="00C44B37" w:rsidP="00D14A8B">
      <w:pPr>
        <w:pStyle w:val="a3"/>
        <w:ind w:left="226"/>
        <w:jc w:val="both"/>
        <w:rPr>
          <w:rFonts w:ascii="Tahoma" w:hAnsi="Tahoma" w:cs="Tahoma"/>
          <w:b/>
          <w:bCs/>
          <w:color w:val="000000"/>
          <w:sz w:val="21"/>
          <w:szCs w:val="21"/>
          <w:shd w:val="clear" w:color="auto" w:fill="FFFFFF"/>
          <w:rtl/>
        </w:rPr>
      </w:pPr>
      <w:r>
        <w:rPr>
          <w:rFonts w:ascii="Tahoma" w:hAnsi="Tahoma" w:cs="Tahoma" w:hint="cs"/>
          <w:color w:val="000000"/>
          <w:sz w:val="21"/>
          <w:szCs w:val="21"/>
          <w:shd w:val="clear" w:color="auto" w:fill="FFFFFF"/>
          <w:rtl/>
        </w:rPr>
        <w:t>"</w:t>
      </w:r>
      <w:r w:rsidR="00D14A8B" w:rsidRPr="00B73BCF">
        <w:rPr>
          <w:rFonts w:ascii="Tahoma" w:hAnsi="Tahoma" w:cs="Tahoma"/>
          <w:color w:val="000000"/>
          <w:sz w:val="21"/>
          <w:szCs w:val="21"/>
          <w:shd w:val="clear" w:color="auto" w:fill="FFFFFF"/>
          <w:rtl/>
        </w:rPr>
        <w:t xml:space="preserve">הכללים הרגילים החלים בפרשנות חוזים, שעיקרם </w:t>
      </w:r>
      <w:r w:rsidR="00D14A8B" w:rsidRPr="00B73BCF">
        <w:rPr>
          <w:rFonts w:ascii="Tahoma" w:hAnsi="Tahoma" w:cs="Tahoma"/>
          <w:b/>
          <w:bCs/>
          <w:color w:val="000000"/>
          <w:sz w:val="21"/>
          <w:szCs w:val="21"/>
          <w:shd w:val="clear" w:color="auto" w:fill="FFFFFF"/>
          <w:rtl/>
        </w:rPr>
        <w:t>בהתחקות אחר אומד דעתם של הצדדים כפי שהוא משתמע מלשון החוזה ומ</w:t>
      </w:r>
      <w:r w:rsidR="00D14A8B" w:rsidRPr="00B73BCF">
        <w:rPr>
          <w:rFonts w:ascii="Tahoma" w:hAnsi="Tahoma" w:cs="Tahoma"/>
          <w:b/>
          <w:bCs/>
          <w:color w:val="000000"/>
          <w:sz w:val="21"/>
          <w:szCs w:val="21"/>
          <w:u w:val="single"/>
          <w:shd w:val="clear" w:color="auto" w:fill="FFFFFF"/>
          <w:rtl/>
        </w:rPr>
        <w:t>הנסיבות החיצוניות</w:t>
      </w:r>
      <w:r w:rsidR="00D14A8B" w:rsidRPr="00B73BCF">
        <w:rPr>
          <w:rFonts w:ascii="Tahoma" w:hAnsi="Tahoma" w:cs="Tahoma"/>
          <w:color w:val="000000"/>
          <w:sz w:val="21"/>
          <w:szCs w:val="21"/>
          <w:shd w:val="clear" w:color="auto" w:fill="FFFFFF"/>
          <w:rtl/>
        </w:rPr>
        <w:t xml:space="preserve">, כאמור בסעיף 25(א) לחוק החוזים </w:t>
      </w:r>
      <w:r w:rsidR="00D14A8B" w:rsidRPr="00C44B37">
        <w:rPr>
          <w:rFonts w:ascii="Tahoma" w:hAnsi="Tahoma" w:cs="Tahoma"/>
          <w:color w:val="000000"/>
          <w:sz w:val="16"/>
          <w:szCs w:val="16"/>
          <w:shd w:val="clear" w:color="auto" w:fill="FFFFFF"/>
          <w:rtl/>
        </w:rPr>
        <w:t xml:space="preserve">[ראו, למשל: ע"א 4688/02 כהן נ' "מגדל" חברה לביטוח בע"מ, פ"ד נט(5) 26, 38 (2005) (להלן: עניין כהן); ע"א 172/89 סלע חברה לביטוח בע"מ נ' סולל בונה בע"מ, פ"ד מז(1) 311, 326 (1993) (להלן: עניין סולל בונה)]. </w:t>
      </w:r>
    </w:p>
    <w:p w:rsidR="00D14A8B" w:rsidRDefault="00D14A8B" w:rsidP="00D14A8B">
      <w:pPr>
        <w:pStyle w:val="a3"/>
        <w:ind w:left="226"/>
        <w:jc w:val="both"/>
        <w:rPr>
          <w:rFonts w:ascii="Tahoma" w:hAnsi="Tahoma" w:cs="Tahoma"/>
          <w:color w:val="000000"/>
          <w:sz w:val="21"/>
          <w:szCs w:val="21"/>
          <w:shd w:val="clear" w:color="auto" w:fill="FFFFFF"/>
          <w:rtl/>
        </w:rPr>
      </w:pPr>
      <w:r w:rsidRPr="00B73BCF">
        <w:rPr>
          <w:rFonts w:ascii="Tahoma" w:hAnsi="Tahoma" w:cs="Tahoma"/>
          <w:b/>
          <w:bCs/>
          <w:color w:val="000000"/>
          <w:sz w:val="21"/>
          <w:szCs w:val="21"/>
          <w:shd w:val="clear" w:color="auto" w:fill="FFFFFF"/>
          <w:rtl/>
        </w:rPr>
        <w:t>הגשמת אומד דעתם המשותף של הצדדים הספציפיים בחוזה הספציפי הינה התכלית שעומדת ביסוד כל חוזה</w:t>
      </w:r>
      <w:r>
        <w:rPr>
          <w:rFonts w:ascii="Tahoma" w:hAnsi="Tahoma" w:cs="Tahoma" w:hint="cs"/>
          <w:color w:val="000000"/>
          <w:sz w:val="21"/>
          <w:szCs w:val="21"/>
          <w:shd w:val="clear" w:color="auto" w:fill="FFFFFF"/>
          <w:rtl/>
        </w:rPr>
        <w:t>.</w:t>
      </w:r>
      <w:r w:rsidRPr="00B73BCF">
        <w:rPr>
          <w:rFonts w:ascii="Tahoma" w:hAnsi="Tahoma" w:cs="Tahoma"/>
          <w:color w:val="000000"/>
          <w:sz w:val="21"/>
          <w:szCs w:val="21"/>
          <w:shd w:val="clear" w:color="auto" w:fill="FFFFFF"/>
          <w:rtl/>
        </w:rPr>
        <w:t xml:space="preserve"> </w:t>
      </w:r>
      <w:r w:rsidR="00C44B37">
        <w:rPr>
          <w:rFonts w:ascii="Tahoma" w:hAnsi="Tahoma" w:cs="Tahoma" w:hint="cs"/>
          <w:color w:val="000000"/>
          <w:sz w:val="21"/>
          <w:szCs w:val="21"/>
          <w:shd w:val="clear" w:color="auto" w:fill="FFFFFF"/>
          <w:rtl/>
        </w:rPr>
        <w:t>..</w:t>
      </w:r>
      <w:r>
        <w:rPr>
          <w:rFonts w:ascii="Tahoma" w:hAnsi="Tahoma" w:cs="Tahoma" w:hint="cs"/>
          <w:color w:val="000000"/>
          <w:sz w:val="21"/>
          <w:szCs w:val="21"/>
          <w:shd w:val="clear" w:color="auto" w:fill="FFFFFF"/>
          <w:rtl/>
        </w:rPr>
        <w:t>.</w:t>
      </w:r>
      <w:r w:rsidRPr="00B73BCF">
        <w:rPr>
          <w:rFonts w:ascii="Tahoma" w:hAnsi="Tahoma" w:cs="Tahoma"/>
          <w:color w:val="000000"/>
          <w:sz w:val="21"/>
          <w:szCs w:val="21"/>
          <w:shd w:val="clear" w:color="auto" w:fill="FFFFFF"/>
          <w:rtl/>
        </w:rPr>
        <w:t>בהקשר זה נקבע ש"</w:t>
      </w:r>
      <w:r w:rsidRPr="00B73BCF">
        <w:rPr>
          <w:rFonts w:ascii="Tahoma" w:hAnsi="Tahoma" w:cs="Tahoma"/>
          <w:b/>
          <w:bCs/>
          <w:color w:val="000000"/>
          <w:sz w:val="21"/>
          <w:szCs w:val="21"/>
          <w:shd w:val="clear" w:color="auto" w:fill="FFFFFF"/>
          <w:rtl/>
        </w:rPr>
        <w:t xml:space="preserve">חזקה היא </w:t>
      </w:r>
      <w:r w:rsidRPr="00B73BCF">
        <w:rPr>
          <w:rFonts w:ascii="Tahoma" w:hAnsi="Tahoma" w:cs="Tahoma"/>
          <w:color w:val="000000"/>
          <w:sz w:val="21"/>
          <w:szCs w:val="21"/>
          <w:shd w:val="clear" w:color="auto" w:fill="FFFFFF"/>
          <w:rtl/>
        </w:rPr>
        <w:t xml:space="preserve">כי משמעותה הרגילה של </w:t>
      </w:r>
      <w:r w:rsidRPr="00B73BCF">
        <w:rPr>
          <w:rFonts w:ascii="Tahoma" w:hAnsi="Tahoma" w:cs="Tahoma"/>
          <w:b/>
          <w:bCs/>
          <w:color w:val="000000"/>
          <w:sz w:val="21"/>
          <w:szCs w:val="21"/>
          <w:shd w:val="clear" w:color="auto" w:fill="FFFFFF"/>
          <w:rtl/>
        </w:rPr>
        <w:t>הלשון</w:t>
      </w:r>
      <w:r w:rsidRPr="00B73BCF">
        <w:rPr>
          <w:rFonts w:ascii="Tahoma" w:hAnsi="Tahoma" w:cs="Tahoma"/>
          <w:color w:val="000000"/>
          <w:sz w:val="21"/>
          <w:szCs w:val="21"/>
          <w:shd w:val="clear" w:color="auto" w:fill="FFFFFF"/>
          <w:rtl/>
        </w:rPr>
        <w:t xml:space="preserve"> שבה בחרו הצדדים בחוזה </w:t>
      </w:r>
      <w:r w:rsidRPr="00B73BCF">
        <w:rPr>
          <w:rFonts w:ascii="Tahoma" w:hAnsi="Tahoma" w:cs="Tahoma"/>
          <w:b/>
          <w:bCs/>
          <w:color w:val="000000"/>
          <w:sz w:val="21"/>
          <w:szCs w:val="21"/>
          <w:shd w:val="clear" w:color="auto" w:fill="FFFFFF"/>
          <w:rtl/>
        </w:rPr>
        <w:t>באה לשקף את המוסכם ביניהם</w:t>
      </w:r>
      <w:r w:rsidRPr="00B73BCF">
        <w:rPr>
          <w:rFonts w:ascii="Tahoma" w:hAnsi="Tahoma" w:cs="Tahoma"/>
          <w:color w:val="000000"/>
          <w:sz w:val="21"/>
          <w:szCs w:val="21"/>
          <w:shd w:val="clear" w:color="auto" w:fill="FFFFFF"/>
          <w:rtl/>
        </w:rPr>
        <w:t xml:space="preserve">, וכי הגשמת המוסכם ביניהם היא גם תכליתו של החוזה" </w:t>
      </w:r>
      <w:r w:rsidRPr="00C44B37">
        <w:rPr>
          <w:rFonts w:ascii="Tahoma" w:hAnsi="Tahoma" w:cs="Tahoma"/>
          <w:color w:val="000000"/>
          <w:sz w:val="16"/>
          <w:szCs w:val="16"/>
          <w:shd w:val="clear" w:color="auto" w:fill="FFFFFF"/>
          <w:rtl/>
        </w:rPr>
        <w:t>[כדברי השופט ת' אור בע"א 779/89 שלו נ' סלע חברה לביטוח בע"מ, פ"ד מח(1) 2</w:t>
      </w:r>
      <w:r w:rsidR="00C44B37">
        <w:rPr>
          <w:rFonts w:ascii="Tahoma" w:hAnsi="Tahoma" w:cs="Tahoma"/>
          <w:color w:val="000000"/>
          <w:sz w:val="16"/>
          <w:szCs w:val="16"/>
          <w:shd w:val="clear" w:color="auto" w:fill="FFFFFF"/>
          <w:rtl/>
        </w:rPr>
        <w:t>21, 238 (1994)</w:t>
      </w:r>
      <w:r w:rsidR="00C44B37">
        <w:rPr>
          <w:rFonts w:ascii="Tahoma" w:hAnsi="Tahoma" w:cs="Tahoma" w:hint="cs"/>
          <w:color w:val="000000"/>
          <w:sz w:val="16"/>
          <w:szCs w:val="16"/>
          <w:shd w:val="clear" w:color="auto" w:fill="FFFFFF"/>
          <w:rtl/>
        </w:rPr>
        <w:t>...</w:t>
      </w:r>
      <w:r w:rsidRPr="00C44B37">
        <w:rPr>
          <w:rFonts w:ascii="Tahoma" w:hAnsi="Tahoma" w:cs="Tahoma"/>
          <w:color w:val="000000"/>
          <w:sz w:val="16"/>
          <w:szCs w:val="16"/>
          <w:shd w:val="clear" w:color="auto" w:fill="FFFFFF"/>
          <w:rtl/>
        </w:rPr>
        <w:t>]</w:t>
      </w:r>
      <w:r w:rsidR="00C44B37" w:rsidRPr="00C44B37">
        <w:rPr>
          <w:rFonts w:ascii="Tahoma" w:hAnsi="Tahoma" w:cs="Tahoma" w:hint="cs"/>
          <w:color w:val="000000"/>
          <w:sz w:val="21"/>
          <w:szCs w:val="21"/>
          <w:shd w:val="clear" w:color="auto" w:fill="FFFFFF"/>
          <w:rtl/>
        </w:rPr>
        <w:t>"</w:t>
      </w:r>
      <w:r w:rsidRPr="00C44B37">
        <w:rPr>
          <w:rFonts w:ascii="Tahoma" w:hAnsi="Tahoma" w:cs="Tahoma"/>
          <w:color w:val="000000"/>
          <w:sz w:val="16"/>
          <w:szCs w:val="16"/>
          <w:shd w:val="clear" w:color="auto" w:fill="FFFFFF"/>
        </w:rPr>
        <w:t>.</w:t>
      </w:r>
      <w:r>
        <w:rPr>
          <w:rFonts w:ascii="Tahoma" w:hAnsi="Tahoma" w:cs="Tahoma" w:hint="cs"/>
          <w:color w:val="000000"/>
          <w:sz w:val="21"/>
          <w:szCs w:val="21"/>
          <w:shd w:val="clear" w:color="auto" w:fill="FFFFFF"/>
          <w:rtl/>
        </w:rPr>
        <w:t xml:space="preserve"> </w:t>
      </w:r>
    </w:p>
    <w:p w:rsidR="00C44B37" w:rsidRDefault="00C44B37" w:rsidP="00D14A8B">
      <w:pPr>
        <w:pStyle w:val="a3"/>
        <w:ind w:left="226"/>
        <w:jc w:val="both"/>
        <w:rPr>
          <w:rFonts w:ascii="Tahoma" w:hAnsi="Tahoma" w:cs="Tahoma"/>
          <w:color w:val="000000"/>
          <w:sz w:val="21"/>
          <w:szCs w:val="21"/>
          <w:shd w:val="clear" w:color="auto" w:fill="FFFFFF"/>
          <w:rtl/>
        </w:rPr>
      </w:pPr>
    </w:p>
    <w:p w:rsidR="00F74BDC" w:rsidRDefault="00F74BDC" w:rsidP="00F74BDC">
      <w:pPr>
        <w:jc w:val="center"/>
        <w:rPr>
          <w:b/>
          <w:bCs/>
          <w:sz w:val="28"/>
          <w:szCs w:val="28"/>
          <w:rtl/>
        </w:rPr>
      </w:pPr>
      <w:r>
        <w:rPr>
          <w:rFonts w:hint="cs"/>
          <w:b/>
          <w:bCs/>
          <w:sz w:val="28"/>
          <w:szCs w:val="28"/>
          <w:rtl/>
        </w:rPr>
        <w:t>מתוך:</w:t>
      </w:r>
    </w:p>
    <w:p w:rsidR="00F74BDC" w:rsidRPr="00154703" w:rsidRDefault="00C44B37" w:rsidP="00C44B37">
      <w:pPr>
        <w:spacing w:after="0" w:line="360" w:lineRule="auto"/>
        <w:rPr>
          <w:b/>
          <w:bCs/>
          <w:rtl/>
        </w:rPr>
      </w:pPr>
      <w:r w:rsidRPr="00154703">
        <w:rPr>
          <w:rFonts w:cs="Arial"/>
          <w:b/>
          <w:bCs/>
          <w:rtl/>
        </w:rPr>
        <w:t>א021544/07</w:t>
      </w:r>
      <w:r>
        <w:rPr>
          <w:rFonts w:cs="Arial" w:hint="cs"/>
          <w:b/>
          <w:bCs/>
          <w:rtl/>
        </w:rPr>
        <w:t xml:space="preserve">  </w:t>
      </w:r>
      <w:r>
        <w:rPr>
          <w:rFonts w:cs="Arial"/>
          <w:b/>
          <w:bCs/>
          <w:rtl/>
        </w:rPr>
        <w:t>בית משפט השלום תל אביב-יפו</w:t>
      </w:r>
      <w:r>
        <w:rPr>
          <w:rFonts w:cs="Arial" w:hint="cs"/>
          <w:rtl/>
        </w:rPr>
        <w:t xml:space="preserve">,  </w:t>
      </w:r>
      <w:r w:rsidR="00F74BDC" w:rsidRPr="00F74BDC">
        <w:rPr>
          <w:rFonts w:cs="Arial"/>
          <w:rtl/>
        </w:rPr>
        <w:t>רותם עפרה</w:t>
      </w:r>
      <w:r w:rsidR="00F74BDC" w:rsidRPr="00F74BDC">
        <w:rPr>
          <w:rFonts w:cs="Arial" w:hint="cs"/>
          <w:rtl/>
        </w:rPr>
        <w:t xml:space="preserve"> נ' </w:t>
      </w:r>
      <w:r w:rsidR="00F74BDC" w:rsidRPr="00F74BDC">
        <w:rPr>
          <w:rFonts w:cs="Arial"/>
          <w:rtl/>
        </w:rPr>
        <w:t>עבודי קרי איטיב בי</w:t>
      </w:r>
      <w:r w:rsidR="00F74BDC" w:rsidRPr="00F74BDC">
        <w:rPr>
          <w:rFonts w:cs="Arial" w:hint="cs"/>
          <w:rtl/>
        </w:rPr>
        <w:t>"</w:t>
      </w:r>
      <w:r w:rsidR="00F74BDC" w:rsidRPr="00F74BDC">
        <w:rPr>
          <w:rFonts w:cs="Arial"/>
          <w:rtl/>
        </w:rPr>
        <w:t>ס לפרסום</w:t>
      </w:r>
    </w:p>
    <w:p w:rsidR="00F74BDC" w:rsidRDefault="00F74BDC" w:rsidP="00C44B37">
      <w:pPr>
        <w:spacing w:after="0" w:line="360" w:lineRule="auto"/>
        <w:rPr>
          <w:b/>
          <w:bCs/>
          <w:rtl/>
        </w:rPr>
      </w:pPr>
      <w:r w:rsidRPr="00154703">
        <w:rPr>
          <w:rFonts w:cs="Arial"/>
          <w:b/>
          <w:bCs/>
          <w:rtl/>
        </w:rPr>
        <w:tab/>
        <w:t>בפני:</w:t>
      </w:r>
      <w:r w:rsidRPr="00154703">
        <w:rPr>
          <w:rFonts w:cs="Arial" w:hint="cs"/>
          <w:b/>
          <w:bCs/>
          <w:rtl/>
        </w:rPr>
        <w:t xml:space="preserve"> </w:t>
      </w:r>
      <w:r w:rsidRPr="00154703">
        <w:rPr>
          <w:rFonts w:cs="Arial"/>
          <w:b/>
          <w:bCs/>
          <w:rtl/>
        </w:rPr>
        <w:t>כבוד השופט מנחם (מריו) קליין</w:t>
      </w:r>
      <w:r w:rsidRPr="00154703">
        <w:rPr>
          <w:rFonts w:cs="Arial"/>
          <w:b/>
          <w:bCs/>
          <w:rtl/>
        </w:rPr>
        <w:tab/>
        <w:t>תאריך:</w:t>
      </w:r>
      <w:r w:rsidRPr="00154703">
        <w:rPr>
          <w:rFonts w:cs="Arial"/>
          <w:b/>
          <w:bCs/>
          <w:rtl/>
        </w:rPr>
        <w:tab/>
        <w:t>27/04/2008</w:t>
      </w:r>
    </w:p>
    <w:p w:rsidR="00F74BDC" w:rsidRPr="00154703" w:rsidRDefault="00F74BDC" w:rsidP="00F74BDC">
      <w:pPr>
        <w:rPr>
          <w:b/>
          <w:bCs/>
          <w:rtl/>
        </w:rPr>
      </w:pPr>
      <w:r w:rsidRPr="00154703">
        <w:rPr>
          <w:b/>
          <w:bCs/>
        </w:rPr>
        <w:t>https://www.google.co.il/webhp?sourceid=chrome-instant&amp;ion=1&amp;espv=2&amp;ie=UTF-8#q=%D7%A2%D7%93%D7%99%D7%A4%D7%95%D7%AA+%D7%9C%D7%A6%D7%93+%D7%A9%D7%9C%D7%90+%D7%A0%D7%99%D7%A1%D7%97+%D7%90%D7%AA+%D7%94%D7%97%D7%95%D7%96%D7%94</w:t>
      </w:r>
    </w:p>
    <w:p w:rsidR="00F74BDC" w:rsidRPr="001726F3" w:rsidRDefault="00F74BDC" w:rsidP="00F74BDC">
      <w:pPr>
        <w:rPr>
          <w:rtl/>
        </w:rPr>
      </w:pPr>
      <w:r w:rsidRPr="001726F3">
        <w:t>www.consumers.org.il/files/files/pzak-din/limodima.doc</w:t>
      </w:r>
    </w:p>
    <w:p w:rsidR="00F74BDC" w:rsidRDefault="00F74BDC" w:rsidP="00F74BDC">
      <w:pPr>
        <w:rPr>
          <w:rtl/>
        </w:rPr>
      </w:pPr>
    </w:p>
    <w:p w:rsidR="00F74BDC" w:rsidRDefault="00F74BDC" w:rsidP="00F74BDC">
      <w:pPr>
        <w:rPr>
          <w:rtl/>
        </w:rPr>
      </w:pPr>
      <w:r>
        <w:rPr>
          <w:rFonts w:cs="Arial" w:hint="cs"/>
          <w:rtl/>
        </w:rPr>
        <w:t xml:space="preserve"> </w:t>
      </w:r>
    </w:p>
    <w:p w:rsidR="00F74BDC" w:rsidRDefault="006C0307" w:rsidP="00F74BDC">
      <w:pPr>
        <w:rPr>
          <w:rFonts w:cs="David"/>
          <w:sz w:val="28"/>
          <w:szCs w:val="28"/>
          <w:rtl/>
        </w:rPr>
      </w:pPr>
      <w:r>
        <w:rPr>
          <w:rFonts w:cs="David" w:hint="cs"/>
          <w:sz w:val="28"/>
          <w:szCs w:val="28"/>
          <w:rtl/>
        </w:rPr>
        <w:lastRenderedPageBreak/>
        <w:t>"</w:t>
      </w:r>
      <w:r w:rsidR="00F74BDC">
        <w:rPr>
          <w:rFonts w:cs="David" w:hint="cs"/>
          <w:sz w:val="28"/>
          <w:szCs w:val="28"/>
          <w:rtl/>
        </w:rPr>
        <w:t xml:space="preserve">בפרשנות הסכם הולכים אנו היום על פי מה שנקבע </w:t>
      </w:r>
      <w:r w:rsidR="00F74BDC">
        <w:rPr>
          <w:rFonts w:cs="David" w:hint="cs"/>
          <w:b/>
          <w:bCs/>
          <w:sz w:val="28"/>
          <w:szCs w:val="28"/>
          <w:rtl/>
        </w:rPr>
        <w:t>ב</w:t>
      </w:r>
      <w:hyperlink r:id="rId7" w:history="1">
        <w:r w:rsidR="00F74BDC">
          <w:rPr>
            <w:rFonts w:cs="David"/>
            <w:b/>
            <w:bCs/>
            <w:color w:val="0000FF"/>
            <w:sz w:val="28"/>
            <w:szCs w:val="28"/>
            <w:u w:val="single"/>
            <w:rtl/>
          </w:rPr>
          <w:t>דנ"א 2485/95</w:t>
        </w:r>
      </w:hyperlink>
      <w:r w:rsidR="00F74BDC">
        <w:rPr>
          <w:rFonts w:cs="David" w:hint="cs"/>
          <w:b/>
          <w:bCs/>
          <w:sz w:val="28"/>
          <w:szCs w:val="28"/>
          <w:rtl/>
        </w:rPr>
        <w:t xml:space="preserve"> אפרופים שיכון וייזום נ' מדינת ישראל </w:t>
      </w:r>
      <w:r w:rsidR="00F74BDC">
        <w:rPr>
          <w:rFonts w:cs="David"/>
          <w:rtl/>
        </w:rPr>
        <w:t>[פורסם בנבו]</w:t>
      </w:r>
      <w:r w:rsidR="00F74BDC">
        <w:rPr>
          <w:rFonts w:cs="David" w:hint="cs"/>
          <w:sz w:val="28"/>
          <w:szCs w:val="28"/>
          <w:rtl/>
        </w:rPr>
        <w:t>, כדלקמן:</w:t>
      </w:r>
    </w:p>
    <w:p w:rsidR="00F74BDC" w:rsidRDefault="00F74BDC" w:rsidP="00B21743">
      <w:pPr>
        <w:ind w:left="720"/>
        <w:rPr>
          <w:rFonts w:cs="David"/>
          <w:b/>
          <w:bCs/>
          <w:sz w:val="28"/>
          <w:szCs w:val="28"/>
          <w:rtl/>
        </w:rPr>
      </w:pPr>
      <w:r w:rsidRPr="006C0307">
        <w:rPr>
          <w:rFonts w:cs="David" w:hint="cs"/>
          <w:b/>
          <w:bCs/>
          <w:sz w:val="24"/>
          <w:szCs w:val="24"/>
          <w:rtl/>
        </w:rPr>
        <w:t>"</w:t>
      </w:r>
      <w:r w:rsidRPr="006C0307">
        <w:rPr>
          <w:rFonts w:cs="David" w:hint="cs"/>
          <w:sz w:val="24"/>
          <w:szCs w:val="24"/>
          <w:rtl/>
        </w:rPr>
        <w:t>הגישה הפרשנית הרווחת בפסיקה העניפה והעולה מדברי מלומדים בסוגית פרשנות חוזה, גורסת, כי אין פ</w:t>
      </w:r>
      <w:r w:rsidRPr="006C0307">
        <w:rPr>
          <w:rFonts w:cs="David" w:hint="cs"/>
          <w:rtl/>
        </w:rPr>
        <w:t>רש</w:t>
      </w:r>
      <w:r w:rsidRPr="006C0307">
        <w:rPr>
          <w:rFonts w:cs="David" w:hint="cs"/>
          <w:sz w:val="24"/>
          <w:szCs w:val="24"/>
          <w:rtl/>
        </w:rPr>
        <w:t>נותו של סעיף בחוזה מתמצית בבחינת משמעותן הלשונית של המילים הכתובות בו</w:t>
      </w:r>
      <w:r w:rsidRPr="00F74BDC">
        <w:rPr>
          <w:rFonts w:cs="David" w:hint="cs"/>
          <w:sz w:val="28"/>
          <w:szCs w:val="28"/>
          <w:rtl/>
        </w:rPr>
        <w:t xml:space="preserve"> (</w:t>
      </w:r>
      <w:hyperlink r:id="rId8" w:history="1">
        <w:r w:rsidRPr="006C0307">
          <w:rPr>
            <w:rFonts w:cs="David"/>
            <w:color w:val="0000FF"/>
            <w:u w:val="single"/>
            <w:rtl/>
          </w:rPr>
          <w:t>ע"א 554/83 "אתא" חברה לטכסטיל בע"מ נ' עזבון המנוח זולוטולוב ז"ל ואח', פ"ד מא</w:t>
        </w:r>
      </w:hyperlink>
      <w:r w:rsidRPr="006C0307">
        <w:rPr>
          <w:rFonts w:cs="David" w:hint="cs"/>
          <w:rtl/>
        </w:rPr>
        <w:t>(1) 282, בעמ' 305-304)</w:t>
      </w:r>
      <w:r>
        <w:rPr>
          <w:rFonts w:cs="David" w:hint="cs"/>
          <w:b/>
          <w:bCs/>
          <w:sz w:val="28"/>
          <w:szCs w:val="28"/>
          <w:rtl/>
        </w:rPr>
        <w:t xml:space="preserve"> </w:t>
      </w:r>
      <w:r w:rsidRPr="006C0307">
        <w:rPr>
          <w:rFonts w:cs="David" w:hint="cs"/>
          <w:sz w:val="24"/>
          <w:szCs w:val="24"/>
          <w:rtl/>
        </w:rPr>
        <w:t>ו</w:t>
      </w:r>
      <w:r w:rsidRPr="00B21743">
        <w:rPr>
          <w:rFonts w:cs="David" w:hint="cs"/>
          <w:sz w:val="24"/>
          <w:szCs w:val="24"/>
          <w:rtl/>
        </w:rPr>
        <w:t>כי</w:t>
      </w:r>
      <w:r w:rsidRPr="006C0307">
        <w:rPr>
          <w:rFonts w:cs="David" w:hint="cs"/>
          <w:b/>
          <w:bCs/>
          <w:sz w:val="24"/>
          <w:szCs w:val="24"/>
          <w:rtl/>
        </w:rPr>
        <w:t xml:space="preserve"> </w:t>
      </w:r>
      <w:r w:rsidRPr="00B21743">
        <w:rPr>
          <w:rFonts w:cs="David" w:hint="cs"/>
          <w:b/>
          <w:bCs/>
          <w:sz w:val="28"/>
          <w:szCs w:val="28"/>
          <w:rtl/>
        </w:rPr>
        <w:t>בבוא בית המשפט לפרש תניה בחוזה, אל לו להיות כבול למובן המילולי של המילים שעה שראיית החוזה כמכלול על רקע תכליתו ונסיבות כריתתו, מלמדת על כוונה אחת מזו העולה מן הפירוש המילולי</w:t>
      </w:r>
      <w:r w:rsidRPr="006C0307">
        <w:rPr>
          <w:rFonts w:cs="David" w:hint="cs"/>
          <w:b/>
          <w:bCs/>
          <w:sz w:val="24"/>
          <w:szCs w:val="24"/>
          <w:rtl/>
        </w:rPr>
        <w:t xml:space="preserve">. </w:t>
      </w:r>
      <w:r w:rsidRPr="006C0307">
        <w:rPr>
          <w:rFonts w:cs="David" w:hint="cs"/>
          <w:sz w:val="24"/>
          <w:szCs w:val="24"/>
          <w:rtl/>
        </w:rPr>
        <w:t>לא אחת נתן בית משפט זה פירוש לחוזה, שאינו מתיישב עם המובן הרגיל של המילים בהן השתמשו הצדדים</w:t>
      </w:r>
      <w:r w:rsidRPr="006C0307">
        <w:rPr>
          <w:rFonts w:cs="David" w:hint="cs"/>
          <w:b/>
          <w:bCs/>
          <w:sz w:val="24"/>
          <w:szCs w:val="24"/>
          <w:rtl/>
        </w:rPr>
        <w:t xml:space="preserve">, </w:t>
      </w:r>
      <w:r w:rsidRPr="00B21743">
        <w:rPr>
          <w:rFonts w:cs="David" w:hint="cs"/>
          <w:sz w:val="24"/>
          <w:szCs w:val="24"/>
          <w:rtl/>
        </w:rPr>
        <w:t>וקבע כי המילים אינן מכריעות</w:t>
      </w:r>
      <w:r w:rsidRPr="006C0307">
        <w:rPr>
          <w:rFonts w:cs="David" w:hint="cs"/>
          <w:b/>
          <w:bCs/>
          <w:sz w:val="24"/>
          <w:szCs w:val="24"/>
          <w:rtl/>
        </w:rPr>
        <w:t xml:space="preserve"> אלא </w:t>
      </w:r>
      <w:r w:rsidRPr="00B21743">
        <w:rPr>
          <w:rFonts w:cs="David" w:hint="cs"/>
          <w:b/>
          <w:bCs/>
          <w:sz w:val="28"/>
          <w:szCs w:val="28"/>
          <w:rtl/>
        </w:rPr>
        <w:t xml:space="preserve">יש לפרש חוזה על פי רוחו ותכליתו ולעיין בחוזה כולו כדי ללמוד על התכלית והמטרה </w:t>
      </w:r>
      <w:r w:rsidRPr="00B21743">
        <w:rPr>
          <w:rFonts w:cs="David" w:hint="cs"/>
          <w:b/>
          <w:bCs/>
          <w:sz w:val="24"/>
          <w:szCs w:val="24"/>
          <w:rtl/>
        </w:rPr>
        <w:t>העומדים בבסיסו</w:t>
      </w:r>
      <w:r>
        <w:rPr>
          <w:rFonts w:cs="David" w:hint="cs"/>
          <w:sz w:val="28"/>
          <w:szCs w:val="28"/>
          <w:rtl/>
        </w:rPr>
        <w:t xml:space="preserve"> (</w:t>
      </w:r>
      <w:r w:rsidRPr="006C0307">
        <w:rPr>
          <w:rFonts w:cs="David" w:hint="cs"/>
          <w:rtl/>
        </w:rPr>
        <w:t xml:space="preserve">ראה: </w:t>
      </w:r>
      <w:hyperlink r:id="rId9" w:history="1">
        <w:r w:rsidRPr="006C0307">
          <w:rPr>
            <w:rFonts w:cs="David"/>
            <w:color w:val="0000FF"/>
            <w:u w:val="single"/>
            <w:rtl/>
          </w:rPr>
          <w:t>ע"א 324/63 ישראל הלוי סגל נ' חברת גורג'ני מג'י בע,מ, פ"ד יח</w:t>
        </w:r>
      </w:hyperlink>
      <w:r w:rsidRPr="006C0307">
        <w:rPr>
          <w:rFonts w:cs="David" w:hint="cs"/>
          <w:rtl/>
        </w:rPr>
        <w:t>(4) 371 בעמ' 373 ו</w:t>
      </w:r>
      <w:hyperlink r:id="rId10" w:history="1">
        <w:r w:rsidRPr="006C0307">
          <w:rPr>
            <w:rFonts w:cs="David"/>
            <w:color w:val="0000FF"/>
            <w:u w:val="single"/>
            <w:rtl/>
          </w:rPr>
          <w:t>ע"א 46/74 אליעזר מורדוב נ' יוסף שכטמן, פ"ד כט</w:t>
        </w:r>
      </w:hyperlink>
      <w:r w:rsidRPr="006C0307">
        <w:rPr>
          <w:rFonts w:cs="David" w:hint="cs"/>
          <w:rtl/>
        </w:rPr>
        <w:t>(1) 477, בעמ' 481,</w:t>
      </w:r>
      <w:r w:rsidRPr="006C0307">
        <w:rPr>
          <w:rFonts w:cs="David" w:hint="cs"/>
          <w:b/>
          <w:bCs/>
          <w:rtl/>
        </w:rPr>
        <w:t xml:space="preserve"> המאזכר אותו בהסכמה. כן ראה </w:t>
      </w:r>
      <w:hyperlink r:id="rId11" w:history="1">
        <w:r w:rsidRPr="006C0307">
          <w:rPr>
            <w:rFonts w:cs="David"/>
            <w:color w:val="0000FF"/>
            <w:u w:val="single"/>
            <w:rtl/>
          </w:rPr>
          <w:t>ע"א 453/80 בן נתן נ' נגבי, פ"ד לה</w:t>
        </w:r>
      </w:hyperlink>
      <w:r w:rsidRPr="006C0307">
        <w:rPr>
          <w:rFonts w:cs="David" w:hint="cs"/>
          <w:rtl/>
        </w:rPr>
        <w:t>(2) 141, בעמ' 145</w:t>
      </w:r>
      <w:r w:rsidRPr="006C0307">
        <w:rPr>
          <w:rFonts w:cs="David" w:hint="cs"/>
          <w:b/>
          <w:bCs/>
          <w:rtl/>
        </w:rPr>
        <w:t>, המאזכר את שניהם בהסכמה).</w:t>
      </w:r>
      <w:r w:rsidRPr="006C0307">
        <w:rPr>
          <w:rFonts w:cs="David" w:hint="cs"/>
          <w:b/>
          <w:bCs/>
          <w:sz w:val="32"/>
          <w:szCs w:val="32"/>
          <w:rtl/>
        </w:rPr>
        <w:t xml:space="preserve"> </w:t>
      </w:r>
      <w:r>
        <w:rPr>
          <w:rFonts w:cs="David" w:hint="cs"/>
          <w:b/>
          <w:bCs/>
          <w:sz w:val="28"/>
          <w:szCs w:val="28"/>
          <w:rtl/>
        </w:rPr>
        <w:t>הלכות אלה עוברות כחוט השני לאורך הפסיקה (</w:t>
      </w:r>
      <w:r w:rsidRPr="006C0307">
        <w:rPr>
          <w:rFonts w:cs="David" w:hint="cs"/>
          <w:b/>
          <w:bCs/>
          <w:rtl/>
        </w:rPr>
        <w:t xml:space="preserve">ראה למשל: </w:t>
      </w:r>
      <w:hyperlink r:id="rId12" w:history="1">
        <w:r w:rsidRPr="006C0307">
          <w:rPr>
            <w:rFonts w:cs="David"/>
            <w:color w:val="0000FF"/>
            <w:u w:val="single"/>
            <w:rtl/>
          </w:rPr>
          <w:t>ע"א 627/84 נודל ואח' נ' עזבון פינטו ז"ל ואח', פ"ד מ</w:t>
        </w:r>
      </w:hyperlink>
      <w:r w:rsidRPr="006C0307">
        <w:rPr>
          <w:rFonts w:cs="David" w:hint="cs"/>
          <w:rtl/>
        </w:rPr>
        <w:t>(4) 477, בעמ' 472;</w:t>
      </w:r>
      <w:r w:rsidRPr="006C0307">
        <w:rPr>
          <w:rFonts w:cs="David" w:hint="cs"/>
          <w:b/>
          <w:bCs/>
          <w:rtl/>
        </w:rPr>
        <w:t xml:space="preserve"> </w:t>
      </w:r>
      <w:hyperlink r:id="rId13" w:history="1">
        <w:r w:rsidRPr="006C0307">
          <w:rPr>
            <w:rFonts w:cs="David"/>
            <w:color w:val="0000FF"/>
            <w:u w:val="single"/>
            <w:rtl/>
          </w:rPr>
          <w:t>ע"א 327/85 קוגלר נ' מינהל מקרקעי ישראל, פ"ד מב</w:t>
        </w:r>
      </w:hyperlink>
      <w:r w:rsidRPr="006C0307">
        <w:rPr>
          <w:rFonts w:cs="David" w:hint="cs"/>
          <w:rtl/>
        </w:rPr>
        <w:t>(1) 97 בעמ' 102).</w:t>
      </w:r>
      <w:r>
        <w:rPr>
          <w:rFonts w:cs="David" w:hint="cs"/>
          <w:b/>
          <w:bCs/>
          <w:sz w:val="28"/>
          <w:szCs w:val="28"/>
          <w:rtl/>
        </w:rPr>
        <w:t xml:space="preserve"> </w:t>
      </w:r>
    </w:p>
    <w:p w:rsidR="00F74BDC" w:rsidRDefault="00F74BDC" w:rsidP="00F74BDC">
      <w:pPr>
        <w:ind w:left="720"/>
        <w:rPr>
          <w:rFonts w:cs="David"/>
          <w:b/>
          <w:bCs/>
          <w:sz w:val="28"/>
          <w:szCs w:val="28"/>
          <w:rtl/>
        </w:rPr>
      </w:pPr>
      <w:r>
        <w:rPr>
          <w:rFonts w:cs="David" w:hint="cs"/>
          <w:b/>
          <w:bCs/>
          <w:sz w:val="28"/>
          <w:szCs w:val="28"/>
          <w:rtl/>
        </w:rPr>
        <w:t xml:space="preserve"> .... </w:t>
      </w:r>
      <w:r w:rsidRPr="00B21743">
        <w:rPr>
          <w:rFonts w:cs="David" w:hint="cs"/>
          <w:sz w:val="24"/>
          <w:szCs w:val="24"/>
          <w:rtl/>
        </w:rPr>
        <w:t>עוד נקבע, כי הפרשנות המילולית הפשוטה והסבירה היא נקודת מוצא טובה ונוחה, אולם</w:t>
      </w:r>
      <w:r w:rsidRPr="006C0307">
        <w:rPr>
          <w:rFonts w:cs="David" w:hint="cs"/>
          <w:sz w:val="28"/>
          <w:szCs w:val="28"/>
          <w:rtl/>
        </w:rPr>
        <w:t xml:space="preserve"> </w:t>
      </w:r>
      <w:r w:rsidRPr="006C0307">
        <w:rPr>
          <w:rFonts w:cs="David" w:hint="cs"/>
          <w:b/>
          <w:bCs/>
          <w:sz w:val="28"/>
          <w:szCs w:val="28"/>
          <w:rtl/>
        </w:rPr>
        <w:t xml:space="preserve">יש להתייחס למילים "בראייה כוללת ומעמיקה החודרת אל מטרת דבר החקיקה או כתב ההסכם ולתכלית שביקשו להשיג... מותר וגם </w:t>
      </w:r>
      <w:r w:rsidRPr="006C0307">
        <w:rPr>
          <w:rFonts w:cs="David" w:hint="cs"/>
          <w:b/>
          <w:bCs/>
          <w:sz w:val="28"/>
          <w:szCs w:val="28"/>
          <w:u w:val="single"/>
          <w:rtl/>
        </w:rPr>
        <w:t>ראוי לתת לכתב פירוש ליברלי</w:t>
      </w:r>
      <w:r w:rsidRPr="006C0307">
        <w:rPr>
          <w:rFonts w:cs="David" w:hint="cs"/>
          <w:b/>
          <w:bCs/>
          <w:sz w:val="28"/>
          <w:szCs w:val="28"/>
          <w:rtl/>
        </w:rPr>
        <w:t xml:space="preserve">, אפילו הוא עומד, לכאורה, </w:t>
      </w:r>
      <w:r w:rsidRPr="006C0307">
        <w:rPr>
          <w:rFonts w:cs="David" w:hint="cs"/>
          <w:b/>
          <w:bCs/>
          <w:sz w:val="28"/>
          <w:szCs w:val="28"/>
          <w:u w:val="single"/>
          <w:rtl/>
        </w:rPr>
        <w:t>בניגוד למילים המפורשות</w:t>
      </w:r>
      <w:r w:rsidRPr="006C0307">
        <w:rPr>
          <w:rFonts w:cs="David" w:hint="cs"/>
          <w:b/>
          <w:bCs/>
          <w:sz w:val="28"/>
          <w:szCs w:val="28"/>
          <w:rtl/>
        </w:rPr>
        <w:t>"</w:t>
      </w:r>
      <w:r w:rsidRPr="006C0307">
        <w:rPr>
          <w:rFonts w:cs="David" w:hint="cs"/>
          <w:sz w:val="28"/>
          <w:szCs w:val="28"/>
          <w:rtl/>
        </w:rPr>
        <w:t xml:space="preserve"> (</w:t>
      </w:r>
      <w:hyperlink r:id="rId14" w:history="1">
        <w:r w:rsidRPr="006C0307">
          <w:rPr>
            <w:rFonts w:cs="David"/>
            <w:color w:val="0000FF"/>
            <w:u w:val="single"/>
            <w:rtl/>
          </w:rPr>
          <w:t>ע"א 631/83</w:t>
        </w:r>
      </w:hyperlink>
      <w:r w:rsidRPr="006C0307">
        <w:rPr>
          <w:rFonts w:cs="David" w:hint="cs"/>
          <w:rtl/>
        </w:rPr>
        <w:t xml:space="preserve"> "המגן" חברה לביטוח בע"מ ואח' נ' "מדינת הילדים" בע"מ וערעור שכנגד, פ"ד לט(4) 561, בעמ' 572</w:t>
      </w:r>
      <w:r w:rsidRPr="006C0307">
        <w:rPr>
          <w:rFonts w:cs="David" w:hint="cs"/>
          <w:b/>
          <w:bCs/>
          <w:rtl/>
        </w:rPr>
        <w:t>.</w:t>
      </w:r>
      <w:r>
        <w:rPr>
          <w:rFonts w:cs="David" w:hint="cs"/>
          <w:b/>
          <w:bCs/>
          <w:sz w:val="28"/>
          <w:szCs w:val="28"/>
          <w:rtl/>
        </w:rPr>
        <w:t xml:space="preserve"> </w:t>
      </w:r>
    </w:p>
    <w:p w:rsidR="00F74BDC" w:rsidRPr="006C0307" w:rsidRDefault="00F74BDC" w:rsidP="00B21743">
      <w:pPr>
        <w:ind w:left="720"/>
        <w:rPr>
          <w:rFonts w:cs="David"/>
          <w:b/>
          <w:bCs/>
          <w:rtl/>
        </w:rPr>
      </w:pPr>
      <w:r w:rsidRPr="00B21743">
        <w:rPr>
          <w:rFonts w:cs="David" w:hint="cs"/>
          <w:sz w:val="24"/>
          <w:szCs w:val="24"/>
          <w:rtl/>
        </w:rPr>
        <w:t>יתכנו מקרים שבהם תגבר הפרשנות התכליתית של החוזה על פני פרשנותו המילולית והוא</w:t>
      </w:r>
      <w:r w:rsidRPr="006C0307">
        <w:rPr>
          <w:rFonts w:cs="David" w:hint="cs"/>
          <w:sz w:val="28"/>
          <w:szCs w:val="28"/>
          <w:rtl/>
        </w:rPr>
        <w:t xml:space="preserve"> </w:t>
      </w:r>
      <w:r w:rsidRPr="00B21743">
        <w:rPr>
          <w:rFonts w:cs="David" w:hint="cs"/>
          <w:sz w:val="24"/>
          <w:szCs w:val="24"/>
          <w:rtl/>
        </w:rPr>
        <w:t>כאשר הקשר הדברים מצביע על כוונה שונה מזו העולה מן המילים כפשוט</w:t>
      </w:r>
      <w:r w:rsidRPr="006C0307">
        <w:rPr>
          <w:rFonts w:cs="David" w:hint="cs"/>
          <w:sz w:val="28"/>
          <w:szCs w:val="28"/>
          <w:rtl/>
        </w:rPr>
        <w:t>ן</w:t>
      </w:r>
      <w:r>
        <w:rPr>
          <w:rFonts w:cs="David" w:hint="cs"/>
          <w:b/>
          <w:bCs/>
          <w:sz w:val="28"/>
          <w:szCs w:val="28"/>
          <w:rtl/>
        </w:rPr>
        <w:t xml:space="preserve">. ה"השתחררות מעול הפרוש המילולי עולה בקנה אחד עם עקרון תום הלב" </w:t>
      </w:r>
      <w:r w:rsidRPr="006C0307">
        <w:rPr>
          <w:rFonts w:cs="David" w:hint="cs"/>
          <w:b/>
          <w:bCs/>
          <w:rtl/>
        </w:rPr>
        <w:t>(</w:t>
      </w:r>
      <w:hyperlink r:id="rId15" w:history="1">
        <w:r w:rsidRPr="006C0307">
          <w:rPr>
            <w:rFonts w:cs="David"/>
            <w:color w:val="0000FF"/>
            <w:u w:val="single"/>
            <w:rtl/>
          </w:rPr>
          <w:t>ע"א 1395/91 וינוגרד נ' ידיד וערעור שכנגד, פ"ד מז</w:t>
        </w:r>
      </w:hyperlink>
      <w:r w:rsidRPr="006C0307">
        <w:rPr>
          <w:rFonts w:cs="David" w:hint="cs"/>
          <w:rtl/>
        </w:rPr>
        <w:t>(3) 793, בעמ' 800</w:t>
      </w:r>
      <w:r>
        <w:rPr>
          <w:rFonts w:cs="David" w:hint="cs"/>
          <w:sz w:val="28"/>
          <w:szCs w:val="28"/>
          <w:rtl/>
        </w:rPr>
        <w:t xml:space="preserve">). </w:t>
      </w:r>
      <w:r>
        <w:rPr>
          <w:rFonts w:cs="David" w:hint="cs"/>
          <w:b/>
          <w:bCs/>
          <w:sz w:val="28"/>
          <w:szCs w:val="28"/>
          <w:rtl/>
        </w:rPr>
        <w:t xml:space="preserve">דומה שפסיקתם של בתי המשפט בשנים האחרונות מצביעה יותר ויותר על אותה מגמה, להתיר את מוסרותיהן של המילים הכתובות ולהגיע לחקר הכוונה האמיתית, שהיתה לנגד עיניהם של המתקשרים </w:t>
      </w:r>
      <w:r w:rsidRPr="00B21743">
        <w:rPr>
          <w:rFonts w:cs="David" w:hint="cs"/>
          <w:rtl/>
        </w:rPr>
        <w:t>(</w:t>
      </w:r>
      <w:hyperlink r:id="rId16" w:history="1">
        <w:r w:rsidRPr="006C0307">
          <w:rPr>
            <w:rFonts w:cs="David"/>
            <w:color w:val="0000FF"/>
            <w:u w:val="single"/>
            <w:rtl/>
          </w:rPr>
          <w:t>ע"א 453/80</w:t>
        </w:r>
      </w:hyperlink>
      <w:r w:rsidRPr="006C0307">
        <w:rPr>
          <w:rFonts w:cs="David" w:hint="cs"/>
          <w:b/>
          <w:bCs/>
          <w:rtl/>
        </w:rPr>
        <w:t xml:space="preserve"> </w:t>
      </w:r>
      <w:r w:rsidRPr="006C0307">
        <w:rPr>
          <w:rFonts w:cs="David" w:hint="cs"/>
          <w:rtl/>
        </w:rPr>
        <w:t>הנ"ל, שם</w:t>
      </w:r>
      <w:r w:rsidRPr="006C0307">
        <w:rPr>
          <w:rFonts w:cs="David" w:hint="cs"/>
          <w:b/>
          <w:bCs/>
          <w:rtl/>
        </w:rPr>
        <w:t>).</w:t>
      </w:r>
      <w:r w:rsidR="00B21743">
        <w:rPr>
          <w:rFonts w:cs="David" w:hint="cs"/>
          <w:b/>
          <w:bCs/>
          <w:sz w:val="28"/>
          <w:szCs w:val="28"/>
          <w:rtl/>
        </w:rPr>
        <w:t>"</w:t>
      </w:r>
    </w:p>
    <w:p w:rsidR="00C44B37" w:rsidRDefault="00D14A8B" w:rsidP="0018565F">
      <w:pPr>
        <w:rPr>
          <w:rFonts w:ascii="Tahoma" w:hAnsi="Tahoma" w:cs="Tahoma"/>
          <w:b/>
          <w:bCs/>
          <w:color w:val="000000"/>
          <w:sz w:val="21"/>
          <w:szCs w:val="21"/>
          <w:shd w:val="clear" w:color="auto" w:fill="FFFFFF"/>
          <w:rtl/>
        </w:rPr>
      </w:pPr>
      <w:r w:rsidRPr="00B73BCF">
        <w:rPr>
          <w:rFonts w:ascii="Tahoma" w:hAnsi="Tahoma" w:cs="Tahoma"/>
          <w:color w:val="000000"/>
          <w:sz w:val="21"/>
          <w:szCs w:val="21"/>
          <w:shd w:val="clear" w:color="auto" w:fill="FFFFFF"/>
        </w:rPr>
        <w:br/>
        <w:t> </w:t>
      </w:r>
      <w:r w:rsidR="001726F3" w:rsidRPr="001726F3">
        <w:rPr>
          <w:rFonts w:ascii="Tahoma" w:hAnsi="Tahoma" w:cs="Tahoma" w:hint="cs"/>
          <w:b/>
          <w:bCs/>
          <w:color w:val="000000"/>
          <w:sz w:val="21"/>
          <w:szCs w:val="21"/>
          <w:u w:val="single"/>
          <w:shd w:val="clear" w:color="auto" w:fill="FFFFFF"/>
          <w:rtl/>
        </w:rPr>
        <w:t>כ</w:t>
      </w:r>
      <w:r w:rsidR="001726F3" w:rsidRPr="001726F3">
        <w:rPr>
          <w:rFonts w:ascii="Tahoma" w:hAnsi="Tahoma" w:cs="Tahoma"/>
          <w:b/>
          <w:bCs/>
          <w:color w:val="000000"/>
          <w:sz w:val="21"/>
          <w:szCs w:val="21"/>
          <w:u w:val="single"/>
          <w:shd w:val="clear" w:color="auto" w:fill="FFFFFF"/>
          <w:rtl/>
        </w:rPr>
        <w:t xml:space="preserve">לל </w:t>
      </w:r>
      <w:r w:rsidR="001726F3">
        <w:rPr>
          <w:rFonts w:ascii="Tahoma" w:hAnsi="Tahoma" w:cs="Tahoma" w:hint="cs"/>
          <w:b/>
          <w:bCs/>
          <w:color w:val="000000"/>
          <w:sz w:val="21"/>
          <w:szCs w:val="21"/>
          <w:u w:val="single"/>
          <w:shd w:val="clear" w:color="auto" w:fill="FFFFFF"/>
          <w:rtl/>
        </w:rPr>
        <w:t>2</w:t>
      </w:r>
      <w:r w:rsidR="001726F3" w:rsidRPr="001726F3">
        <w:rPr>
          <w:rFonts w:ascii="Tahoma" w:hAnsi="Tahoma" w:cs="Tahoma" w:hint="cs"/>
          <w:b/>
          <w:bCs/>
          <w:color w:val="000000"/>
          <w:sz w:val="21"/>
          <w:szCs w:val="21"/>
          <w:u w:val="single"/>
          <w:shd w:val="clear" w:color="auto" w:fill="FFFFFF"/>
          <w:rtl/>
        </w:rPr>
        <w:t xml:space="preserve">: </w:t>
      </w:r>
      <w:r w:rsidR="001726F3" w:rsidRPr="001726F3">
        <w:rPr>
          <w:rFonts w:ascii="Tahoma" w:hAnsi="Tahoma" w:cs="Tahoma"/>
          <w:b/>
          <w:bCs/>
          <w:color w:val="000000"/>
          <w:sz w:val="21"/>
          <w:szCs w:val="21"/>
          <w:u w:val="single"/>
          <w:shd w:val="clear" w:color="auto" w:fill="FFFFFF"/>
          <w:rtl/>
        </w:rPr>
        <w:t>פרשנות כנגד המנסח</w:t>
      </w:r>
      <w:r w:rsidR="001726F3" w:rsidRPr="001726F3">
        <w:rPr>
          <w:rFonts w:ascii="Tahoma" w:hAnsi="Tahoma" w:cs="Tahoma"/>
          <w:b/>
          <w:bCs/>
          <w:color w:val="000000"/>
          <w:sz w:val="21"/>
          <w:szCs w:val="21"/>
          <w:shd w:val="clear" w:color="auto" w:fill="FFFFFF"/>
          <w:rtl/>
        </w:rPr>
        <w:t xml:space="preserve"> </w:t>
      </w:r>
    </w:p>
    <w:p w:rsidR="009A0EBA" w:rsidRPr="00C44B37" w:rsidRDefault="009A0EBA" w:rsidP="00C44B37">
      <w:pPr>
        <w:spacing w:after="0" w:line="240" w:lineRule="auto"/>
        <w:jc w:val="center"/>
        <w:rPr>
          <w:rFonts w:ascii="Tahoma" w:eastAsia="Times New Roman" w:hAnsi="Tahoma" w:cs="Tahoma"/>
          <w:b/>
          <w:bCs/>
          <w:color w:val="000000"/>
          <w:sz w:val="21"/>
          <w:szCs w:val="21"/>
          <w:rtl/>
        </w:rPr>
      </w:pPr>
      <w:r>
        <w:rPr>
          <w:rFonts w:hint="cs"/>
          <w:b/>
          <w:bCs/>
          <w:sz w:val="28"/>
          <w:szCs w:val="28"/>
          <w:rtl/>
        </w:rPr>
        <w:t>מתוך</w:t>
      </w:r>
      <w:r w:rsidR="00C44B37">
        <w:rPr>
          <w:rFonts w:hint="cs"/>
          <w:b/>
          <w:bCs/>
          <w:sz w:val="28"/>
          <w:szCs w:val="28"/>
          <w:rtl/>
        </w:rPr>
        <w:t xml:space="preserve"> פס"ד</w:t>
      </w:r>
      <w:r>
        <w:rPr>
          <w:rFonts w:hint="cs"/>
          <w:b/>
          <w:bCs/>
          <w:sz w:val="28"/>
          <w:szCs w:val="28"/>
          <w:rtl/>
        </w:rPr>
        <w:t>:</w:t>
      </w:r>
      <w:r w:rsidR="00C44B37">
        <w:rPr>
          <w:rFonts w:ascii="Tahoma" w:eastAsia="Times New Roman" w:hAnsi="Tahoma" w:cs="Tahoma" w:hint="cs"/>
          <w:b/>
          <w:bCs/>
          <w:color w:val="000000"/>
          <w:sz w:val="21"/>
          <w:szCs w:val="21"/>
          <w:rtl/>
        </w:rPr>
        <w:t xml:space="preserve"> </w:t>
      </w:r>
      <w:r w:rsidR="00C44B37" w:rsidRPr="00C44B37">
        <w:rPr>
          <w:rFonts w:ascii="Tahoma" w:eastAsia="Times New Roman" w:hAnsi="Tahoma" w:cs="Tahoma" w:hint="cs"/>
          <w:b/>
          <w:bCs/>
          <w:color w:val="000000"/>
          <w:sz w:val="21"/>
          <w:szCs w:val="21"/>
          <w:rtl/>
        </w:rPr>
        <w:t xml:space="preserve"> </w:t>
      </w:r>
      <w:r w:rsidR="00C44B37" w:rsidRPr="00D14A8B">
        <w:rPr>
          <w:rFonts w:ascii="Tahoma" w:eastAsia="Times New Roman" w:hAnsi="Tahoma" w:cs="Tahoma" w:hint="cs"/>
          <w:b/>
          <w:bCs/>
          <w:color w:val="000000"/>
          <w:sz w:val="21"/>
          <w:szCs w:val="21"/>
          <w:rtl/>
        </w:rPr>
        <w:t xml:space="preserve">ע"א </w:t>
      </w:r>
      <w:r w:rsidR="00C44B37" w:rsidRPr="00C44B37">
        <w:rPr>
          <w:rFonts w:ascii="Tahoma" w:eastAsia="Times New Roman" w:hAnsi="Tahoma" w:cs="Tahoma" w:hint="cs"/>
          <w:b/>
          <w:bCs/>
          <w:color w:val="000000"/>
          <w:sz w:val="21"/>
          <w:szCs w:val="21"/>
          <w:rtl/>
        </w:rPr>
        <w:t>9609/01</w:t>
      </w:r>
    </w:p>
    <w:p w:rsidR="009A0EBA" w:rsidRPr="00C44B37" w:rsidRDefault="009A0EBA" w:rsidP="00C44B37">
      <w:pPr>
        <w:spacing w:after="0" w:line="240" w:lineRule="auto"/>
        <w:jc w:val="center"/>
        <w:rPr>
          <w:rFonts w:ascii="Tahoma" w:eastAsia="Times New Roman" w:hAnsi="Tahoma" w:cs="Tahoma"/>
          <w:b/>
          <w:bCs/>
          <w:color w:val="000000"/>
          <w:sz w:val="21"/>
          <w:szCs w:val="21"/>
          <w:rtl/>
        </w:rPr>
      </w:pPr>
      <w:r w:rsidRPr="00C44B37">
        <w:rPr>
          <w:rFonts w:ascii="Tahoma" w:eastAsia="Times New Roman" w:hAnsi="Tahoma" w:cs="Tahoma"/>
          <w:b/>
          <w:bCs/>
          <w:color w:val="000000"/>
          <w:sz w:val="21"/>
          <w:szCs w:val="21"/>
          <w:rtl/>
        </w:rPr>
        <w:t>בית המשפט העליון בשבתו כבית משפט לערעורים אזרחיים</w:t>
      </w:r>
    </w:p>
    <w:p w:rsidR="009A0EBA" w:rsidRPr="00C44B37" w:rsidRDefault="009A0EBA" w:rsidP="009A0EBA">
      <w:pPr>
        <w:spacing w:after="0" w:line="240" w:lineRule="auto"/>
        <w:jc w:val="center"/>
        <w:rPr>
          <w:rFonts w:ascii="Tahoma" w:eastAsia="Times New Roman" w:hAnsi="Tahoma" w:cs="Tahoma"/>
          <w:b/>
          <w:bCs/>
          <w:color w:val="000000"/>
          <w:sz w:val="21"/>
          <w:szCs w:val="21"/>
          <w:rtl/>
        </w:rPr>
      </w:pPr>
      <w:r w:rsidRPr="00C44B37">
        <w:rPr>
          <w:rFonts w:ascii="Tahoma" w:eastAsia="Times New Roman" w:hAnsi="Tahoma" w:cs="Tahoma" w:hint="cs"/>
          <w:b/>
          <w:bCs/>
          <w:color w:val="000000"/>
          <w:sz w:val="21"/>
          <w:szCs w:val="21"/>
          <w:rtl/>
        </w:rPr>
        <w:t xml:space="preserve">בפני </w:t>
      </w:r>
      <w:r w:rsidRPr="003A4A74">
        <w:rPr>
          <w:rFonts w:ascii="Tahoma" w:eastAsia="Times New Roman" w:hAnsi="Tahoma" w:cs="Tahoma"/>
          <w:b/>
          <w:bCs/>
          <w:color w:val="000000"/>
          <w:sz w:val="21"/>
          <w:szCs w:val="21"/>
          <w:rtl/>
        </w:rPr>
        <w:t>כבוד השופט</w:t>
      </w:r>
      <w:r w:rsidRPr="00C44B37">
        <w:rPr>
          <w:rFonts w:ascii="Tahoma" w:eastAsia="Times New Roman" w:hAnsi="Tahoma" w:cs="Tahoma" w:hint="cs"/>
          <w:b/>
          <w:bCs/>
          <w:color w:val="000000"/>
          <w:sz w:val="21"/>
          <w:szCs w:val="21"/>
          <w:rtl/>
        </w:rPr>
        <w:t>ים: א.' ברק, א. ריבלין, ס. ג'ובראן</w:t>
      </w:r>
      <w:r w:rsidR="00C44B37" w:rsidRPr="00C44B37">
        <w:rPr>
          <w:rFonts w:ascii="Tahoma" w:eastAsia="Times New Roman" w:hAnsi="Tahoma" w:cs="Tahoma" w:hint="cs"/>
          <w:b/>
          <w:bCs/>
          <w:color w:val="000000"/>
          <w:sz w:val="21"/>
          <w:szCs w:val="21"/>
          <w:rtl/>
        </w:rPr>
        <w:t>,   28.3.2004</w:t>
      </w:r>
    </w:p>
    <w:p w:rsidR="00C44B37" w:rsidRDefault="00C44B37" w:rsidP="009A0EBA">
      <w:pPr>
        <w:spacing w:after="0" w:line="240" w:lineRule="auto"/>
        <w:jc w:val="center"/>
        <w:rPr>
          <w:rFonts w:ascii="Tahoma" w:eastAsia="Times New Roman" w:hAnsi="Tahoma" w:cs="Tahoma"/>
          <w:color w:val="000000"/>
          <w:sz w:val="21"/>
          <w:szCs w:val="21"/>
          <w:rtl/>
        </w:rPr>
      </w:pPr>
    </w:p>
    <w:p w:rsidR="009A0EBA" w:rsidRDefault="009A0EBA" w:rsidP="009A0EBA">
      <w:pPr>
        <w:spacing w:after="0" w:line="240" w:lineRule="auto"/>
        <w:jc w:val="center"/>
        <w:rPr>
          <w:rFonts w:ascii="Tahoma" w:eastAsia="Times New Roman" w:hAnsi="Tahoma" w:cs="Tahoma"/>
          <w:color w:val="000000"/>
          <w:sz w:val="21"/>
          <w:szCs w:val="21"/>
          <w:rtl/>
        </w:rPr>
      </w:pPr>
      <w:r w:rsidRPr="009A0EBA">
        <w:rPr>
          <w:rFonts w:ascii="Tahoma" w:eastAsia="Times New Roman" w:hAnsi="Tahoma" w:cs="Tahoma"/>
          <w:color w:val="000000"/>
          <w:sz w:val="21"/>
          <w:szCs w:val="21"/>
        </w:rPr>
        <w:t>http://psakim.com/verdicts/no-cat/%D7%A2%D7%90-960901-%D7%A0%D7%92%D7%93-%D7%91%D7%91%D7%99%D7%AA-%D7%94%D7%9E%D7%A9%D7%A4%D7%98-%D7%94%D7%A2%D7%9C%D7%99%D7%95%D7%9F-%D7%91%D7%A9%D7%91%D7%AA%D7%95-%D7%9B%D7%91%D7%99%D7%AA-%D7%9E</w:t>
      </w:r>
      <w:r w:rsidRPr="009A0EBA">
        <w:rPr>
          <w:rFonts w:ascii="Tahoma" w:eastAsia="Times New Roman" w:hAnsi="Tahoma" w:cs="Tahoma"/>
          <w:color w:val="000000"/>
          <w:sz w:val="21"/>
          <w:szCs w:val="21"/>
          <w:rtl/>
        </w:rPr>
        <w:t>/</w:t>
      </w:r>
    </w:p>
    <w:p w:rsidR="009A0EBA" w:rsidRDefault="009A0EBA" w:rsidP="009A0EBA">
      <w:pPr>
        <w:spacing w:after="0" w:line="240" w:lineRule="auto"/>
        <w:jc w:val="center"/>
        <w:rPr>
          <w:rFonts w:ascii="Tahoma" w:eastAsia="Times New Roman" w:hAnsi="Tahoma" w:cs="Tahoma"/>
          <w:color w:val="000000"/>
          <w:sz w:val="21"/>
          <w:szCs w:val="21"/>
        </w:rPr>
      </w:pPr>
    </w:p>
    <w:p w:rsidR="006B6438" w:rsidRPr="006B6438" w:rsidRDefault="0058550C" w:rsidP="006B6438">
      <w:r>
        <w:rPr>
          <w:rFonts w:hint="cs"/>
          <w:rtl/>
        </w:rPr>
        <w:t>"</w:t>
      </w:r>
      <w:r w:rsidR="006B6438" w:rsidRPr="006B6438">
        <w:rPr>
          <w:rtl/>
        </w:rPr>
        <w:t>כידוע, כלל הוא בפרשנות הסכמים, כי במקרים שבהם "כפות המאזניים מעוינות</w:t>
      </w:r>
      <w:r w:rsidR="006B6438" w:rsidRPr="006B6438">
        <w:rPr>
          <w:b/>
          <w:bCs/>
          <w:sz w:val="24"/>
          <w:szCs w:val="24"/>
          <w:rtl/>
        </w:rPr>
        <w:t>", יש לפרש את ההסכם לרעת מנסחו</w:t>
      </w:r>
      <w:r w:rsidR="006B6438" w:rsidRPr="006B6438">
        <w:rPr>
          <w:rtl/>
        </w:rPr>
        <w:t xml:space="preserve"> (ראו ג' שלו, דיני חוזים, מהדורה שנייה, בעמ' 322-324). כלל זה קובע, כי כאשר ניצבות לפני הפרשן שתי משמעויות סבירות במידה שווה פחות או יותר, כי אז </w:t>
      </w:r>
      <w:r w:rsidR="006B6438" w:rsidRPr="006B6438">
        <w:rPr>
          <w:b/>
          <w:bCs/>
          <w:sz w:val="24"/>
          <w:szCs w:val="24"/>
          <w:rtl/>
        </w:rPr>
        <w:t>יש להעדיף את המשמעות הנוחה יותר לצד שלא ניסח את המסמך</w:t>
      </w:r>
      <w:r w:rsidR="006B6438" w:rsidRPr="006B6438">
        <w:rPr>
          <w:rtl/>
        </w:rPr>
        <w:t xml:space="preserve"> (ראו ע"א 631/83 "המגן" חברה </w:t>
      </w:r>
      <w:r w:rsidR="006B6438" w:rsidRPr="006B6438">
        <w:rPr>
          <w:rtl/>
        </w:rPr>
        <w:lastRenderedPageBreak/>
        <w:t>לבטוח בע"מ ואח' נ' "מדינת הילדים" בע"מ, פ"ד ל"ט (4) 561, בעמ' 572; ע"א 682/82 יוסף בן אריה נ' "סהר" חברה לביטוח בע"מ, פ"ד ל"ז (3) 589, בעמ' 602-603). כלל זה חל רק במקרה של ספק, כאשר לשון ההסכם שנוסח על-ידי צד אחד ניתנת לשני פירושים סבירים וכפות המאזניים מעוינות, ועל-כן הוא כלל פרשני משני</w:t>
      </w:r>
      <w:r w:rsidR="006B6438" w:rsidRPr="006B6438">
        <w:t>.</w:t>
      </w:r>
    </w:p>
    <w:p w:rsidR="006B6438" w:rsidRPr="006B6438" w:rsidRDefault="00B73BCF" w:rsidP="00B21743">
      <w:r>
        <w:rPr>
          <w:rFonts w:hint="cs"/>
          <w:rtl/>
        </w:rPr>
        <w:t>..</w:t>
      </w:r>
      <w:r w:rsidR="006B6438" w:rsidRPr="006B6438">
        <w:rPr>
          <w:rtl/>
        </w:rPr>
        <w:t>. על ההיגיון שבבסיס הכלל עמד כב' הנשיא מ' שמגר (כתוארו אז) ברע"א 3577/93 הפניקס הישראלי חברה לביטוח בע"מ נ' מוריאנו, פ"ד מ"ח 70, בעמ' 77-78</w:t>
      </w:r>
      <w:r w:rsidR="006B6438" w:rsidRPr="006B6438">
        <w:t>:"</w:t>
      </w:r>
      <w:r w:rsidR="006B6438" w:rsidRPr="006B6438">
        <w:rPr>
          <w:rtl/>
        </w:rPr>
        <w:t xml:space="preserve">הגיונו של הכלל טמון בשליטת המנסח על תוכן הטקסט. ההנחה היא כי הנסח טרח להבטיח זכויותיו בעת ניסוח המסמך, בייחוד כאשר מדובר על בעל דין, אשר לו כוח והשפעה </w:t>
      </w:r>
      <w:r>
        <w:rPr>
          <w:rFonts w:hint="cs"/>
          <w:rtl/>
        </w:rPr>
        <w:t>....</w:t>
      </w:r>
      <w:r w:rsidR="006B6438" w:rsidRPr="006B6438">
        <w:rPr>
          <w:rtl/>
        </w:rPr>
        <w:t xml:space="preserve">מול האזרח, היחיד, הנזקק לשירותי הביטוח. </w:t>
      </w:r>
      <w:r w:rsidR="006B6438" w:rsidRPr="00B73BCF">
        <w:rPr>
          <w:sz w:val="24"/>
          <w:szCs w:val="24"/>
          <w:rtl/>
        </w:rPr>
        <w:t>אם הנוסח הוא דו-משמעי או רב-משמעי</w:t>
      </w:r>
      <w:r w:rsidR="006B6438" w:rsidRPr="006B6438">
        <w:rPr>
          <w:b/>
          <w:bCs/>
          <w:sz w:val="24"/>
          <w:szCs w:val="24"/>
          <w:rtl/>
        </w:rPr>
        <w:t>, ניתנת עדיפות פרשנית נגד הנסח</w:t>
      </w:r>
      <w:r w:rsidR="006B6438" w:rsidRPr="006B6438">
        <w:rPr>
          <w:rtl/>
        </w:rPr>
        <w:t>, שהרי אם הוא – שדאג לענייניו</w:t>
      </w:r>
      <w:r>
        <w:rPr>
          <w:rFonts w:hint="cs"/>
          <w:rtl/>
        </w:rPr>
        <w:t>-</w:t>
      </w:r>
      <w:r w:rsidR="006B6438" w:rsidRPr="006B6438">
        <w:rPr>
          <w:rtl/>
        </w:rPr>
        <w:t xml:space="preserve"> יצר נוסח בעל משמעויות שונות, אין הוא יכול לבחור לעצמו דווקא את החלופה הנוחה לו ביותר; היפוכו של דבר: </w:t>
      </w:r>
      <w:r w:rsidR="0058550C">
        <w:rPr>
          <w:rFonts w:hint="cs"/>
          <w:rtl/>
        </w:rPr>
        <w:t>.......</w:t>
      </w:r>
      <w:r w:rsidR="006B6438" w:rsidRPr="006B6438">
        <w:rPr>
          <w:rtl/>
        </w:rPr>
        <w:t xml:space="preserve"> </w:t>
      </w:r>
      <w:r w:rsidR="006B6438" w:rsidRPr="00F74BDC">
        <w:rPr>
          <w:b/>
          <w:bCs/>
          <w:rtl/>
        </w:rPr>
        <w:t>הצד השני שלא היתה לו גישה למלאכת הניסוח, זכאי ליהנות מאותה חלופה אפשרית,</w:t>
      </w:r>
      <w:r w:rsidR="006B6438" w:rsidRPr="006B6438">
        <w:rPr>
          <w:rtl/>
        </w:rPr>
        <w:t xml:space="preserve"> </w:t>
      </w:r>
      <w:r w:rsidR="0058550C">
        <w:rPr>
          <w:rFonts w:hint="cs"/>
          <w:rtl/>
        </w:rPr>
        <w:t>.....</w:t>
      </w:r>
      <w:r w:rsidR="006B6438" w:rsidRPr="006B6438">
        <w:rPr>
          <w:rtl/>
        </w:rPr>
        <w:t xml:space="preserve">, </w:t>
      </w:r>
      <w:r w:rsidR="006B6438" w:rsidRPr="00F74BDC">
        <w:rPr>
          <w:b/>
          <w:bCs/>
          <w:rtl/>
        </w:rPr>
        <w:t>שהיא מבחינתו של הצד השני הנוחה ביותר לו</w:t>
      </w:r>
      <w:r w:rsidR="006B6438" w:rsidRPr="00F74BDC">
        <w:rPr>
          <w:b/>
          <w:bCs/>
        </w:rPr>
        <w:t>.</w:t>
      </w:r>
    </w:p>
    <w:p w:rsidR="006B6438" w:rsidRPr="006B6438" w:rsidRDefault="006B6438" w:rsidP="0058550C">
      <w:r w:rsidRPr="006B6438">
        <w:rPr>
          <w:rtl/>
        </w:rPr>
        <w:t xml:space="preserve">כלל הפרשנות בא כאיזון מול השליטה בניסוח. הכלל מגן על אינטרס </w:t>
      </w:r>
      <w:r w:rsidR="0058550C">
        <w:rPr>
          <w:rtl/>
        </w:rPr>
        <w:t xml:space="preserve">ההסתמכות של הצד השני </w:t>
      </w:r>
      <w:r w:rsidR="0058550C">
        <w:rPr>
          <w:rFonts w:hint="cs"/>
          <w:rtl/>
        </w:rPr>
        <w:t xml:space="preserve">.... </w:t>
      </w:r>
      <w:r w:rsidRPr="006B6438">
        <w:rPr>
          <w:rtl/>
        </w:rPr>
        <w:t>אשר זכאי היה להניח כי ניסוח החוזה יתפרש פירוש סביר אשר עליו סמך</w:t>
      </w:r>
      <w:r w:rsidRPr="006B6438">
        <w:t>."</w:t>
      </w:r>
    </w:p>
    <w:p w:rsidR="006B6438" w:rsidRDefault="006B6438" w:rsidP="0058550C">
      <w:pPr>
        <w:rPr>
          <w:rtl/>
        </w:rPr>
      </w:pPr>
      <w:r w:rsidRPr="006B6438">
        <w:rPr>
          <w:rtl/>
        </w:rPr>
        <w:t>כב' הנשיא מ' שמגר (כתוארו אז) הדגיש את יחסי הכוחות הבלתי שוויוניים, העומדים בחוזים מהסוג של פוליסות ביטוח, שבהם יש לכלל הפרשנות</w:t>
      </w:r>
      <w:r w:rsidR="0058550C">
        <w:rPr>
          <w:rFonts w:hint="cs"/>
          <w:rtl/>
        </w:rPr>
        <w:t xml:space="preserve"> </w:t>
      </w:r>
      <w:r w:rsidRPr="006B6438">
        <w:rPr>
          <w:rtl/>
        </w:rPr>
        <w:t xml:space="preserve">לרעת המנסח משנה תוקף. יחד עם זאת, לכלל הנ"ל יש תחולה גם בחוזים "רגילים" בין צדדים לחוזה (ראו א' ברק פרשנות במשפט – פרשנות החוזה (ירושלים, 2001) בעמ' 636). </w:t>
      </w:r>
      <w:r w:rsidR="0058550C">
        <w:rPr>
          <w:rFonts w:hint="cs"/>
          <w:rtl/>
        </w:rPr>
        <w:t xml:space="preserve"> </w:t>
      </w:r>
    </w:p>
    <w:p w:rsidR="001726F3" w:rsidRDefault="001726F3" w:rsidP="0058550C">
      <w:pPr>
        <w:rPr>
          <w:rtl/>
        </w:rPr>
      </w:pPr>
    </w:p>
    <w:p w:rsidR="005A6C8E" w:rsidRDefault="00F74BDC" w:rsidP="001726F3">
      <w:pPr>
        <w:rPr>
          <w:rtl/>
        </w:rPr>
      </w:pPr>
      <w:r>
        <w:rPr>
          <w:rFonts w:hint="cs"/>
          <w:rtl/>
        </w:rPr>
        <w:t xml:space="preserve"> </w:t>
      </w:r>
    </w:p>
    <w:p w:rsidR="00F74BDC" w:rsidRPr="006B6438" w:rsidRDefault="00F74BDC"/>
    <w:sectPr w:rsidR="00F74BDC" w:rsidRPr="006B6438" w:rsidSect="00680BC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518" w:rsidRDefault="00A30518" w:rsidP="0018565F">
      <w:pPr>
        <w:spacing w:after="0" w:line="240" w:lineRule="auto"/>
      </w:pPr>
      <w:r>
        <w:separator/>
      </w:r>
    </w:p>
  </w:endnote>
  <w:endnote w:type="continuationSeparator" w:id="0">
    <w:p w:rsidR="00A30518" w:rsidRDefault="00A30518" w:rsidP="00185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518" w:rsidRDefault="00A30518" w:rsidP="0018565F">
      <w:pPr>
        <w:spacing w:after="0" w:line="240" w:lineRule="auto"/>
      </w:pPr>
      <w:r>
        <w:separator/>
      </w:r>
    </w:p>
  </w:footnote>
  <w:footnote w:type="continuationSeparator" w:id="0">
    <w:p w:rsidR="00A30518" w:rsidRDefault="00A30518" w:rsidP="001856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FF207E"/>
    <w:multiLevelType w:val="hybridMultilevel"/>
    <w:tmpl w:val="5F2A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438"/>
    <w:rsid w:val="00016FA4"/>
    <w:rsid w:val="00140519"/>
    <w:rsid w:val="00154703"/>
    <w:rsid w:val="001726F3"/>
    <w:rsid w:val="0018565F"/>
    <w:rsid w:val="00190CE9"/>
    <w:rsid w:val="00235E51"/>
    <w:rsid w:val="00247526"/>
    <w:rsid w:val="00306729"/>
    <w:rsid w:val="003A4A74"/>
    <w:rsid w:val="003A5269"/>
    <w:rsid w:val="00554E18"/>
    <w:rsid w:val="0058550C"/>
    <w:rsid w:val="005A6C8E"/>
    <w:rsid w:val="005D335D"/>
    <w:rsid w:val="005D707B"/>
    <w:rsid w:val="00675E4C"/>
    <w:rsid w:val="00680BCE"/>
    <w:rsid w:val="006B1391"/>
    <w:rsid w:val="006B6438"/>
    <w:rsid w:val="006C0307"/>
    <w:rsid w:val="006C7319"/>
    <w:rsid w:val="007D49E2"/>
    <w:rsid w:val="008810C8"/>
    <w:rsid w:val="008D6379"/>
    <w:rsid w:val="009477E3"/>
    <w:rsid w:val="009A0EBA"/>
    <w:rsid w:val="00A30518"/>
    <w:rsid w:val="00A824A8"/>
    <w:rsid w:val="00AB05F3"/>
    <w:rsid w:val="00B21743"/>
    <w:rsid w:val="00B73BCF"/>
    <w:rsid w:val="00B95E85"/>
    <w:rsid w:val="00C44B37"/>
    <w:rsid w:val="00C5535B"/>
    <w:rsid w:val="00CA2FCB"/>
    <w:rsid w:val="00D006BC"/>
    <w:rsid w:val="00D14A8B"/>
    <w:rsid w:val="00D32A86"/>
    <w:rsid w:val="00DA2991"/>
    <w:rsid w:val="00DE47F8"/>
    <w:rsid w:val="00E3392E"/>
    <w:rsid w:val="00F74BDC"/>
    <w:rsid w:val="00FE3E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79F315-28A1-4A04-A948-5D180180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3BCF"/>
    <w:pPr>
      <w:ind w:left="720"/>
      <w:contextualSpacing/>
    </w:pPr>
  </w:style>
  <w:style w:type="paragraph" w:customStyle="1" w:styleId="p00">
    <w:name w:val="p00"/>
    <w:basedOn w:val="a"/>
    <w:rsid w:val="0030672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number">
    <w:name w:val="big-number"/>
    <w:basedOn w:val="a0"/>
    <w:rsid w:val="00306729"/>
  </w:style>
  <w:style w:type="character" w:customStyle="1" w:styleId="apple-converted-space">
    <w:name w:val="apple-converted-space"/>
    <w:basedOn w:val="a0"/>
    <w:rsid w:val="00306729"/>
  </w:style>
  <w:style w:type="character" w:customStyle="1" w:styleId="default">
    <w:name w:val="default"/>
    <w:basedOn w:val="a0"/>
    <w:rsid w:val="00306729"/>
  </w:style>
  <w:style w:type="paragraph" w:styleId="a4">
    <w:name w:val="header"/>
    <w:basedOn w:val="a"/>
    <w:link w:val="a5"/>
    <w:uiPriority w:val="99"/>
    <w:unhideWhenUsed/>
    <w:rsid w:val="00C44B37"/>
    <w:pPr>
      <w:tabs>
        <w:tab w:val="center" w:pos="4153"/>
        <w:tab w:val="right" w:pos="8306"/>
      </w:tabs>
      <w:spacing w:after="0" w:line="240" w:lineRule="auto"/>
    </w:pPr>
  </w:style>
  <w:style w:type="character" w:customStyle="1" w:styleId="a5">
    <w:name w:val="כותרת עליונה תו"/>
    <w:basedOn w:val="a0"/>
    <w:link w:val="a4"/>
    <w:uiPriority w:val="99"/>
    <w:rsid w:val="00C44B37"/>
  </w:style>
  <w:style w:type="paragraph" w:styleId="a6">
    <w:name w:val="footer"/>
    <w:basedOn w:val="a"/>
    <w:link w:val="a7"/>
    <w:uiPriority w:val="99"/>
    <w:unhideWhenUsed/>
    <w:rsid w:val="00C44B37"/>
    <w:pPr>
      <w:tabs>
        <w:tab w:val="center" w:pos="4153"/>
        <w:tab w:val="right" w:pos="8306"/>
      </w:tabs>
      <w:spacing w:after="0" w:line="240" w:lineRule="auto"/>
    </w:pPr>
  </w:style>
  <w:style w:type="character" w:customStyle="1" w:styleId="a7">
    <w:name w:val="כותרת תחתונה תו"/>
    <w:basedOn w:val="a0"/>
    <w:link w:val="a6"/>
    <w:uiPriority w:val="99"/>
    <w:rsid w:val="00C44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502893">
      <w:bodyDiv w:val="1"/>
      <w:marLeft w:val="0"/>
      <w:marRight w:val="0"/>
      <w:marTop w:val="0"/>
      <w:marBottom w:val="0"/>
      <w:divBdr>
        <w:top w:val="none" w:sz="0" w:space="0" w:color="auto"/>
        <w:left w:val="none" w:sz="0" w:space="0" w:color="auto"/>
        <w:bottom w:val="none" w:sz="0" w:space="0" w:color="auto"/>
        <w:right w:val="none" w:sz="0" w:space="0" w:color="auto"/>
      </w:divBdr>
      <w:divsChild>
        <w:div w:id="185291430">
          <w:marLeft w:val="0"/>
          <w:marRight w:val="0"/>
          <w:marTop w:val="0"/>
          <w:marBottom w:val="0"/>
          <w:divBdr>
            <w:top w:val="none" w:sz="0" w:space="0" w:color="auto"/>
            <w:left w:val="none" w:sz="0" w:space="0" w:color="auto"/>
            <w:bottom w:val="none" w:sz="0" w:space="0" w:color="auto"/>
            <w:right w:val="none" w:sz="0" w:space="0" w:color="auto"/>
          </w:divBdr>
          <w:divsChild>
            <w:div w:id="882404126">
              <w:marLeft w:val="0"/>
              <w:marRight w:val="0"/>
              <w:marTop w:val="0"/>
              <w:marBottom w:val="0"/>
              <w:divBdr>
                <w:top w:val="none" w:sz="0" w:space="0" w:color="auto"/>
                <w:left w:val="none" w:sz="0" w:space="0" w:color="auto"/>
                <w:bottom w:val="none" w:sz="0" w:space="0" w:color="auto"/>
                <w:right w:val="none" w:sz="0" w:space="0" w:color="auto"/>
              </w:divBdr>
              <w:divsChild>
                <w:div w:id="182285288">
                  <w:marLeft w:val="0"/>
                  <w:marRight w:val="0"/>
                  <w:marTop w:val="0"/>
                  <w:marBottom w:val="0"/>
                  <w:divBdr>
                    <w:top w:val="none" w:sz="0" w:space="0" w:color="auto"/>
                    <w:left w:val="none" w:sz="0" w:space="0" w:color="auto"/>
                    <w:bottom w:val="none" w:sz="0" w:space="0" w:color="auto"/>
                    <w:right w:val="none" w:sz="0" w:space="0" w:color="auto"/>
                  </w:divBdr>
                  <w:divsChild>
                    <w:div w:id="1401098104">
                      <w:marLeft w:val="0"/>
                      <w:marRight w:val="0"/>
                      <w:marTop w:val="0"/>
                      <w:marBottom w:val="0"/>
                      <w:divBdr>
                        <w:top w:val="none" w:sz="0" w:space="0" w:color="auto"/>
                        <w:left w:val="none" w:sz="0" w:space="0" w:color="auto"/>
                        <w:bottom w:val="none" w:sz="0" w:space="0" w:color="auto"/>
                        <w:right w:val="none" w:sz="0" w:space="0" w:color="auto"/>
                      </w:divBdr>
                      <w:divsChild>
                        <w:div w:id="6861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940694">
      <w:bodyDiv w:val="1"/>
      <w:marLeft w:val="0"/>
      <w:marRight w:val="0"/>
      <w:marTop w:val="0"/>
      <w:marBottom w:val="0"/>
      <w:divBdr>
        <w:top w:val="none" w:sz="0" w:space="0" w:color="auto"/>
        <w:left w:val="none" w:sz="0" w:space="0" w:color="auto"/>
        <w:bottom w:val="none" w:sz="0" w:space="0" w:color="auto"/>
        <w:right w:val="none" w:sz="0" w:space="0" w:color="auto"/>
      </w:divBdr>
      <w:divsChild>
        <w:div w:id="512720196">
          <w:marLeft w:val="0"/>
          <w:marRight w:val="0"/>
          <w:marTop w:val="0"/>
          <w:marBottom w:val="0"/>
          <w:divBdr>
            <w:top w:val="none" w:sz="0" w:space="0" w:color="auto"/>
            <w:left w:val="none" w:sz="0" w:space="0" w:color="auto"/>
            <w:bottom w:val="none" w:sz="0" w:space="0" w:color="auto"/>
            <w:right w:val="none" w:sz="0" w:space="0" w:color="auto"/>
          </w:divBdr>
          <w:divsChild>
            <w:div w:id="553542370">
              <w:marLeft w:val="0"/>
              <w:marRight w:val="0"/>
              <w:marTop w:val="0"/>
              <w:marBottom w:val="0"/>
              <w:divBdr>
                <w:top w:val="none" w:sz="0" w:space="0" w:color="auto"/>
                <w:left w:val="none" w:sz="0" w:space="0" w:color="auto"/>
                <w:bottom w:val="none" w:sz="0" w:space="0" w:color="auto"/>
                <w:right w:val="none" w:sz="0" w:space="0" w:color="auto"/>
              </w:divBdr>
              <w:divsChild>
                <w:div w:id="1416591309">
                  <w:marLeft w:val="0"/>
                  <w:marRight w:val="0"/>
                  <w:marTop w:val="0"/>
                  <w:marBottom w:val="0"/>
                  <w:divBdr>
                    <w:top w:val="none" w:sz="0" w:space="0" w:color="auto"/>
                    <w:left w:val="none" w:sz="0" w:space="0" w:color="auto"/>
                    <w:bottom w:val="none" w:sz="0" w:space="0" w:color="auto"/>
                    <w:right w:val="none" w:sz="0" w:space="0" w:color="auto"/>
                  </w:divBdr>
                  <w:divsChild>
                    <w:div w:id="1769815517">
                      <w:marLeft w:val="0"/>
                      <w:marRight w:val="0"/>
                      <w:marTop w:val="0"/>
                      <w:marBottom w:val="0"/>
                      <w:divBdr>
                        <w:top w:val="none" w:sz="0" w:space="0" w:color="auto"/>
                        <w:left w:val="none" w:sz="0" w:space="0" w:color="auto"/>
                        <w:bottom w:val="none" w:sz="0" w:space="0" w:color="auto"/>
                        <w:right w:val="none" w:sz="0" w:space="0" w:color="auto"/>
                      </w:divBdr>
                      <w:divsChild>
                        <w:div w:id="9571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594280">
      <w:bodyDiv w:val="1"/>
      <w:marLeft w:val="0"/>
      <w:marRight w:val="0"/>
      <w:marTop w:val="0"/>
      <w:marBottom w:val="0"/>
      <w:divBdr>
        <w:top w:val="none" w:sz="0" w:space="0" w:color="auto"/>
        <w:left w:val="none" w:sz="0" w:space="0" w:color="auto"/>
        <w:bottom w:val="none" w:sz="0" w:space="0" w:color="auto"/>
        <w:right w:val="none" w:sz="0" w:space="0" w:color="auto"/>
      </w:divBdr>
      <w:divsChild>
        <w:div w:id="166942888">
          <w:marLeft w:val="0"/>
          <w:marRight w:val="0"/>
          <w:marTop w:val="0"/>
          <w:marBottom w:val="0"/>
          <w:divBdr>
            <w:top w:val="none" w:sz="0" w:space="0" w:color="auto"/>
            <w:left w:val="none" w:sz="0" w:space="0" w:color="auto"/>
            <w:bottom w:val="none" w:sz="0" w:space="0" w:color="auto"/>
            <w:right w:val="none" w:sz="0" w:space="0" w:color="auto"/>
          </w:divBdr>
          <w:divsChild>
            <w:div w:id="139200913">
              <w:marLeft w:val="0"/>
              <w:marRight w:val="0"/>
              <w:marTop w:val="0"/>
              <w:marBottom w:val="0"/>
              <w:divBdr>
                <w:top w:val="none" w:sz="0" w:space="0" w:color="auto"/>
                <w:left w:val="none" w:sz="0" w:space="0" w:color="auto"/>
                <w:bottom w:val="none" w:sz="0" w:space="0" w:color="auto"/>
                <w:right w:val="none" w:sz="0" w:space="0" w:color="auto"/>
              </w:divBdr>
              <w:divsChild>
                <w:div w:id="919215279">
                  <w:marLeft w:val="0"/>
                  <w:marRight w:val="0"/>
                  <w:marTop w:val="0"/>
                  <w:marBottom w:val="0"/>
                  <w:divBdr>
                    <w:top w:val="none" w:sz="0" w:space="0" w:color="auto"/>
                    <w:left w:val="none" w:sz="0" w:space="0" w:color="auto"/>
                    <w:bottom w:val="none" w:sz="0" w:space="0" w:color="auto"/>
                    <w:right w:val="none" w:sz="0" w:space="0" w:color="auto"/>
                  </w:divBdr>
                  <w:divsChild>
                    <w:div w:id="1046024551">
                      <w:marLeft w:val="0"/>
                      <w:marRight w:val="0"/>
                      <w:marTop w:val="0"/>
                      <w:marBottom w:val="0"/>
                      <w:divBdr>
                        <w:top w:val="none" w:sz="0" w:space="0" w:color="auto"/>
                        <w:left w:val="none" w:sz="0" w:space="0" w:color="auto"/>
                        <w:bottom w:val="none" w:sz="0" w:space="0" w:color="auto"/>
                        <w:right w:val="none" w:sz="0" w:space="0" w:color="auto"/>
                      </w:divBdr>
                      <w:divsChild>
                        <w:div w:id="1349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692380">
      <w:bodyDiv w:val="1"/>
      <w:marLeft w:val="0"/>
      <w:marRight w:val="0"/>
      <w:marTop w:val="0"/>
      <w:marBottom w:val="0"/>
      <w:divBdr>
        <w:top w:val="none" w:sz="0" w:space="0" w:color="auto"/>
        <w:left w:val="none" w:sz="0" w:space="0" w:color="auto"/>
        <w:bottom w:val="none" w:sz="0" w:space="0" w:color="auto"/>
        <w:right w:val="none" w:sz="0" w:space="0" w:color="auto"/>
      </w:divBdr>
    </w:div>
    <w:div w:id="205831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o.co.il/links/psika/?link=&#1506;&#1488;%20554/83&amp;Pvol=&#1502;&#1488;" TargetMode="External"/><Relationship Id="rId13" Type="http://schemas.openxmlformats.org/officeDocument/2006/relationships/hyperlink" Target="http://www.nevo.co.il/links/psika/?link=&#1506;&#1488;%20327/85&amp;Pvol=&#1502;&#148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evo.co.il/Psika_word/elyon/9502485.doc" TargetMode="External"/><Relationship Id="rId12" Type="http://schemas.openxmlformats.org/officeDocument/2006/relationships/hyperlink" Target="http://www.nevo.co.il/links/psika/?link=&#1506;&#1488;%20627/84&amp;Pvol=&#150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evo.co.il/links/psika/?link=&#1506;&#1488;%20453/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vo.co.il/links/psika/?link=&#1506;&#1488;%20453/80&amp;Pvol=&#1500;&#1492;" TargetMode="External"/><Relationship Id="rId5" Type="http://schemas.openxmlformats.org/officeDocument/2006/relationships/footnotes" Target="footnotes.xml"/><Relationship Id="rId15" Type="http://schemas.openxmlformats.org/officeDocument/2006/relationships/hyperlink" Target="http://www.nevo.co.il/links/psika/?link=&#1506;&#1488;%201395/91&amp;Pvol=&#1502;&#1494;" TargetMode="External"/><Relationship Id="rId10" Type="http://schemas.openxmlformats.org/officeDocument/2006/relationships/hyperlink" Target="http://www.nevo.co.il/links/psika/?link=&#1506;&#1488;%2046/74&amp;Pvol=&#1499;&#1496;" TargetMode="External"/><Relationship Id="rId4" Type="http://schemas.openxmlformats.org/officeDocument/2006/relationships/webSettings" Target="webSettings.xml"/><Relationship Id="rId9" Type="http://schemas.openxmlformats.org/officeDocument/2006/relationships/hyperlink" Target="http://www.nevo.co.il/links/psika/?link=&#1506;&#1488;%20324/63&amp;Pvol=&#1497;&#1495;" TargetMode="External"/><Relationship Id="rId14" Type="http://schemas.openxmlformats.org/officeDocument/2006/relationships/hyperlink" Target="http://www.nevo.co.il/links/psika/?link=&#1506;&#1488;%20631/83"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1134</Words>
  <Characters>5671</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2</cp:revision>
  <dcterms:created xsi:type="dcterms:W3CDTF">2019-07-16T10:29:00Z</dcterms:created>
  <dcterms:modified xsi:type="dcterms:W3CDTF">2019-07-16T10:29:00Z</dcterms:modified>
</cp:coreProperties>
</file>