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פרשת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תרומה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פירוט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בפרשה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הכרובים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אחיו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היריעות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אחותה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יוסף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ואחיו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בסיפור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בחטא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ויאמרו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הלזה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בחטא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ויאמרו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בהתחננו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אלינו</w:t>
      </w:r>
      <w:r w:rsidDel="00000000" w:rsidR="00000000" w:rsidRPr="00000000">
        <w:rPr>
          <w:rtl w:val="1"/>
        </w:rPr>
        <w:t xml:space="preserve">" "</w:t>
      </w:r>
      <w:r w:rsidDel="00000000" w:rsidR="00000000" w:rsidRPr="00000000">
        <w:rPr>
          <w:rtl w:val="1"/>
        </w:rPr>
        <w:t xml:space="preserve">ויאמר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באמתחתי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ויחרדו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בחטא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בפירוד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ובתיקון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ובעצם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רומזת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שהשראת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שמופיעה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ושכנתי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לאלוקים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תלויה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החיבור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חמש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אחותה</w:t>
      </w:r>
      <w:r w:rsidDel="00000000" w:rsidR="00000000" w:rsidRPr="00000000">
        <w:rPr>
          <w:rtl w:val="1"/>
        </w:rPr>
        <w:t xml:space="preserve">" 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ברעח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שמבריח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הקצה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וכמובן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שעשוים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וחשוב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וחיברתי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"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