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פעולת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חבב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משחק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פתיחה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-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פתיחה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לדיון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בשנתיים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ההספדים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עמיחי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מדהימה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שמספיקים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משחק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הפרלמנט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ומעכשיו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מתערבבים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ארבעה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למרכז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סיכום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ודואג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לננצל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דבר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תורה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וינסון</w:t>
      </w:r>
    </w:p>
    <w:p w:rsidR="00000000" w:rsidDel="00000000" w:rsidP="00000000" w:rsidRDefault="00000000" w:rsidRPr="00000000" w14:paraId="00000009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-234786</wp:posOffset>
            </wp:positionH>
            <wp:positionV relativeFrom="paragraph">
              <wp:posOffset>0</wp:posOffset>
            </wp:positionV>
            <wp:extent cx="6198863" cy="6495933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8863" cy="6495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-467661</wp:posOffset>
            </wp:positionH>
            <wp:positionV relativeFrom="paragraph">
              <wp:posOffset>0</wp:posOffset>
            </wp:positionV>
            <wp:extent cx="6198863" cy="649593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8863" cy="6495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