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D248" w14:textId="77777777" w:rsidR="009636E6" w:rsidRDefault="009636E6">
      <w:pPr>
        <w:bidi/>
        <w:spacing w:line="360" w:lineRule="auto"/>
        <w:rPr>
          <w:rFonts w:ascii="David" w:eastAsia="David" w:hAnsi="David" w:cs="David"/>
          <w:b/>
          <w:sz w:val="26"/>
          <w:szCs w:val="26"/>
          <w:rtl/>
        </w:rPr>
      </w:pPr>
      <w:r>
        <w:rPr>
          <w:rFonts w:ascii="David" w:eastAsia="David" w:hAnsi="David" w:cs="David" w:hint="cs"/>
          <w:b/>
          <w:sz w:val="26"/>
          <w:szCs w:val="26"/>
          <w:rtl/>
        </w:rPr>
        <w:t>ב"ה</w:t>
      </w:r>
    </w:p>
    <w:p w14:paraId="00000002" w14:textId="6DE2949A" w:rsidR="00F927D6" w:rsidRPr="00056075" w:rsidRDefault="00000000" w:rsidP="00056075">
      <w:pPr>
        <w:bidi/>
        <w:spacing w:line="360" w:lineRule="auto"/>
        <w:rPr>
          <w:rFonts w:ascii="David" w:eastAsia="David" w:hAnsi="David" w:cs="Gveret Levin AlefAlefAlef"/>
          <w:bCs/>
        </w:rPr>
      </w:pPr>
      <w:r w:rsidRPr="00056075">
        <w:rPr>
          <w:rFonts w:ascii="David" w:eastAsia="David" w:hAnsi="David" w:cs="Gveret Levin AlefAlefAlef"/>
          <w:bCs/>
          <w:rtl/>
        </w:rPr>
        <w:t xml:space="preserve">שאלה 24 </w:t>
      </w:r>
      <w:r w:rsidR="00056075" w:rsidRPr="00056075">
        <w:rPr>
          <w:rFonts w:ascii="David" w:eastAsia="David" w:hAnsi="David" w:cs="Gveret Levin AlefAlefAlef" w:hint="cs"/>
          <w:bCs/>
          <w:rtl/>
        </w:rPr>
        <w:t xml:space="preserve">: </w:t>
      </w:r>
      <w:r w:rsidRPr="00056075">
        <w:rPr>
          <w:rFonts w:ascii="David" w:eastAsia="David" w:hAnsi="David" w:cs="Gveret Levin AlefAlefAlef"/>
          <w:bCs/>
          <w:rtl/>
        </w:rPr>
        <w:t>הציגו את הגורמים אשר הגבילו את היכולת של היהודים להבין את משמעותו של הפתרון הסופי.</w:t>
      </w:r>
    </w:p>
    <w:p w14:paraId="00000003" w14:textId="77777777" w:rsidR="00F927D6" w:rsidRPr="00056075" w:rsidRDefault="00000000" w:rsidP="00056075">
      <w:pPr>
        <w:bidi/>
        <w:spacing w:line="360" w:lineRule="auto"/>
        <w:rPr>
          <w:rFonts w:ascii="David" w:eastAsia="David" w:hAnsi="David" w:cs="Gveret Levin AlefAlefAlef"/>
          <w:bCs/>
        </w:rPr>
      </w:pPr>
      <w:r w:rsidRPr="00056075">
        <w:rPr>
          <w:rFonts w:ascii="David" w:eastAsia="David" w:hAnsi="David" w:cs="Gveret Levin AlefAlefAlef"/>
          <w:bCs/>
          <w:rtl/>
        </w:rPr>
        <w:t>ציינו והסבירו שתי השלכות של הקושי להבין את משמעותו של הפתרון הסופי.</w:t>
      </w:r>
    </w:p>
    <w:p w14:paraId="00000004" w14:textId="77777777" w:rsidR="00F927D6" w:rsidRPr="00056075" w:rsidRDefault="00F927D6" w:rsidP="00056075">
      <w:pPr>
        <w:bidi/>
        <w:spacing w:line="360" w:lineRule="auto"/>
        <w:rPr>
          <w:rFonts w:ascii="David" w:eastAsia="David" w:hAnsi="David" w:cs="David"/>
          <w:sz w:val="24"/>
          <w:szCs w:val="24"/>
        </w:rPr>
      </w:pPr>
    </w:p>
    <w:p w14:paraId="00000006" w14:textId="77777777" w:rsidR="00F927D6" w:rsidRPr="00056075" w:rsidRDefault="00000000" w:rsidP="00056075">
      <w:pPr>
        <w:bidi/>
        <w:spacing w:line="360" w:lineRule="auto"/>
        <w:rPr>
          <w:rFonts w:ascii="David" w:eastAsia="David" w:hAnsi="David" w:cs="David"/>
          <w:b/>
          <w:bCs/>
          <w:sz w:val="24"/>
          <w:szCs w:val="24"/>
          <w:u w:val="single"/>
        </w:rPr>
      </w:pPr>
      <w:r w:rsidRPr="00056075">
        <w:rPr>
          <w:rFonts w:ascii="David" w:eastAsia="David" w:hAnsi="David" w:cs="David"/>
          <w:b/>
          <w:bCs/>
          <w:sz w:val="24"/>
          <w:szCs w:val="24"/>
          <w:u w:val="single"/>
          <w:rtl/>
        </w:rPr>
        <w:t>גורמים אשר הגבילו את יכולתם של היהודים להבין את משמעות הפתרון הסופי היו:</w:t>
      </w:r>
    </w:p>
    <w:p w14:paraId="00000007" w14:textId="6F981990" w:rsidR="00F927D6" w:rsidRPr="00056075" w:rsidRDefault="00000000" w:rsidP="00056075">
      <w:pPr>
        <w:bidi/>
        <w:spacing w:line="360" w:lineRule="auto"/>
        <w:rPr>
          <w:rFonts w:ascii="David" w:eastAsia="David" w:hAnsi="David" w:cs="David"/>
          <w:sz w:val="24"/>
          <w:szCs w:val="24"/>
        </w:rPr>
      </w:pPr>
      <w:r w:rsidRPr="00056075">
        <w:rPr>
          <w:rFonts w:ascii="David" w:eastAsia="David" w:hAnsi="David" w:cs="David"/>
          <w:b/>
          <w:bCs/>
          <w:sz w:val="24"/>
          <w:szCs w:val="24"/>
          <w:u w:val="single"/>
          <w:rtl/>
        </w:rPr>
        <w:t>הזמן</w:t>
      </w:r>
      <w:r w:rsidRPr="00056075">
        <w:rPr>
          <w:rFonts w:ascii="David" w:eastAsia="David" w:hAnsi="David" w:cs="David"/>
          <w:sz w:val="24"/>
          <w:szCs w:val="24"/>
          <w:rtl/>
        </w:rPr>
        <w:t xml:space="preserve"> - לקח זמן רב עד הגעת ידיעות ברורות על היקפי ההשמדה, הדבר נבע הן מכך שלא היו כמעט שורדים שיכלו לשוב ולספר, והן מכך שאנו מדברים על זמן מלחמה, למידע לוקח זמן להגיע ממקום למקום, ומכיוון שהיו הגבלות של הצנזורה הגרמנית שבדקה את המכתבים השונים.</w:t>
      </w:r>
      <w:r w:rsidR="00056075" w:rsidRPr="00056075">
        <w:rPr>
          <w:rFonts w:ascii="David" w:eastAsia="David" w:hAnsi="David" w:cs="David" w:hint="cs"/>
          <w:sz w:val="24"/>
          <w:szCs w:val="24"/>
          <w:rtl/>
        </w:rPr>
        <w:t xml:space="preserve"> </w:t>
      </w:r>
    </w:p>
    <w:p w14:paraId="00000008" w14:textId="5B3D179A" w:rsidR="00F927D6" w:rsidRPr="00056075" w:rsidRDefault="00000000" w:rsidP="00056075">
      <w:pPr>
        <w:bidi/>
        <w:spacing w:line="360" w:lineRule="auto"/>
        <w:rPr>
          <w:rFonts w:ascii="David" w:eastAsia="David" w:hAnsi="David" w:cs="David"/>
          <w:sz w:val="24"/>
          <w:szCs w:val="24"/>
        </w:rPr>
      </w:pPr>
      <w:r w:rsidRPr="00056075">
        <w:rPr>
          <w:rFonts w:ascii="David" w:eastAsia="David" w:hAnsi="David" w:cs="David"/>
          <w:sz w:val="24"/>
          <w:szCs w:val="24"/>
          <w:rtl/>
        </w:rPr>
        <w:t xml:space="preserve">גורם נוסף הוא </w:t>
      </w:r>
      <w:r w:rsidRPr="00056075">
        <w:rPr>
          <w:rFonts w:ascii="David" w:eastAsia="David" w:hAnsi="David" w:cs="David"/>
          <w:b/>
          <w:bCs/>
          <w:sz w:val="24"/>
          <w:szCs w:val="24"/>
          <w:u w:val="single"/>
          <w:rtl/>
        </w:rPr>
        <w:t>גורם נפשי</w:t>
      </w:r>
      <w:r w:rsidRPr="00056075">
        <w:rPr>
          <w:rFonts w:ascii="David" w:eastAsia="David" w:hAnsi="David" w:cs="David"/>
          <w:sz w:val="24"/>
          <w:szCs w:val="24"/>
          <w:u w:val="single"/>
          <w:rtl/>
        </w:rPr>
        <w:t xml:space="preserve"> </w:t>
      </w:r>
      <w:r w:rsidRPr="00056075">
        <w:rPr>
          <w:rFonts w:ascii="David" w:eastAsia="David" w:hAnsi="David" w:cs="David"/>
          <w:sz w:val="24"/>
          <w:szCs w:val="24"/>
          <w:rtl/>
        </w:rPr>
        <w:t xml:space="preserve">- חוסר היכולת של האנשים להבין ולקבל את האפשרות שמדובר בהרג המוני שיטתי ומוחלט. </w:t>
      </w:r>
      <w:r w:rsidR="00056075" w:rsidRPr="00056075">
        <w:rPr>
          <w:rFonts w:ascii="David" w:eastAsia="David" w:hAnsi="David" w:cs="David" w:hint="cs"/>
          <w:sz w:val="24"/>
          <w:szCs w:val="24"/>
          <w:rtl/>
        </w:rPr>
        <w:t xml:space="preserve">לא היה לכף תקדים היסטורי וזה נשמע בלתי מקבל על </w:t>
      </w:r>
      <w:proofErr w:type="spellStart"/>
      <w:r w:rsidR="00056075" w:rsidRPr="00056075">
        <w:rPr>
          <w:rFonts w:ascii="David" w:eastAsia="David" w:hAnsi="David" w:cs="David" w:hint="cs"/>
          <w:sz w:val="24"/>
          <w:szCs w:val="24"/>
          <w:rtl/>
        </w:rPr>
        <w:t>הדעת.</w:t>
      </w:r>
      <w:r w:rsidRPr="00056075">
        <w:rPr>
          <w:rFonts w:ascii="David" w:eastAsia="David" w:hAnsi="David" w:cs="David"/>
          <w:sz w:val="24"/>
          <w:szCs w:val="24"/>
          <w:rtl/>
        </w:rPr>
        <w:t>ה</w:t>
      </w:r>
      <w:proofErr w:type="spellEnd"/>
      <w:r w:rsidR="00056075">
        <w:rPr>
          <w:rFonts w:ascii="David" w:eastAsia="David" w:hAnsi="David" w:cs="David" w:hint="cs"/>
          <w:sz w:val="24"/>
          <w:szCs w:val="24"/>
          <w:rtl/>
        </w:rPr>
        <w:t xml:space="preserve"> </w:t>
      </w:r>
      <w:r w:rsidRPr="00056075">
        <w:rPr>
          <w:rFonts w:ascii="David" w:eastAsia="David" w:hAnsi="David" w:cs="David"/>
          <w:sz w:val="24"/>
          <w:szCs w:val="24"/>
          <w:rtl/>
        </w:rPr>
        <w:t xml:space="preserve">יו מקרים בהם כבר </w:t>
      </w:r>
      <w:r w:rsidR="00BE1BCD" w:rsidRPr="00056075">
        <w:rPr>
          <w:rFonts w:ascii="David" w:eastAsia="David" w:hAnsi="David" w:cs="David" w:hint="cs"/>
          <w:sz w:val="24"/>
          <w:szCs w:val="24"/>
          <w:rtl/>
        </w:rPr>
        <w:t>ידעו</w:t>
      </w:r>
      <w:r w:rsidRPr="00056075">
        <w:rPr>
          <w:rFonts w:ascii="David" w:eastAsia="David" w:hAnsi="David" w:cs="David"/>
          <w:sz w:val="24"/>
          <w:szCs w:val="24"/>
          <w:rtl/>
        </w:rPr>
        <w:t>, אך העדיפו לחשוב שזה הרג מקומי ולא כללי ומוחלט.</w:t>
      </w:r>
      <w:r w:rsidR="00056075" w:rsidRPr="00056075">
        <w:rPr>
          <w:rFonts w:ascii="David" w:eastAsia="David" w:hAnsi="David" w:cs="David" w:hint="cs"/>
          <w:sz w:val="24"/>
          <w:szCs w:val="24"/>
          <w:rtl/>
        </w:rPr>
        <w:t xml:space="preserve"> (למשל- יהודי בריה"מ נרצחו כי הם קומוניסטים, אבל לנו זה לא יקרה. או אותנו הם צריכים לתעשייה אז לא ישמידו אותנו. או </w:t>
      </w:r>
      <w:r w:rsidR="00056075" w:rsidRPr="00056075">
        <w:rPr>
          <w:rFonts w:ascii="David" w:eastAsia="David" w:hAnsi="David" w:cs="David"/>
          <w:sz w:val="24"/>
          <w:szCs w:val="24"/>
          <w:rtl/>
        </w:rPr>
        <w:t>–</w:t>
      </w:r>
      <w:r w:rsidR="00056075" w:rsidRPr="00056075">
        <w:rPr>
          <w:rFonts w:ascii="David" w:eastAsia="David" w:hAnsi="David" w:cs="David" w:hint="cs"/>
          <w:sz w:val="24"/>
          <w:szCs w:val="24"/>
          <w:rtl/>
        </w:rPr>
        <w:t xml:space="preserve"> זה מאיים רק יושבי הרייך </w:t>
      </w:r>
      <w:r w:rsidR="00056075" w:rsidRPr="00056075">
        <w:rPr>
          <w:rFonts w:ascii="David" w:eastAsia="David" w:hAnsi="David" w:cs="David"/>
          <w:sz w:val="24"/>
          <w:szCs w:val="24"/>
          <w:rtl/>
        </w:rPr>
        <w:t>–</w:t>
      </w:r>
      <w:r w:rsidR="00056075" w:rsidRPr="00056075">
        <w:rPr>
          <w:rFonts w:ascii="David" w:eastAsia="David" w:hAnsi="David" w:cs="David" w:hint="cs"/>
          <w:sz w:val="24"/>
          <w:szCs w:val="24"/>
          <w:rtl/>
        </w:rPr>
        <w:t xml:space="preserve"> </w:t>
      </w:r>
      <w:proofErr w:type="spellStart"/>
      <w:r w:rsidR="00056075" w:rsidRPr="00056075">
        <w:rPr>
          <w:rFonts w:ascii="David" w:eastAsia="David" w:hAnsi="David" w:cs="David" w:hint="cs"/>
          <w:sz w:val="24"/>
          <w:szCs w:val="24"/>
          <w:rtl/>
        </w:rPr>
        <w:t>הורטגאו</w:t>
      </w:r>
      <w:proofErr w:type="spellEnd"/>
      <w:r w:rsidR="00056075" w:rsidRPr="00056075">
        <w:rPr>
          <w:rFonts w:ascii="David" w:eastAsia="David" w:hAnsi="David" w:cs="David" w:hint="cs"/>
          <w:sz w:val="24"/>
          <w:szCs w:val="24"/>
          <w:rtl/>
        </w:rPr>
        <w:t xml:space="preserve"> אך לא על </w:t>
      </w:r>
      <w:proofErr w:type="spellStart"/>
      <w:r w:rsidR="00056075" w:rsidRPr="00056075">
        <w:rPr>
          <w:rFonts w:ascii="David" w:eastAsia="David" w:hAnsi="David" w:cs="David" w:hint="cs"/>
          <w:sz w:val="24"/>
          <w:szCs w:val="24"/>
          <w:rtl/>
        </w:rPr>
        <w:t>הג"ג</w:t>
      </w:r>
      <w:proofErr w:type="spellEnd"/>
      <w:r w:rsidR="00056075" w:rsidRPr="00056075">
        <w:rPr>
          <w:rFonts w:ascii="David" w:eastAsia="David" w:hAnsi="David" w:cs="David" w:hint="cs"/>
          <w:sz w:val="24"/>
          <w:szCs w:val="24"/>
          <w:rtl/>
        </w:rPr>
        <w:t xml:space="preserve"> או </w:t>
      </w:r>
      <w:r w:rsidR="00056075" w:rsidRPr="00056075">
        <w:rPr>
          <w:rFonts w:ascii="David" w:eastAsia="David" w:hAnsi="David" w:cs="David"/>
          <w:sz w:val="24"/>
          <w:szCs w:val="24"/>
          <w:rtl/>
        </w:rPr>
        <w:t>–</w:t>
      </w:r>
      <w:r w:rsidR="00056075" w:rsidRPr="00056075">
        <w:rPr>
          <w:rFonts w:ascii="David" w:eastAsia="David" w:hAnsi="David" w:cs="David" w:hint="cs"/>
          <w:sz w:val="24"/>
          <w:szCs w:val="24"/>
          <w:rtl/>
        </w:rPr>
        <w:t xml:space="preserve"> הגרמנים לא יעזו בגלל דעת הקהל העולמית)</w:t>
      </w:r>
    </w:p>
    <w:p w14:paraId="00000009" w14:textId="7FD61A60" w:rsidR="00F927D6" w:rsidRPr="00056075" w:rsidRDefault="00000000" w:rsidP="00056075">
      <w:pPr>
        <w:bidi/>
        <w:spacing w:line="360" w:lineRule="auto"/>
        <w:rPr>
          <w:rFonts w:ascii="David" w:eastAsia="David" w:hAnsi="David" w:cs="David"/>
          <w:sz w:val="24"/>
          <w:szCs w:val="24"/>
        </w:rPr>
      </w:pPr>
      <w:r w:rsidRPr="00056075">
        <w:rPr>
          <w:rFonts w:ascii="David" w:eastAsia="David" w:hAnsi="David" w:cs="David"/>
          <w:sz w:val="24"/>
          <w:szCs w:val="24"/>
          <w:rtl/>
        </w:rPr>
        <w:t>באשר ל</w:t>
      </w:r>
      <w:r w:rsidRPr="00056075">
        <w:rPr>
          <w:rFonts w:ascii="David" w:eastAsia="David" w:hAnsi="David" w:cs="David"/>
          <w:sz w:val="24"/>
          <w:szCs w:val="24"/>
          <w:u w:val="single"/>
          <w:rtl/>
        </w:rPr>
        <w:t>יהדות מערב, מרכז ודרום אירופה</w:t>
      </w:r>
      <w:r w:rsidRPr="00056075">
        <w:rPr>
          <w:rFonts w:ascii="David" w:eastAsia="David" w:hAnsi="David" w:cs="David"/>
          <w:sz w:val="24"/>
          <w:szCs w:val="24"/>
          <w:rtl/>
        </w:rPr>
        <w:t xml:space="preserve"> אשר שם ליהודים היו הגבלות, אך הם לא חיו בגטאות ולא חוו הרג ותמותה טבעית, עבורם האפשרות להאמין היתה קשה אף יותר. במקרה שלהם</w:t>
      </w:r>
      <w:r w:rsidR="00BE1BCD" w:rsidRPr="00056075">
        <w:rPr>
          <w:rFonts w:ascii="David" w:eastAsia="David" w:hAnsi="David" w:cs="David" w:hint="cs"/>
          <w:sz w:val="24"/>
          <w:szCs w:val="24"/>
          <w:rtl/>
        </w:rPr>
        <w:t>,</w:t>
      </w:r>
      <w:r w:rsidRPr="00056075">
        <w:rPr>
          <w:rFonts w:ascii="David" w:eastAsia="David" w:hAnsi="David" w:cs="David"/>
          <w:sz w:val="24"/>
          <w:szCs w:val="24"/>
          <w:rtl/>
        </w:rPr>
        <w:t xml:space="preserve"> שהם </w:t>
      </w:r>
      <w:r w:rsidR="00BE1BCD" w:rsidRPr="00056075">
        <w:rPr>
          <w:rFonts w:ascii="David" w:eastAsia="David" w:hAnsi="David" w:cs="David" w:hint="cs"/>
          <w:sz w:val="24"/>
          <w:szCs w:val="24"/>
          <w:rtl/>
        </w:rPr>
        <w:t xml:space="preserve">גם </w:t>
      </w:r>
      <w:r w:rsidRPr="00056075">
        <w:rPr>
          <w:rFonts w:ascii="David" w:eastAsia="David" w:hAnsi="David" w:cs="David"/>
          <w:sz w:val="24"/>
          <w:szCs w:val="24"/>
          <w:rtl/>
        </w:rPr>
        <w:t>לא היו קרובים לאתרי מוות, לא הגיעו כמעט ידיעות והשילוחים נחתו עליהם כרעם ביום בהיר. עבורם לא היתה בכלל ידיעה.</w:t>
      </w:r>
    </w:p>
    <w:p w14:paraId="0000000A" w14:textId="77777777" w:rsidR="00F927D6" w:rsidRPr="00056075" w:rsidRDefault="00F927D6" w:rsidP="00056075">
      <w:pPr>
        <w:bidi/>
        <w:spacing w:line="360" w:lineRule="auto"/>
        <w:rPr>
          <w:rFonts w:ascii="David" w:eastAsia="David" w:hAnsi="David" w:cs="David"/>
          <w:sz w:val="24"/>
          <w:szCs w:val="24"/>
        </w:rPr>
      </w:pPr>
    </w:p>
    <w:p w14:paraId="5BECE768" w14:textId="77777777" w:rsidR="00BE1BCD" w:rsidRPr="00CD45F9" w:rsidRDefault="00000000" w:rsidP="00056075">
      <w:pPr>
        <w:bidi/>
        <w:spacing w:line="360" w:lineRule="auto"/>
        <w:rPr>
          <w:rFonts w:ascii="David" w:eastAsia="David" w:hAnsi="David" w:cs="David"/>
          <w:b/>
          <w:bCs/>
          <w:sz w:val="24"/>
          <w:szCs w:val="24"/>
          <w:rtl/>
        </w:rPr>
      </w:pPr>
      <w:r w:rsidRPr="00CD45F9">
        <w:rPr>
          <w:rFonts w:ascii="David" w:eastAsia="David" w:hAnsi="David" w:cs="David"/>
          <w:b/>
          <w:bCs/>
          <w:sz w:val="24"/>
          <w:szCs w:val="24"/>
          <w:rtl/>
        </w:rPr>
        <w:t xml:space="preserve">ההשלכות של חוסר הידיעה או חוסר היכולת להאמין השפיעו בשני מישורים: </w:t>
      </w:r>
    </w:p>
    <w:p w14:paraId="1B931F83" w14:textId="77777777" w:rsidR="00BE1BCD" w:rsidRPr="00056075" w:rsidRDefault="00000000" w:rsidP="00056075">
      <w:pPr>
        <w:bidi/>
        <w:spacing w:line="360" w:lineRule="auto"/>
        <w:rPr>
          <w:rFonts w:ascii="David" w:eastAsia="David" w:hAnsi="David" w:cs="David"/>
          <w:sz w:val="24"/>
          <w:szCs w:val="24"/>
          <w:rtl/>
        </w:rPr>
      </w:pPr>
      <w:r w:rsidRPr="00CD45F9">
        <w:rPr>
          <w:rFonts w:ascii="David" w:eastAsia="David" w:hAnsi="David" w:cs="David"/>
          <w:b/>
          <w:bCs/>
          <w:sz w:val="24"/>
          <w:szCs w:val="24"/>
          <w:rtl/>
        </w:rPr>
        <w:t>במישור הפרטי</w:t>
      </w:r>
      <w:r w:rsidRPr="00056075">
        <w:rPr>
          <w:rFonts w:ascii="David" w:eastAsia="David" w:hAnsi="David" w:cs="David"/>
          <w:sz w:val="24"/>
          <w:szCs w:val="24"/>
          <w:rtl/>
        </w:rPr>
        <w:t xml:space="preserve"> - בהכרעה אישית אם להתייצב לשילוחים, להסתתר או לברוח אל היער, </w:t>
      </w:r>
    </w:p>
    <w:p w14:paraId="0000000B" w14:textId="2A76687C" w:rsidR="00F927D6" w:rsidRPr="00056075" w:rsidRDefault="00000000" w:rsidP="00056075">
      <w:pPr>
        <w:bidi/>
        <w:spacing w:line="360" w:lineRule="auto"/>
        <w:rPr>
          <w:rFonts w:ascii="David" w:eastAsia="David" w:hAnsi="David" w:cs="David"/>
          <w:sz w:val="24"/>
          <w:szCs w:val="24"/>
        </w:rPr>
      </w:pPr>
      <w:r w:rsidRPr="00CD45F9">
        <w:rPr>
          <w:rFonts w:ascii="David" w:eastAsia="David" w:hAnsi="David" w:cs="David"/>
          <w:b/>
          <w:bCs/>
          <w:sz w:val="24"/>
          <w:szCs w:val="24"/>
          <w:rtl/>
        </w:rPr>
        <w:t>ובמישור ציבורי</w:t>
      </w:r>
      <w:r w:rsidRPr="00056075">
        <w:rPr>
          <w:rFonts w:ascii="David" w:eastAsia="David" w:hAnsi="David" w:cs="David"/>
          <w:sz w:val="24"/>
          <w:szCs w:val="24"/>
          <w:rtl/>
        </w:rPr>
        <w:t xml:space="preserve"> - בהכרעה האם לציית לפקודות הגרמנים או לסרב לתכתיבים, האם לסייע לבורחים ליערות, או לתמוך במרד מזוין, והאם להפיץ לציבור הרחב או להרגיעו.</w:t>
      </w:r>
    </w:p>
    <w:p w14:paraId="0000000C" w14:textId="77777777" w:rsidR="00F927D6" w:rsidRDefault="00F927D6">
      <w:pPr>
        <w:bidi/>
      </w:pPr>
    </w:p>
    <w:p w14:paraId="0000000D" w14:textId="77777777" w:rsidR="00F927D6" w:rsidRDefault="00F927D6">
      <w:pPr>
        <w:bidi/>
      </w:pPr>
    </w:p>
    <w:sectPr w:rsidR="00F927D6" w:rsidSect="009636E6">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D6"/>
    <w:rsid w:val="00056075"/>
    <w:rsid w:val="00853618"/>
    <w:rsid w:val="009636E6"/>
    <w:rsid w:val="00BE1BCD"/>
    <w:rsid w:val="00CD45F9"/>
    <w:rsid w:val="00F92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BC2D"/>
  <w15:docId w15:val="{B6631AB5-45F5-431C-84AB-60A47222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1242</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2022-09-05T19:49:00Z</dcterms:created>
  <dcterms:modified xsi:type="dcterms:W3CDTF">2022-09-08T08:32:00Z</dcterms:modified>
</cp:coreProperties>
</file>