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E2E6D" w14:textId="77777777" w:rsidR="000B7FD4" w:rsidRPr="000B7FD4" w:rsidRDefault="000B7FD4" w:rsidP="00A77B85">
      <w:pPr>
        <w:pBdr>
          <w:top w:val="nil"/>
          <w:left w:val="nil"/>
          <w:bottom w:val="nil"/>
          <w:right w:val="nil"/>
          <w:between w:val="nil"/>
        </w:pBdr>
        <w:spacing w:after="0" w:line="360" w:lineRule="auto"/>
        <w:ind w:right="720"/>
        <w:contextualSpacing/>
        <w:jc w:val="both"/>
        <w:rPr>
          <w:rFonts w:ascii="David" w:hAnsi="David" w:cs="David"/>
          <w:b/>
          <w:color w:val="000000"/>
          <w:sz w:val="24"/>
          <w:szCs w:val="24"/>
          <w:rtl/>
        </w:rPr>
      </w:pPr>
      <w:r w:rsidRPr="000B7FD4">
        <w:rPr>
          <w:rFonts w:ascii="David" w:hAnsi="David" w:cs="David"/>
          <w:b/>
          <w:color w:val="000000"/>
          <w:sz w:val="24"/>
          <w:szCs w:val="24"/>
          <w:rtl/>
        </w:rPr>
        <w:t>ב"ה</w:t>
      </w:r>
    </w:p>
    <w:p w14:paraId="29BEE30A" w14:textId="26A8C1E7" w:rsidR="00AD7E60" w:rsidRPr="000B7FD4" w:rsidRDefault="000B7FD4" w:rsidP="00A77B85">
      <w:pPr>
        <w:pBdr>
          <w:top w:val="nil"/>
          <w:left w:val="nil"/>
          <w:bottom w:val="nil"/>
          <w:right w:val="nil"/>
          <w:between w:val="nil"/>
        </w:pBdr>
        <w:spacing w:after="0" w:line="360" w:lineRule="auto"/>
        <w:ind w:right="720"/>
        <w:contextualSpacing/>
        <w:jc w:val="both"/>
        <w:rPr>
          <w:rFonts w:ascii="David" w:hAnsi="David" w:cs="Gveret Levin AlefAlefAlef"/>
          <w:bCs/>
          <w:color w:val="000000"/>
        </w:rPr>
      </w:pPr>
      <w:r w:rsidRPr="000B7FD4">
        <w:rPr>
          <w:rFonts w:ascii="David" w:hAnsi="David" w:cs="Gveret Levin AlefAlefAlef"/>
          <w:bCs/>
          <w:color w:val="000000"/>
          <w:rtl/>
        </w:rPr>
        <w:t>שאלה 22: תארו בקצרה שלוש נקודות ציון מרכזיות שהתקיימו</w:t>
      </w:r>
      <w:r w:rsidRPr="000B7FD4">
        <w:rPr>
          <w:rFonts w:ascii="David" w:hAnsi="David" w:cs="Gveret Levin AlefAlefAlef"/>
          <w:bCs/>
          <w:color w:val="000000"/>
        </w:rPr>
        <w:t xml:space="preserve"> </w:t>
      </w:r>
      <w:r w:rsidRPr="000B7FD4">
        <w:rPr>
          <w:rFonts w:ascii="David" w:hAnsi="David" w:cs="Gveret Levin AlefAlefAlef"/>
          <w:bCs/>
          <w:color w:val="000000"/>
          <w:rtl/>
        </w:rPr>
        <w:t>בחברה הישראלית בנוגע להתמודדות עם זיכרון השואה והשפעותיה. פרט בנוגע ל</w:t>
      </w:r>
      <w:r w:rsidRPr="000B7FD4">
        <w:rPr>
          <w:rFonts w:ascii="David" w:hAnsi="David" w:cs="Gveret Levin AlefAlefAlef"/>
          <w:bCs/>
          <w:color w:val="000000"/>
          <w:u w:val="single"/>
          <w:rtl/>
        </w:rPr>
        <w:t>אחת</w:t>
      </w:r>
      <w:r w:rsidRPr="000B7FD4">
        <w:rPr>
          <w:rFonts w:ascii="David" w:hAnsi="David" w:cs="Gveret Levin AlefAlefAlef"/>
          <w:bCs/>
          <w:color w:val="000000"/>
          <w:rtl/>
        </w:rPr>
        <w:t xml:space="preserve"> מהן.</w:t>
      </w:r>
    </w:p>
    <w:p w14:paraId="2F5D296D" w14:textId="36C131B7" w:rsidR="001F1576" w:rsidRPr="00A77B85" w:rsidRDefault="00000000" w:rsidP="00A77B85">
      <w:pPr>
        <w:pStyle w:val="a4"/>
        <w:numPr>
          <w:ilvl w:val="0"/>
          <w:numId w:val="2"/>
        </w:numPr>
        <w:spacing w:line="360" w:lineRule="auto"/>
        <w:ind w:right="720"/>
        <w:rPr>
          <w:rFonts w:ascii="David" w:hAnsi="David" w:cs="David"/>
          <w:sz w:val="24"/>
          <w:szCs w:val="24"/>
        </w:rPr>
      </w:pPr>
      <w:r w:rsidRPr="00A77B85">
        <w:rPr>
          <w:rFonts w:ascii="David" w:hAnsi="David" w:cs="David"/>
          <w:b/>
          <w:sz w:val="24"/>
          <w:szCs w:val="24"/>
          <w:u w:val="single"/>
          <w:rtl/>
        </w:rPr>
        <w:t>מקום המדינה - שנות ה-50</w:t>
      </w:r>
      <w:r w:rsidRPr="00A77B85">
        <w:rPr>
          <w:rFonts w:ascii="David" w:hAnsi="David" w:cs="David"/>
          <w:sz w:val="24"/>
          <w:szCs w:val="24"/>
          <w:rtl/>
        </w:rPr>
        <w:t>: בשנותיה הראשונות של מדינת ישראל מרכז הדיון היה הלקח הציוני של השואה וחיזוק הנרטיב המתאר את כינון מדינת ישראל - משואה לתקומה.</w:t>
      </w:r>
      <w:r w:rsidR="00A77B85">
        <w:rPr>
          <w:rFonts w:ascii="David" w:hAnsi="David" w:cs="David"/>
          <w:b/>
          <w:sz w:val="24"/>
          <w:szCs w:val="24"/>
          <w:u w:val="single"/>
          <w:rtl/>
        </w:rPr>
        <w:br/>
      </w:r>
      <w:r w:rsidRPr="00A77B85">
        <w:rPr>
          <w:rFonts w:ascii="David" w:hAnsi="David" w:cs="David"/>
          <w:b/>
          <w:sz w:val="24"/>
          <w:szCs w:val="24"/>
          <w:u w:val="single"/>
          <w:rtl/>
        </w:rPr>
        <w:t>פירוט</w:t>
      </w:r>
      <w:r w:rsidRPr="00A77B85">
        <w:rPr>
          <w:rFonts w:ascii="David" w:hAnsi="David" w:cs="David"/>
          <w:sz w:val="24"/>
          <w:szCs w:val="24"/>
          <w:rtl/>
        </w:rPr>
        <w:t>: הציונות בראשית דרכה ביקשה להתנער מדימוי היהודי הישן ("שלילת הגלות"), תוך תהליך של דה לגיטימציה כלפיו, וניסתה ליצור דגם חדש של חלוץ - ציוני לוחם, עובד אדמה. היהודי הגלותי הוצג כחלוש גוף ואופי, הנמצא במצב לא טבעי ולא מאוזן, המדומה למצב מחלה. לכן, בשנותיה הראשונות של המדינה נהוג היה לאזכר בשיח הציבורי על זיכרון השואה רק את מורדי הגטאות והלוחמים הפרטיזנים שלא הלכו "כצאן לטבח".</w:t>
      </w:r>
      <w:r w:rsidR="001F1576" w:rsidRPr="00A77B85">
        <w:rPr>
          <w:rFonts w:ascii="David" w:hAnsi="David" w:cs="David" w:hint="cs"/>
          <w:sz w:val="24"/>
          <w:szCs w:val="24"/>
          <w:rtl/>
        </w:rPr>
        <w:t xml:space="preserve"> הניצולים שתקו. </w:t>
      </w:r>
      <w:r w:rsidR="001F1576" w:rsidRPr="00A77B85">
        <w:rPr>
          <w:rFonts w:ascii="David" w:hAnsi="David" w:cs="David" w:hint="cs"/>
          <w:b/>
          <w:bCs/>
          <w:sz w:val="24"/>
          <w:szCs w:val="24"/>
          <w:rtl/>
        </w:rPr>
        <w:t xml:space="preserve">משפט </w:t>
      </w:r>
      <w:proofErr w:type="spellStart"/>
      <w:r w:rsidR="001F1576" w:rsidRPr="00A77B85">
        <w:rPr>
          <w:rFonts w:ascii="David" w:hAnsi="David" w:cs="David" w:hint="cs"/>
          <w:b/>
          <w:bCs/>
          <w:sz w:val="24"/>
          <w:szCs w:val="24"/>
          <w:rtl/>
        </w:rPr>
        <w:t>קסטנר</w:t>
      </w:r>
      <w:proofErr w:type="spellEnd"/>
      <w:r w:rsidR="001F1576" w:rsidRPr="00A77B85">
        <w:rPr>
          <w:rFonts w:ascii="David" w:hAnsi="David" w:cs="David" w:hint="cs"/>
          <w:sz w:val="24"/>
          <w:szCs w:val="24"/>
          <w:rtl/>
        </w:rPr>
        <w:t xml:space="preserve"> </w:t>
      </w:r>
      <w:r w:rsidR="001F1576" w:rsidRPr="00A77B85">
        <w:rPr>
          <w:rFonts w:ascii="David" w:hAnsi="David" w:cs="David"/>
          <w:sz w:val="24"/>
          <w:szCs w:val="24"/>
          <w:rtl/>
        </w:rPr>
        <w:t>–</w:t>
      </w:r>
      <w:r w:rsidR="001F1576" w:rsidRPr="00A77B85">
        <w:rPr>
          <w:rFonts w:ascii="David" w:hAnsi="David" w:cs="David" w:hint="cs"/>
          <w:sz w:val="24"/>
          <w:szCs w:val="24"/>
          <w:rtl/>
        </w:rPr>
        <w:t xml:space="preserve"> </w:t>
      </w:r>
      <w:proofErr w:type="spellStart"/>
      <w:r w:rsidR="001F1576" w:rsidRPr="00A77B85">
        <w:rPr>
          <w:rFonts w:ascii="David" w:hAnsi="David" w:cs="David" w:hint="cs"/>
          <w:sz w:val="24"/>
          <w:szCs w:val="24"/>
          <w:rtl/>
        </w:rPr>
        <w:t>קסטנר</w:t>
      </w:r>
      <w:proofErr w:type="spellEnd"/>
      <w:r w:rsidR="001F1576" w:rsidRPr="00A77B85">
        <w:rPr>
          <w:rFonts w:ascii="David" w:hAnsi="David" w:cs="David" w:hint="cs"/>
          <w:sz w:val="24"/>
          <w:szCs w:val="24"/>
          <w:rtl/>
        </w:rPr>
        <w:t xml:space="preserve"> כשתדלן גלותי.</w:t>
      </w:r>
    </w:p>
    <w:p w14:paraId="207F3F0E" w14:textId="40C7AA5C" w:rsidR="00A77B85" w:rsidRPr="00A77B85" w:rsidRDefault="00000000" w:rsidP="00A77B85">
      <w:pPr>
        <w:pStyle w:val="a4"/>
        <w:numPr>
          <w:ilvl w:val="0"/>
          <w:numId w:val="2"/>
        </w:numPr>
        <w:spacing w:after="0" w:line="360" w:lineRule="auto"/>
        <w:ind w:left="357" w:right="720" w:hanging="357"/>
        <w:rPr>
          <w:rFonts w:ascii="David" w:hAnsi="David" w:cs="David"/>
          <w:sz w:val="24"/>
          <w:szCs w:val="24"/>
        </w:rPr>
      </w:pPr>
      <w:r w:rsidRPr="00A77B85">
        <w:rPr>
          <w:rFonts w:ascii="David" w:hAnsi="David" w:cs="David"/>
          <w:b/>
          <w:sz w:val="24"/>
          <w:szCs w:val="24"/>
          <w:u w:val="single"/>
          <w:rtl/>
        </w:rPr>
        <w:t>שנות ה-60</w:t>
      </w:r>
      <w:r w:rsidRPr="00A77B85">
        <w:rPr>
          <w:rFonts w:ascii="David" w:hAnsi="David" w:cs="David"/>
          <w:sz w:val="24"/>
          <w:szCs w:val="24"/>
          <w:rtl/>
        </w:rPr>
        <w:t xml:space="preserve">: </w:t>
      </w:r>
      <w:r w:rsidRPr="00A77B85">
        <w:rPr>
          <w:rFonts w:ascii="David" w:hAnsi="David" w:cs="David"/>
          <w:b/>
          <w:bCs/>
          <w:sz w:val="24"/>
          <w:szCs w:val="24"/>
          <w:rtl/>
        </w:rPr>
        <w:t>משפט אייכמן.</w:t>
      </w:r>
      <w:r w:rsidR="00C94477" w:rsidRPr="00A77B85">
        <w:rPr>
          <w:rFonts w:ascii="David" w:hAnsi="David" w:cs="David"/>
          <w:b/>
          <w:sz w:val="24"/>
          <w:szCs w:val="24"/>
          <w:u w:val="single"/>
          <w:rtl/>
        </w:rPr>
        <w:br/>
      </w:r>
      <w:r w:rsidRPr="00A77B85">
        <w:rPr>
          <w:rFonts w:ascii="David" w:hAnsi="David" w:cs="David"/>
          <w:b/>
          <w:sz w:val="24"/>
          <w:szCs w:val="24"/>
          <w:u w:val="single"/>
          <w:rtl/>
        </w:rPr>
        <w:t>פירוט</w:t>
      </w:r>
      <w:r w:rsidRPr="00A77B85">
        <w:rPr>
          <w:rFonts w:ascii="David" w:hAnsi="David" w:cs="David"/>
          <w:b/>
          <w:sz w:val="24"/>
          <w:szCs w:val="24"/>
          <w:rtl/>
        </w:rPr>
        <w:t>: משפט אייכמן</w:t>
      </w:r>
      <w:r w:rsidRPr="00A77B85">
        <w:rPr>
          <w:rFonts w:ascii="David" w:hAnsi="David" w:cs="David"/>
          <w:sz w:val="24"/>
          <w:szCs w:val="24"/>
          <w:rtl/>
        </w:rPr>
        <w:t xml:space="preserve"> נתן לראשונה פומבי לקולות הניצולים והעלה לתודעה הציבורית את הדיון בשאלת התגובה היהודית לשואה ומושג הגבורה. השואה קיבלה לגיטימציה גם בהקשר הפרטי והאישי, ולא רק הלאומי והציוני. המושג גבורה התרחב והוחל גם על פעולות התנגדות כלפי הנאצים במישור הרוחני-אנושי ושמירה על צלם אנוש, ולא רק על התנגדות אקטיבית-פיזית.</w:t>
      </w:r>
      <w:r w:rsidR="00A77B85">
        <w:rPr>
          <w:rFonts w:ascii="David" w:hAnsi="David" w:cs="David"/>
          <w:sz w:val="24"/>
          <w:szCs w:val="24"/>
          <w:rtl/>
        </w:rPr>
        <w:br/>
      </w:r>
      <w:r w:rsidR="00F75468" w:rsidRPr="00A77B85">
        <w:rPr>
          <w:rFonts w:ascii="David" w:hAnsi="David" w:cs="David" w:hint="cs"/>
          <w:sz w:val="24"/>
          <w:szCs w:val="24"/>
          <w:rtl/>
        </w:rPr>
        <w:t xml:space="preserve">3. </w:t>
      </w:r>
      <w:r w:rsidRPr="00A77B85">
        <w:rPr>
          <w:rFonts w:ascii="David" w:hAnsi="David" w:cs="David"/>
          <w:b/>
          <w:sz w:val="24"/>
          <w:szCs w:val="24"/>
          <w:u w:val="single"/>
          <w:rtl/>
        </w:rPr>
        <w:t>סוף שנות ה-60 ושנות ה-70</w:t>
      </w:r>
      <w:r w:rsidRPr="00A77B85">
        <w:rPr>
          <w:rFonts w:ascii="David" w:hAnsi="David" w:cs="David"/>
          <w:sz w:val="24"/>
          <w:szCs w:val="24"/>
          <w:rtl/>
        </w:rPr>
        <w:t xml:space="preserve">: "תקופת ההמתנה" לפני פרוץ מלחמת ששת הימים, מלחמת יום הכיפורים, מהפך 77.  </w:t>
      </w:r>
      <w:r w:rsidR="00A77B85" w:rsidRPr="00A77B85">
        <w:rPr>
          <w:rFonts w:ascii="David" w:hAnsi="David" w:cs="David"/>
          <w:sz w:val="24"/>
          <w:szCs w:val="24"/>
          <w:rtl/>
        </w:rPr>
        <w:br/>
      </w:r>
      <w:r w:rsidR="00A77B85" w:rsidRPr="00A77B85">
        <w:rPr>
          <w:rFonts w:ascii="David" w:hAnsi="David" w:cs="David" w:hint="cs"/>
          <w:sz w:val="24"/>
          <w:szCs w:val="24"/>
          <w:u w:val="single"/>
          <w:rtl/>
        </w:rPr>
        <w:t>פירוט:</w:t>
      </w:r>
      <w:r w:rsidR="00A77B85" w:rsidRPr="00A77B85">
        <w:rPr>
          <w:rFonts w:ascii="David" w:hAnsi="David" w:cs="David" w:hint="cs"/>
          <w:sz w:val="24"/>
          <w:szCs w:val="24"/>
          <w:rtl/>
        </w:rPr>
        <w:t xml:space="preserve"> </w:t>
      </w:r>
      <w:r w:rsidR="00A77B85" w:rsidRPr="00A77B85">
        <w:rPr>
          <w:rFonts w:ascii="David" w:hAnsi="David" w:cs="David"/>
          <w:sz w:val="24"/>
          <w:szCs w:val="24"/>
          <w:rtl/>
        </w:rPr>
        <w:t>ב"</w:t>
      </w:r>
      <w:r w:rsidR="00A77B85" w:rsidRPr="00A77B85">
        <w:rPr>
          <w:rFonts w:ascii="David" w:hAnsi="David" w:cs="David"/>
          <w:b/>
          <w:sz w:val="24"/>
          <w:szCs w:val="24"/>
          <w:rtl/>
        </w:rPr>
        <w:t>תקופת ההמתנה</w:t>
      </w:r>
      <w:r w:rsidR="00A77B85" w:rsidRPr="00A77B85">
        <w:rPr>
          <w:rFonts w:ascii="David" w:hAnsi="David" w:cs="David"/>
          <w:sz w:val="24"/>
          <w:szCs w:val="24"/>
          <w:rtl/>
        </w:rPr>
        <w:t>" לפני פרוץ מלחמת ששת הימים, התייחסו אמצעי התקשורת והדוברים הרשמיים של היישוב לאירועי המלחמה דרך מושגים וניסוחים שנעדרו מהשיח הציוני עד אז. החשש העיקרי היה מפני כוונת מדינות ערב להביא להשמדה מוחלטת של היישוב היהודי, ולהביא עליו כיליון גמור - מסגרת מושגית שלא נכנסה לשיח החברתי והפוליטי במדינת ישראל הצעירה עד לאותה תקופה.</w:t>
      </w:r>
    </w:p>
    <w:p w14:paraId="4CA2B64E" w14:textId="77777777" w:rsidR="00A77B85" w:rsidRPr="000B7FD4" w:rsidRDefault="00A77B85" w:rsidP="00A77B85">
      <w:pPr>
        <w:spacing w:after="0" w:line="360" w:lineRule="auto"/>
        <w:ind w:left="401" w:right="720"/>
        <w:contextualSpacing/>
        <w:jc w:val="both"/>
        <w:rPr>
          <w:rFonts w:ascii="David" w:hAnsi="David" w:cs="David"/>
          <w:sz w:val="24"/>
          <w:szCs w:val="24"/>
        </w:rPr>
      </w:pPr>
      <w:r w:rsidRPr="000B7FD4">
        <w:rPr>
          <w:rFonts w:ascii="David" w:hAnsi="David" w:cs="David"/>
          <w:sz w:val="24"/>
          <w:szCs w:val="24"/>
          <w:rtl/>
        </w:rPr>
        <w:t xml:space="preserve">גם </w:t>
      </w:r>
      <w:r w:rsidRPr="000B7FD4">
        <w:rPr>
          <w:rFonts w:ascii="David" w:hAnsi="David" w:cs="David"/>
          <w:b/>
          <w:sz w:val="24"/>
          <w:szCs w:val="24"/>
          <w:rtl/>
        </w:rPr>
        <w:t>מלחמת יוה"כ</w:t>
      </w:r>
      <w:r w:rsidRPr="000B7FD4">
        <w:rPr>
          <w:rFonts w:ascii="David" w:hAnsi="David" w:cs="David"/>
          <w:sz w:val="24"/>
          <w:szCs w:val="24"/>
          <w:rtl/>
        </w:rPr>
        <w:t xml:space="preserve"> השיבה את נושא השואה לשיח הציבורי. האירועים הקשים, מספר הקורבנות הרב והאיום הממשי על קיומה של המדינה, העלה את חששות העבר מפני השמדה של העם היהודי היושב בארץ ישראל. הטלוויזיה הקרינה תמונות של שבויים ישראלים באקט של חולשה והשפלה והדבר הביא לשבירת המיתוס של הצבר הבלתי מנוצח ולהבנה כי לא תמיד נוכל לנצח "בכוח הכוח". </w:t>
      </w:r>
    </w:p>
    <w:p w14:paraId="5F559E65" w14:textId="4D00233D" w:rsidR="00AD7E60" w:rsidRPr="000B7FD4" w:rsidRDefault="00F75468" w:rsidP="00A77B85">
      <w:pPr>
        <w:spacing w:line="360" w:lineRule="auto"/>
        <w:ind w:left="260" w:right="720"/>
        <w:contextualSpacing/>
        <w:jc w:val="both"/>
        <w:rPr>
          <w:rFonts w:ascii="David" w:hAnsi="David" w:cs="David"/>
          <w:sz w:val="24"/>
          <w:szCs w:val="24"/>
        </w:rPr>
      </w:pPr>
      <w:r>
        <w:rPr>
          <w:rFonts w:ascii="David" w:hAnsi="David" w:cs="David" w:hint="cs"/>
          <w:sz w:val="24"/>
          <w:szCs w:val="24"/>
          <w:rtl/>
        </w:rPr>
        <w:t xml:space="preserve">4. </w:t>
      </w:r>
      <w:r w:rsidR="00000000" w:rsidRPr="000B7FD4">
        <w:rPr>
          <w:rFonts w:ascii="David" w:hAnsi="David" w:cs="David"/>
          <w:b/>
          <w:sz w:val="24"/>
          <w:szCs w:val="24"/>
          <w:u w:val="single"/>
          <w:rtl/>
        </w:rPr>
        <w:t>משנות ה-80 ואילך</w:t>
      </w:r>
      <w:r w:rsidR="00000000" w:rsidRPr="000B7FD4">
        <w:rPr>
          <w:rFonts w:ascii="David" w:hAnsi="David" w:cs="David"/>
          <w:sz w:val="24"/>
          <w:szCs w:val="24"/>
          <w:rtl/>
        </w:rPr>
        <w:t>: תחילת המסעות לפולין</w:t>
      </w:r>
      <w:r w:rsidR="00000000" w:rsidRPr="000B7FD4">
        <w:rPr>
          <w:rFonts w:ascii="David" w:hAnsi="David" w:cs="David"/>
          <w:b/>
          <w:sz w:val="24"/>
          <w:szCs w:val="24"/>
        </w:rPr>
        <w:t>,</w:t>
      </w:r>
      <w:r w:rsidR="00A77B85">
        <w:rPr>
          <w:rFonts w:ascii="David" w:hAnsi="David" w:cs="David" w:hint="cs"/>
          <w:sz w:val="24"/>
          <w:szCs w:val="24"/>
          <w:rtl/>
        </w:rPr>
        <w:t xml:space="preserve"> </w:t>
      </w:r>
      <w:proofErr w:type="spellStart"/>
      <w:r w:rsidR="00C94477">
        <w:rPr>
          <w:rFonts w:ascii="David" w:hAnsi="David" w:cs="David" w:hint="cs"/>
          <w:sz w:val="24"/>
          <w:szCs w:val="24"/>
          <w:rtl/>
        </w:rPr>
        <w:t>עי</w:t>
      </w:r>
      <w:r w:rsidR="00000000" w:rsidRPr="000B7FD4">
        <w:rPr>
          <w:rFonts w:ascii="David" w:hAnsi="David" w:cs="David"/>
          <w:sz w:val="24"/>
          <w:szCs w:val="24"/>
          <w:rtl/>
        </w:rPr>
        <w:t>סקת</w:t>
      </w:r>
      <w:proofErr w:type="spellEnd"/>
      <w:r w:rsidR="00000000" w:rsidRPr="000B7FD4">
        <w:rPr>
          <w:rFonts w:ascii="David" w:hAnsi="David" w:cs="David"/>
          <w:sz w:val="24"/>
          <w:szCs w:val="24"/>
          <w:rtl/>
        </w:rPr>
        <w:t xml:space="preserve"> ג'יבריל, משפט </w:t>
      </w:r>
      <w:proofErr w:type="spellStart"/>
      <w:r w:rsidR="00000000" w:rsidRPr="000B7FD4">
        <w:rPr>
          <w:rFonts w:ascii="David" w:hAnsi="David" w:cs="David"/>
          <w:sz w:val="24"/>
          <w:szCs w:val="24"/>
          <w:rtl/>
        </w:rPr>
        <w:t>דמניוק</w:t>
      </w:r>
      <w:proofErr w:type="spellEnd"/>
      <w:r w:rsidR="00000000" w:rsidRPr="000B7FD4">
        <w:rPr>
          <w:rFonts w:ascii="David" w:hAnsi="David" w:cs="David"/>
          <w:sz w:val="24"/>
          <w:szCs w:val="24"/>
          <w:rtl/>
        </w:rPr>
        <w:t xml:space="preserve">, מלחמת המפרץ, עליית יהודי בריה"מ וסרטי הקולנוע והספרות שיצאו בשנים הללו  (כמו לדוגמה הסדרה החדשה על משפט </w:t>
      </w:r>
      <w:proofErr w:type="spellStart"/>
      <w:r w:rsidR="00000000" w:rsidRPr="000B7FD4">
        <w:rPr>
          <w:rFonts w:ascii="David" w:hAnsi="David" w:cs="David"/>
          <w:sz w:val="24"/>
          <w:szCs w:val="24"/>
          <w:rtl/>
        </w:rPr>
        <w:t>קסטנר</w:t>
      </w:r>
      <w:proofErr w:type="spellEnd"/>
      <w:r w:rsidR="00000000" w:rsidRPr="000B7FD4">
        <w:rPr>
          <w:rFonts w:ascii="David" w:hAnsi="David" w:cs="David"/>
          <w:sz w:val="24"/>
          <w:szCs w:val="24"/>
          <w:rtl/>
        </w:rPr>
        <w:t>).</w:t>
      </w:r>
    </w:p>
    <w:p w14:paraId="7D3BF317" w14:textId="7D1336BB" w:rsidR="00AD7E60" w:rsidRPr="000B7FD4" w:rsidRDefault="00A77B85" w:rsidP="00A77B85">
      <w:pPr>
        <w:spacing w:after="0" w:line="360" w:lineRule="auto"/>
        <w:ind w:left="260" w:right="720" w:hanging="260"/>
        <w:contextualSpacing/>
        <w:jc w:val="both"/>
        <w:rPr>
          <w:rFonts w:ascii="David" w:hAnsi="David" w:cs="David"/>
          <w:sz w:val="24"/>
          <w:szCs w:val="24"/>
        </w:rPr>
      </w:pPr>
      <w:r w:rsidRPr="00A77B85">
        <w:rPr>
          <w:rFonts w:ascii="David" w:hAnsi="David" w:cs="David" w:hint="cs"/>
          <w:b/>
          <w:sz w:val="24"/>
          <w:szCs w:val="24"/>
          <w:rtl/>
        </w:rPr>
        <w:t xml:space="preserve">     </w:t>
      </w:r>
      <w:r w:rsidR="00000000" w:rsidRPr="00A77B85">
        <w:rPr>
          <w:rFonts w:ascii="David" w:hAnsi="David" w:cs="David"/>
          <w:b/>
          <w:sz w:val="24"/>
          <w:szCs w:val="24"/>
          <w:u w:val="single"/>
          <w:rtl/>
        </w:rPr>
        <w:t>פירוט</w:t>
      </w:r>
      <w:r w:rsidR="00000000" w:rsidRPr="000B7FD4">
        <w:rPr>
          <w:rFonts w:ascii="David" w:hAnsi="David" w:cs="David"/>
          <w:b/>
          <w:sz w:val="24"/>
          <w:szCs w:val="24"/>
          <w:rtl/>
        </w:rPr>
        <w:t xml:space="preserve">: </w:t>
      </w:r>
      <w:r w:rsidR="00000000" w:rsidRPr="000B7FD4">
        <w:rPr>
          <w:rFonts w:ascii="David" w:hAnsi="David" w:cs="David"/>
          <w:sz w:val="24"/>
          <w:szCs w:val="24"/>
          <w:rtl/>
        </w:rPr>
        <w:t xml:space="preserve">בתקופת </w:t>
      </w:r>
      <w:r w:rsidR="00000000" w:rsidRPr="000B7FD4">
        <w:rPr>
          <w:rFonts w:ascii="David" w:hAnsi="David" w:cs="David"/>
          <w:b/>
          <w:sz w:val="24"/>
          <w:szCs w:val="24"/>
          <w:rtl/>
        </w:rPr>
        <w:t>מלחמת המפרץ</w:t>
      </w:r>
      <w:r w:rsidR="00000000" w:rsidRPr="000B7FD4">
        <w:rPr>
          <w:rFonts w:ascii="David" w:hAnsi="David" w:cs="David"/>
          <w:sz w:val="24"/>
          <w:szCs w:val="24"/>
          <w:rtl/>
        </w:rPr>
        <w:t xml:space="preserve"> ובפרט בשל הישיבה המשפחתית בחדר האטום, היו רבים שמצאו דמיון רב בין החוויה שעבר הציבור הישראלי במהלך המלחמה, לחוויית השואה כפי שהדהדה בזיכרון הקולקטיבי. האיום מצד עיראק על שימוש בגז כימי העלה מחדש את תיאורי רצח היהודים בתאי הגזים; המלחמה עברה על הציבור כשזה נמצא מבודד בהקשר המשפחתי-אישי (ולא במקלטים משותפים), בהמתנה מותחת וחסרת ודאות לגבי העתיד לבוא; ישראל נדרשה ע"י בעלות הברית להישאר פסיבית ולא להשיב במלחמה; תופעת ה"פליטים" שעזבו את מרכז הארץ לערים רחוקות יותר או לחו"ל והביקורת עליהם. </w:t>
      </w:r>
    </w:p>
    <w:p w14:paraId="5798B362" w14:textId="77777777" w:rsidR="00AD7E60" w:rsidRPr="000B7FD4" w:rsidRDefault="00000000" w:rsidP="00A77B85">
      <w:pPr>
        <w:spacing w:after="0" w:line="360" w:lineRule="auto"/>
        <w:ind w:right="709"/>
        <w:contextualSpacing/>
        <w:jc w:val="both"/>
        <w:rPr>
          <w:rFonts w:ascii="David" w:hAnsi="David" w:cs="David"/>
          <w:sz w:val="24"/>
          <w:szCs w:val="24"/>
        </w:rPr>
      </w:pPr>
      <w:r w:rsidRPr="000B7FD4">
        <w:rPr>
          <w:rFonts w:ascii="David" w:hAnsi="David" w:cs="David"/>
          <w:b/>
          <w:sz w:val="24"/>
          <w:szCs w:val="24"/>
          <w:rtl/>
        </w:rPr>
        <w:t>לסיכום</w:t>
      </w:r>
      <w:r w:rsidRPr="000B7FD4">
        <w:rPr>
          <w:rFonts w:ascii="David" w:hAnsi="David" w:cs="David"/>
          <w:sz w:val="24"/>
          <w:szCs w:val="24"/>
          <w:rtl/>
        </w:rPr>
        <w:t xml:space="preserve">, אירועי השואה שימשו ועודם משמשים, כגורם מעצב לזהות היהודית וחלק בלתי נפרד מהשיח החברתי בישראל. עם השנים חלו מספר שינויים בזיכרון השואה: </w:t>
      </w:r>
    </w:p>
    <w:p w14:paraId="3CF8E2A7" w14:textId="77777777" w:rsidR="00A77B85" w:rsidRDefault="00000000" w:rsidP="00A77B85">
      <w:pPr>
        <w:spacing w:line="360" w:lineRule="auto"/>
        <w:ind w:right="709"/>
        <w:contextualSpacing/>
        <w:jc w:val="both"/>
        <w:rPr>
          <w:rFonts w:ascii="David" w:hAnsi="David" w:cs="David"/>
          <w:sz w:val="24"/>
          <w:szCs w:val="24"/>
          <w:rtl/>
        </w:rPr>
      </w:pPr>
      <w:r w:rsidRPr="000B7FD4">
        <w:rPr>
          <w:rFonts w:ascii="David" w:hAnsi="David" w:cs="David"/>
          <w:b/>
          <w:sz w:val="24"/>
          <w:szCs w:val="24"/>
          <w:rtl/>
        </w:rPr>
        <w:t>- המעבר מהתייחסות קולקטיבית להתייחסות פרטנית-איש</w:t>
      </w:r>
      <w:r w:rsidR="001F1576">
        <w:rPr>
          <w:rFonts w:ascii="David" w:hAnsi="David" w:cs="David" w:hint="cs"/>
          <w:b/>
          <w:sz w:val="24"/>
          <w:szCs w:val="24"/>
          <w:rtl/>
        </w:rPr>
        <w:t>ית</w:t>
      </w:r>
      <w:r w:rsidRPr="000B7FD4">
        <w:rPr>
          <w:rFonts w:ascii="David" w:hAnsi="David" w:cs="David"/>
          <w:sz w:val="24"/>
          <w:szCs w:val="24"/>
          <w:rtl/>
        </w:rPr>
        <w:t xml:space="preserve">. </w:t>
      </w:r>
    </w:p>
    <w:p w14:paraId="18269E01" w14:textId="6FC644BB" w:rsidR="00AD7E60" w:rsidRPr="000B7FD4" w:rsidRDefault="00A77B85" w:rsidP="00A77B85">
      <w:pPr>
        <w:spacing w:line="360" w:lineRule="auto"/>
        <w:ind w:right="709"/>
        <w:contextualSpacing/>
        <w:jc w:val="both"/>
        <w:rPr>
          <w:rFonts w:ascii="David" w:hAnsi="David" w:cs="David"/>
          <w:sz w:val="24"/>
          <w:szCs w:val="24"/>
        </w:rPr>
      </w:pPr>
      <w:r>
        <w:rPr>
          <w:rFonts w:ascii="David" w:hAnsi="David" w:cs="David" w:hint="cs"/>
          <w:sz w:val="24"/>
          <w:szCs w:val="24"/>
          <w:rtl/>
        </w:rPr>
        <w:t xml:space="preserve">- </w:t>
      </w:r>
      <w:r w:rsidR="00000000" w:rsidRPr="000B7FD4">
        <w:rPr>
          <w:rFonts w:ascii="David" w:hAnsi="David" w:cs="David"/>
          <w:sz w:val="24"/>
          <w:szCs w:val="24"/>
          <w:rtl/>
        </w:rPr>
        <w:t xml:space="preserve">החלה התייחסות עמוקה ומקיפה יותר לאירועים עצמם בזמן השואה, להבאת סיפורי הזוועות והחוויות שעברו הניצולים, לתיאור חיי היום-יום של רדיפת היהודים ולהתמודדות של היהודים עמן. </w:t>
      </w:r>
      <w:r>
        <w:rPr>
          <w:rFonts w:ascii="David" w:hAnsi="David" w:cs="David"/>
          <w:sz w:val="24"/>
          <w:szCs w:val="24"/>
          <w:rtl/>
        </w:rPr>
        <w:br/>
      </w:r>
      <w:r>
        <w:rPr>
          <w:rFonts w:ascii="David" w:hAnsi="David" w:cs="David" w:hint="cs"/>
          <w:sz w:val="24"/>
          <w:szCs w:val="24"/>
          <w:rtl/>
        </w:rPr>
        <w:t xml:space="preserve">- </w:t>
      </w:r>
      <w:r w:rsidR="00000000" w:rsidRPr="000B7FD4">
        <w:rPr>
          <w:rFonts w:ascii="David" w:hAnsi="David" w:cs="David"/>
          <w:sz w:val="24"/>
          <w:szCs w:val="24"/>
          <w:rtl/>
        </w:rPr>
        <w:t>גם מצד תיאור המבצעים והמתכננים של הרצח היה שינוי: הנאצים, שתוארו לפני כן כמפלצות לא אנושיות קיבלו שמות ופנים. ההתייחסות אליהם הפסיקה להיות כאל מעין אסון טבע שנפל על האנושות, אלא כאל האנושות באופייה המרושע ביותר.</w:t>
      </w:r>
    </w:p>
    <w:p w14:paraId="35D740CF" w14:textId="2447A65B" w:rsidR="00AD7E60" w:rsidRPr="000B7FD4" w:rsidRDefault="00000000" w:rsidP="00A77B85">
      <w:pPr>
        <w:spacing w:line="360" w:lineRule="auto"/>
        <w:ind w:right="720"/>
        <w:contextualSpacing/>
        <w:jc w:val="both"/>
        <w:rPr>
          <w:rFonts w:ascii="David" w:hAnsi="David" w:cs="David"/>
          <w:sz w:val="24"/>
          <w:szCs w:val="24"/>
        </w:rPr>
      </w:pPr>
      <w:r w:rsidRPr="000B7FD4">
        <w:rPr>
          <w:rFonts w:ascii="David" w:hAnsi="David" w:cs="David"/>
          <w:sz w:val="24"/>
          <w:szCs w:val="24"/>
        </w:rPr>
        <w:t xml:space="preserve">- </w:t>
      </w:r>
      <w:r w:rsidRPr="000B7FD4">
        <w:rPr>
          <w:rFonts w:ascii="David" w:hAnsi="David" w:cs="David"/>
          <w:b/>
          <w:sz w:val="24"/>
          <w:szCs w:val="24"/>
          <w:rtl/>
        </w:rPr>
        <w:t>הפיכתם של כלל הקורבנות לגיבורים</w:t>
      </w:r>
      <w:r w:rsidRPr="000B7FD4">
        <w:rPr>
          <w:rFonts w:ascii="David" w:hAnsi="David" w:cs="David"/>
          <w:sz w:val="24"/>
          <w:szCs w:val="24"/>
          <w:rtl/>
        </w:rPr>
        <w:t>. עם השנים, הוגדרה מחדש תפיסת הגבורה בשואה כך שכללה גם עמידה והישרדות</w:t>
      </w:r>
      <w:r w:rsidR="00A77B85">
        <w:rPr>
          <w:rFonts w:ascii="David" w:hAnsi="David" w:cs="David" w:hint="cs"/>
          <w:sz w:val="24"/>
          <w:szCs w:val="24"/>
          <w:rtl/>
        </w:rPr>
        <w:t>.</w:t>
      </w:r>
      <w:r w:rsidRPr="000B7FD4">
        <w:rPr>
          <w:rFonts w:ascii="David" w:hAnsi="David" w:cs="David"/>
          <w:sz w:val="24"/>
          <w:szCs w:val="24"/>
          <w:rtl/>
        </w:rPr>
        <w:t xml:space="preserve">  </w:t>
      </w:r>
    </w:p>
    <w:sectPr w:rsidR="00AD7E60" w:rsidRPr="000B7FD4" w:rsidSect="000B7FD4">
      <w:pgSz w:w="11906" w:h="16838"/>
      <w:pgMar w:top="720" w:right="720" w:bottom="720" w:left="72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avid">
    <w:panose1 w:val="020E0502060401010101"/>
    <w:charset w:val="00"/>
    <w:family w:val="swiss"/>
    <w:pitch w:val="variable"/>
    <w:sig w:usb0="00000803" w:usb1="00000000" w:usb2="00000000" w:usb3="00000000" w:csb0="00000021" w:csb1="00000000"/>
  </w:font>
  <w:font w:name="Gveret Levin AlefAlefAlef">
    <w:panose1 w:val="00000500000000000000"/>
    <w:charset w:val="B1"/>
    <w:family w:val="modern"/>
    <w:notTrueType/>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75CD6"/>
    <w:multiLevelType w:val="multilevel"/>
    <w:tmpl w:val="8A04451E"/>
    <w:lvl w:ilvl="0">
      <w:start w:val="2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6A42BB"/>
    <w:multiLevelType w:val="hybridMultilevel"/>
    <w:tmpl w:val="2F10E292"/>
    <w:lvl w:ilvl="0" w:tplc="47C6C7F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80250721">
    <w:abstractNumId w:val="0"/>
  </w:num>
  <w:num w:numId="2" w16cid:durableId="635257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E60"/>
    <w:rsid w:val="000B7FD4"/>
    <w:rsid w:val="001F1576"/>
    <w:rsid w:val="007520A9"/>
    <w:rsid w:val="00A77B85"/>
    <w:rsid w:val="00AD7E60"/>
    <w:rsid w:val="00C94477"/>
    <w:rsid w:val="00F754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2498A"/>
  <w15:docId w15:val="{6AC1193E-AB50-49F7-92EE-04018D0CC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4EBC"/>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7D4EBC"/>
    <w:pPr>
      <w:ind w:left="720"/>
      <w:contextualSpacing/>
    </w:p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O9WaHssvl/NKKC37l3htkVBrMA==">AMUW2mUnTUQznEny0pSWFXVxt55JO346Q3mIxU9TyfGPPj5Eg8rYJSogvyK4joib+2zgUzCz31kjSk1dpT1VVNjPGZCEQlnwHM6Tv/7gMHYwBvAOf/aM5dM=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538</Words>
  <Characters>2690</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תלמידה</dc:creator>
  <cp:lastModifiedBy>User</cp:lastModifiedBy>
  <cp:revision>5</cp:revision>
  <dcterms:created xsi:type="dcterms:W3CDTF">2022-09-06T06:40:00Z</dcterms:created>
  <dcterms:modified xsi:type="dcterms:W3CDTF">2022-09-07T20:37:00Z</dcterms:modified>
</cp:coreProperties>
</file>