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6F3D" w14:textId="40635CC5" w:rsidR="00A8653D" w:rsidRPr="005632C4" w:rsidRDefault="00A8653D" w:rsidP="005632C4">
      <w:pPr>
        <w:tabs>
          <w:tab w:val="left" w:pos="1106"/>
          <w:tab w:val="left" w:pos="2366"/>
        </w:tabs>
        <w:spacing w:after="0" w:line="360" w:lineRule="auto"/>
        <w:ind w:right="720"/>
        <w:jc w:val="both"/>
        <w:rPr>
          <w:rFonts w:ascii="David" w:hAnsi="David" w:cs="David"/>
          <w:sz w:val="24"/>
          <w:szCs w:val="24"/>
          <w:rtl/>
        </w:rPr>
      </w:pPr>
      <w:r w:rsidRPr="005632C4">
        <w:rPr>
          <w:rFonts w:ascii="David" w:hAnsi="David" w:cs="David"/>
          <w:sz w:val="24"/>
          <w:szCs w:val="24"/>
          <w:rtl/>
        </w:rPr>
        <w:t>ב</w:t>
      </w:r>
      <w:r w:rsidR="005632C4" w:rsidRPr="005632C4">
        <w:rPr>
          <w:rFonts w:ascii="David" w:hAnsi="David" w:cs="David"/>
          <w:sz w:val="24"/>
          <w:szCs w:val="24"/>
          <w:rtl/>
        </w:rPr>
        <w:t>"</w:t>
      </w:r>
      <w:r w:rsidRPr="005632C4">
        <w:rPr>
          <w:rFonts w:ascii="David" w:hAnsi="David" w:cs="David"/>
          <w:sz w:val="24"/>
          <w:szCs w:val="24"/>
          <w:rtl/>
        </w:rPr>
        <w:t>ה</w:t>
      </w:r>
    </w:p>
    <w:p w14:paraId="3315A894" w14:textId="1E1B2938" w:rsidR="00920E7C" w:rsidRPr="005632C4" w:rsidRDefault="00A8653D" w:rsidP="005632C4">
      <w:pPr>
        <w:tabs>
          <w:tab w:val="left" w:pos="1106"/>
          <w:tab w:val="left" w:pos="2366"/>
        </w:tabs>
        <w:spacing w:after="0" w:line="360" w:lineRule="auto"/>
        <w:ind w:right="720"/>
        <w:jc w:val="both"/>
        <w:rPr>
          <w:rFonts w:ascii="David" w:hAnsi="David" w:cs="Gveret Levin AlefAlefAlef"/>
          <w:b/>
          <w:bCs/>
          <w:u w:val="single"/>
          <w:rtl/>
        </w:rPr>
      </w:pPr>
      <w:r w:rsidRPr="005632C4">
        <w:rPr>
          <w:rFonts w:ascii="David" w:hAnsi="David" w:cs="Gveret Levin AlefAlefAlef"/>
          <w:b/>
          <w:bCs/>
          <w:rtl/>
        </w:rPr>
        <w:t xml:space="preserve">שאלה 16: </w:t>
      </w:r>
      <w:r w:rsidR="00920E7C" w:rsidRPr="005632C4">
        <w:rPr>
          <w:rFonts w:ascii="David" w:hAnsi="David" w:cs="Gveret Levin AlefAlefAlef"/>
          <w:b/>
          <w:bCs/>
          <w:rtl/>
        </w:rPr>
        <w:t xml:space="preserve">תארו 5 מהלכים מרכזיים במלחמת העולם השנייה, ואת השפעתם על גורל היהודים בשואה. </w:t>
      </w:r>
    </w:p>
    <w:p w14:paraId="1308FDF2" w14:textId="77777777" w:rsidR="005632C4" w:rsidRPr="005632C4" w:rsidRDefault="005632C4" w:rsidP="005632C4">
      <w:pPr>
        <w:tabs>
          <w:tab w:val="left" w:pos="1106"/>
          <w:tab w:val="left" w:pos="2366"/>
        </w:tabs>
        <w:spacing w:after="0" w:line="360" w:lineRule="auto"/>
        <w:ind w:right="720"/>
        <w:jc w:val="both"/>
        <w:rPr>
          <w:rFonts w:ascii="David" w:hAnsi="David" w:cs="David"/>
          <w:b/>
          <w:bCs/>
          <w:sz w:val="24"/>
          <w:szCs w:val="24"/>
          <w:u w:val="single"/>
        </w:rPr>
      </w:pPr>
    </w:p>
    <w:p w14:paraId="187DDB2D" w14:textId="3AEB3768"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1. </w:t>
      </w:r>
      <w:r w:rsidRPr="005632C4">
        <w:rPr>
          <w:rFonts w:ascii="David" w:hAnsi="David" w:cs="David"/>
          <w:b/>
          <w:bCs/>
          <w:sz w:val="24"/>
          <w:szCs w:val="24"/>
          <w:rtl/>
        </w:rPr>
        <w:t>פרוץ המלחמה 1.9.1939 –</w:t>
      </w:r>
      <w:r w:rsidRPr="005632C4">
        <w:rPr>
          <w:rFonts w:ascii="David" w:hAnsi="David" w:cs="David"/>
          <w:sz w:val="24"/>
          <w:szCs w:val="24"/>
          <w:rtl/>
        </w:rPr>
        <w:t xml:space="preserve"> פלישת גרמניה לפולין. 17.9</w:t>
      </w:r>
      <w:r w:rsidR="00A8653D" w:rsidRPr="005632C4">
        <w:rPr>
          <w:rFonts w:ascii="David" w:hAnsi="David" w:cs="David"/>
          <w:sz w:val="24"/>
          <w:szCs w:val="24"/>
          <w:rtl/>
        </w:rPr>
        <w:t xml:space="preserve">. </w:t>
      </w:r>
      <w:r w:rsidRPr="005632C4">
        <w:rPr>
          <w:rFonts w:ascii="David" w:hAnsi="David" w:cs="David"/>
          <w:sz w:val="24"/>
          <w:szCs w:val="24"/>
          <w:rtl/>
        </w:rPr>
        <w:t>בעקבות הפלישה הכריזו בריטניה וצרפת (בעלות בריתה של פולין) על מלחמה בגרמניה, אף על פי שבחודשים הראשונים לא התבצעה לחימה בפועל.</w:t>
      </w:r>
    </w:p>
    <w:p w14:paraId="556B2FEC" w14:textId="77777777" w:rsidR="00A8653D"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השפעה על גורל היהודים – שנת הכיבוש הראשונה מתאפיינת בטרור, חוסר וודאות ופגיעה חמורה באמצעי הקיום ובחיים הציבוריים של היהודים.</w:t>
      </w:r>
      <w:r w:rsidR="00A8653D" w:rsidRPr="005632C4">
        <w:rPr>
          <w:rFonts w:ascii="David" w:hAnsi="David" w:cs="David"/>
          <w:sz w:val="24"/>
          <w:szCs w:val="24"/>
          <w:rtl/>
        </w:rPr>
        <w:t xml:space="preserve"> </w:t>
      </w:r>
      <w:r w:rsidR="00A8653D" w:rsidRPr="005632C4">
        <w:rPr>
          <w:rFonts w:ascii="David" w:hAnsi="David" w:cs="David"/>
          <w:sz w:val="24"/>
          <w:szCs w:val="24"/>
          <w:rtl/>
        </w:rPr>
        <w:t>גזירות, גירוש לגטאות (לא מיד), גזל רכוש, סימון, עבודות כפייה, חטיפות, השפלה, הרס בתי כנסת ואיסור קיום תפילות, סגירת בתי ספר, הפרדה בין יהודים לפולנים.</w:t>
      </w:r>
    </w:p>
    <w:p w14:paraId="665202CC" w14:textId="77777777"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איגרת הבזק – ריכוז היהודים והקמת </w:t>
      </w:r>
      <w:proofErr w:type="spellStart"/>
      <w:r w:rsidRPr="005632C4">
        <w:rPr>
          <w:rFonts w:ascii="David" w:hAnsi="David" w:cs="David"/>
          <w:sz w:val="24"/>
          <w:szCs w:val="24"/>
          <w:rtl/>
        </w:rPr>
        <w:t>יודנרטים</w:t>
      </w:r>
      <w:proofErr w:type="spellEnd"/>
    </w:p>
    <w:p w14:paraId="4FE6DCB6" w14:textId="77777777"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בריחה של יהודים לברה"מ, הקמת ארגונים לעזרה הדדית</w:t>
      </w:r>
    </w:p>
    <w:p w14:paraId="66AE08F5" w14:textId="6CB965F9"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הפלישה אף סימלה התחלה של מסע כיבושים רב היקף שהוביל לפגיעה ביהודים בכל רחבי אירופה.</w:t>
      </w:r>
    </w:p>
    <w:p w14:paraId="3D9A8CD9" w14:textId="03FDF1A4"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2. </w:t>
      </w:r>
      <w:r w:rsidRPr="005632C4">
        <w:rPr>
          <w:rFonts w:ascii="David" w:hAnsi="David" w:cs="David"/>
          <w:b/>
          <w:bCs/>
          <w:sz w:val="24"/>
          <w:szCs w:val="24"/>
          <w:rtl/>
        </w:rPr>
        <w:t>הרחבת הכיבושים ב</w:t>
      </w:r>
      <w:r w:rsidR="00A8653D" w:rsidRPr="005632C4">
        <w:rPr>
          <w:rFonts w:ascii="David" w:hAnsi="David" w:cs="David"/>
          <w:b/>
          <w:bCs/>
          <w:sz w:val="24"/>
          <w:szCs w:val="24"/>
          <w:rtl/>
        </w:rPr>
        <w:t>מרכז ו</w:t>
      </w:r>
      <w:r w:rsidRPr="005632C4">
        <w:rPr>
          <w:rFonts w:ascii="David" w:hAnsi="David" w:cs="David"/>
          <w:b/>
          <w:bCs/>
          <w:sz w:val="24"/>
          <w:szCs w:val="24"/>
          <w:rtl/>
        </w:rPr>
        <w:t xml:space="preserve">מערב אירופה </w:t>
      </w:r>
      <w:r w:rsidRPr="005632C4">
        <w:rPr>
          <w:rFonts w:ascii="David" w:hAnsi="David" w:cs="David"/>
          <w:sz w:val="24"/>
          <w:szCs w:val="24"/>
          <w:rtl/>
        </w:rPr>
        <w:t>אביב – קיץ 1940 וב</w:t>
      </w:r>
      <w:r w:rsidRPr="005632C4">
        <w:rPr>
          <w:rFonts w:ascii="David" w:hAnsi="David" w:cs="David"/>
          <w:b/>
          <w:bCs/>
          <w:sz w:val="24"/>
          <w:szCs w:val="24"/>
          <w:rtl/>
        </w:rPr>
        <w:t xml:space="preserve">בלקן </w:t>
      </w:r>
      <w:r w:rsidRPr="005632C4">
        <w:rPr>
          <w:rFonts w:ascii="David" w:hAnsi="David" w:cs="David"/>
          <w:sz w:val="24"/>
          <w:szCs w:val="24"/>
          <w:rtl/>
        </w:rPr>
        <w:t>- קיץ 1941</w:t>
      </w:r>
    </w:p>
    <w:p w14:paraId="6D1A459C" w14:textId="77777777"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השפעה על גורל היהודים –  הרחבת המדיניות האנטישמית והחלתה על יהודי מערב אירופה, צפון אפריקה, יוון ויוגוסלביה. כיבוש מדינות אירופאיות בידי הצבא הגרמני הוביל תמיד לפעילויות אנטי יהודיות בארצות הללו, ומאוחר יותר ליישום של הפתרון הסופי בהן. יתרה מזו, מציאות המלחמה על אדמת אירופה הגבילה את אפשרויות הבריחה של היהודים. מדינות כבושות לא אפשרו הגירה של יהודים מתוכן.</w:t>
      </w:r>
    </w:p>
    <w:p w14:paraId="23ED5747" w14:textId="6F10B09F"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3. </w:t>
      </w:r>
      <w:r w:rsidRPr="005632C4">
        <w:rPr>
          <w:rFonts w:ascii="David" w:hAnsi="David" w:cs="David"/>
          <w:b/>
          <w:bCs/>
          <w:sz w:val="24"/>
          <w:szCs w:val="24"/>
          <w:rtl/>
        </w:rPr>
        <w:t xml:space="preserve">מבצע </w:t>
      </w:r>
      <w:proofErr w:type="spellStart"/>
      <w:r w:rsidRPr="005632C4">
        <w:rPr>
          <w:rFonts w:ascii="David" w:hAnsi="David" w:cs="David"/>
          <w:b/>
          <w:bCs/>
          <w:sz w:val="24"/>
          <w:szCs w:val="24"/>
          <w:rtl/>
        </w:rPr>
        <w:t>ברברוסה</w:t>
      </w:r>
      <w:proofErr w:type="spellEnd"/>
      <w:r w:rsidRPr="005632C4">
        <w:rPr>
          <w:rFonts w:ascii="David" w:hAnsi="David" w:cs="David"/>
          <w:sz w:val="24"/>
          <w:szCs w:val="24"/>
          <w:rtl/>
        </w:rPr>
        <w:t xml:space="preserve"> ב22.6.1941 פלשו הכוחות הגרמנים לברית המועצות, ובכך הפרו את הסכם אי ההתקפה שנחתם בין שתי המדינות. מערכה זו הייתה הגד</w:t>
      </w:r>
      <w:r w:rsidR="00A8653D" w:rsidRPr="005632C4">
        <w:rPr>
          <w:rFonts w:ascii="David" w:hAnsi="David" w:cs="David"/>
          <w:sz w:val="24"/>
          <w:szCs w:val="24"/>
          <w:rtl/>
        </w:rPr>
        <w:t>ו</w:t>
      </w:r>
      <w:r w:rsidRPr="005632C4">
        <w:rPr>
          <w:rFonts w:ascii="David" w:hAnsi="David" w:cs="David"/>
          <w:sz w:val="24"/>
          <w:szCs w:val="24"/>
          <w:rtl/>
        </w:rPr>
        <w:t>לה ביותר במהלך מלחמת העולם השנייה והמשיכה עד לכניעתה של גרמניה לבריה"מ ב9.5.1945.</w:t>
      </w:r>
    </w:p>
    <w:p w14:paraId="6339FDF5" w14:textId="6E54C263"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מנקודת מבטה של גרמניה הנאצית, למערכה על ברית המועצות היה אופי אידיאולוגי מובהק. המלחמה היא מלחמה בבולשביזם. לכן שיטת הלחימה והיחס לאזרחים הם ברוטליים וקיצונים מאוד.</w:t>
      </w:r>
    </w:p>
    <w:p w14:paraId="42D07E90" w14:textId="5224A841"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השפעה על גורל היהודים – </w:t>
      </w:r>
      <w:r w:rsidR="00A8653D" w:rsidRPr="005632C4">
        <w:rPr>
          <w:rFonts w:ascii="David" w:hAnsi="David" w:cs="David"/>
          <w:sz w:val="24"/>
          <w:szCs w:val="24"/>
          <w:rtl/>
        </w:rPr>
        <w:t xml:space="preserve">תחילת ההשמדה ההמונית. </w:t>
      </w:r>
      <w:r w:rsidRPr="005632C4">
        <w:rPr>
          <w:rFonts w:ascii="David" w:hAnsi="David" w:cs="David"/>
          <w:sz w:val="24"/>
          <w:szCs w:val="24"/>
          <w:rtl/>
        </w:rPr>
        <w:t xml:space="preserve">בתעמולה הנאצית נתפסו היהודים כמייצגי השיטה הבולשביקית (שיטה יהודית- בולשביקית). לכן המערכה נגד ברית המועצות הייתה מערכה מכוונת גם כנגד היהודים. יחידות </w:t>
      </w:r>
      <w:proofErr w:type="spellStart"/>
      <w:r w:rsidRPr="005632C4">
        <w:rPr>
          <w:rFonts w:ascii="David" w:hAnsi="David" w:cs="David"/>
          <w:sz w:val="24"/>
          <w:szCs w:val="24"/>
          <w:rtl/>
        </w:rPr>
        <w:t>האיינזצגרופן</w:t>
      </w:r>
      <w:proofErr w:type="spellEnd"/>
      <w:r w:rsidRPr="005632C4">
        <w:rPr>
          <w:rFonts w:ascii="David" w:hAnsi="David" w:cs="David"/>
          <w:sz w:val="24"/>
          <w:szCs w:val="24"/>
          <w:rtl/>
        </w:rPr>
        <w:t>, שתפקידן היה לחסל גורמים לא רצויים בבריה"מ, רצחו לרוב יהודים. תחילה רצחו רק גברים אך אחר כך התרחב הרצח גם לנשים ולילדים. במסגרת רצח היהודים בבורות ירי נרצחו בערך 1.5 מיליון יהודים.</w:t>
      </w:r>
    </w:p>
    <w:p w14:paraId="53943CFE" w14:textId="77777777"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יתרה מזו, הרצח שהתחיל בברית המועצות התפשט לשאר אירופה והוביל ליישום הפתרון הסופי בכל המדינות הכבושות.</w:t>
      </w:r>
    </w:p>
    <w:p w14:paraId="60401997" w14:textId="14C25113"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4. </w:t>
      </w:r>
      <w:r w:rsidRPr="005632C4">
        <w:rPr>
          <w:rFonts w:ascii="David" w:hAnsi="David" w:cs="David"/>
          <w:b/>
          <w:bCs/>
          <w:sz w:val="24"/>
          <w:szCs w:val="24"/>
          <w:rtl/>
        </w:rPr>
        <w:t xml:space="preserve">קרבות המפנה – </w:t>
      </w:r>
      <w:r w:rsidR="006D14F4" w:rsidRPr="005632C4">
        <w:rPr>
          <w:rFonts w:ascii="David" w:hAnsi="David" w:cs="David"/>
          <w:b/>
          <w:bCs/>
          <w:sz w:val="24"/>
          <w:szCs w:val="24"/>
          <w:rtl/>
        </w:rPr>
        <w:t xml:space="preserve">הראשון שבהם - </w:t>
      </w:r>
      <w:r w:rsidRPr="005632C4">
        <w:rPr>
          <w:rFonts w:ascii="David" w:hAnsi="David" w:cs="David"/>
          <w:b/>
          <w:bCs/>
          <w:sz w:val="24"/>
          <w:szCs w:val="24"/>
          <w:rtl/>
        </w:rPr>
        <w:t>קרב סטלינגרד</w:t>
      </w:r>
      <w:r w:rsidR="006D14F4" w:rsidRPr="005632C4">
        <w:rPr>
          <w:rFonts w:ascii="David" w:hAnsi="David" w:cs="David"/>
          <w:b/>
          <w:bCs/>
          <w:sz w:val="24"/>
          <w:szCs w:val="24"/>
          <w:rtl/>
        </w:rPr>
        <w:t xml:space="preserve"> (יולי 42 – פברואר 43)</w:t>
      </w:r>
      <w:r w:rsidRPr="005632C4">
        <w:rPr>
          <w:rFonts w:ascii="David" w:hAnsi="David" w:cs="David"/>
          <w:b/>
          <w:bCs/>
          <w:sz w:val="24"/>
          <w:szCs w:val="24"/>
          <w:rtl/>
        </w:rPr>
        <w:t>, אל-</w:t>
      </w:r>
      <w:proofErr w:type="spellStart"/>
      <w:r w:rsidRPr="005632C4">
        <w:rPr>
          <w:rFonts w:ascii="David" w:hAnsi="David" w:cs="David"/>
          <w:b/>
          <w:bCs/>
          <w:sz w:val="24"/>
          <w:szCs w:val="24"/>
          <w:rtl/>
        </w:rPr>
        <w:t>עלמיין</w:t>
      </w:r>
      <w:proofErr w:type="spellEnd"/>
      <w:r w:rsidR="006D14F4" w:rsidRPr="005632C4">
        <w:rPr>
          <w:rFonts w:ascii="David" w:hAnsi="David" w:cs="David"/>
          <w:b/>
          <w:bCs/>
          <w:sz w:val="24"/>
          <w:szCs w:val="24"/>
          <w:rtl/>
        </w:rPr>
        <w:t xml:space="preserve"> (אוקטובר-נובמבר 42)</w:t>
      </w:r>
      <w:r w:rsidRPr="005632C4">
        <w:rPr>
          <w:rFonts w:ascii="David" w:hAnsi="David" w:cs="David"/>
          <w:b/>
          <w:bCs/>
          <w:sz w:val="24"/>
          <w:szCs w:val="24"/>
          <w:rtl/>
        </w:rPr>
        <w:t>,</w:t>
      </w:r>
      <w:r w:rsidRPr="005632C4">
        <w:rPr>
          <w:rFonts w:ascii="David" w:hAnsi="David" w:cs="David"/>
          <w:sz w:val="24"/>
          <w:szCs w:val="24"/>
          <w:rtl/>
        </w:rPr>
        <w:t xml:space="preserve"> </w:t>
      </w:r>
      <w:r w:rsidRPr="005632C4">
        <w:rPr>
          <w:rFonts w:ascii="David" w:hAnsi="David" w:cs="David"/>
          <w:b/>
          <w:bCs/>
          <w:sz w:val="24"/>
          <w:szCs w:val="24"/>
          <w:rtl/>
        </w:rPr>
        <w:t xml:space="preserve">מבצע </w:t>
      </w:r>
      <w:proofErr w:type="spellStart"/>
      <w:r w:rsidRPr="005632C4">
        <w:rPr>
          <w:rFonts w:ascii="David" w:hAnsi="David" w:cs="David"/>
          <w:b/>
          <w:bCs/>
          <w:sz w:val="24"/>
          <w:szCs w:val="24"/>
          <w:rtl/>
        </w:rPr>
        <w:t>בגרטיון</w:t>
      </w:r>
      <w:proofErr w:type="spellEnd"/>
      <w:r w:rsidR="006D14F4" w:rsidRPr="005632C4">
        <w:rPr>
          <w:rFonts w:ascii="David" w:hAnsi="David" w:cs="David"/>
          <w:b/>
          <w:bCs/>
          <w:sz w:val="24"/>
          <w:szCs w:val="24"/>
          <w:rtl/>
        </w:rPr>
        <w:t xml:space="preserve"> (שחרור בלארוס בקיץ 44 ) </w:t>
      </w:r>
      <w:r w:rsidRPr="005632C4">
        <w:rPr>
          <w:rFonts w:ascii="David" w:hAnsi="David" w:cs="David"/>
          <w:b/>
          <w:bCs/>
          <w:sz w:val="24"/>
          <w:szCs w:val="24"/>
          <w:rtl/>
        </w:rPr>
        <w:t xml:space="preserve"> והפלישה לנורמנדי</w:t>
      </w:r>
      <w:r w:rsidRPr="005632C4">
        <w:rPr>
          <w:rFonts w:ascii="David" w:hAnsi="David" w:cs="David"/>
          <w:sz w:val="24"/>
          <w:szCs w:val="24"/>
          <w:rtl/>
        </w:rPr>
        <w:t xml:space="preserve"> </w:t>
      </w:r>
      <w:r w:rsidR="006D14F4" w:rsidRPr="005632C4">
        <w:rPr>
          <w:rFonts w:ascii="David" w:hAnsi="David" w:cs="David"/>
          <w:b/>
          <w:bCs/>
          <w:sz w:val="24"/>
          <w:szCs w:val="24"/>
          <w:rtl/>
        </w:rPr>
        <w:t>(</w:t>
      </w:r>
      <w:r w:rsidRPr="005632C4">
        <w:rPr>
          <w:rFonts w:ascii="David" w:hAnsi="David" w:cs="David"/>
          <w:b/>
          <w:bCs/>
          <w:sz w:val="24"/>
          <w:szCs w:val="24"/>
          <w:rtl/>
        </w:rPr>
        <w:t xml:space="preserve">יוני </w:t>
      </w:r>
      <w:r w:rsidR="006D14F4" w:rsidRPr="005632C4">
        <w:rPr>
          <w:rFonts w:ascii="David" w:hAnsi="David" w:cs="David"/>
          <w:b/>
          <w:bCs/>
          <w:sz w:val="24"/>
          <w:szCs w:val="24"/>
          <w:rtl/>
        </w:rPr>
        <w:t>)</w:t>
      </w:r>
      <w:r w:rsidRPr="005632C4">
        <w:rPr>
          <w:rFonts w:ascii="David" w:hAnsi="David" w:cs="David"/>
          <w:b/>
          <w:bCs/>
          <w:sz w:val="24"/>
          <w:szCs w:val="24"/>
          <w:rtl/>
        </w:rPr>
        <w:t>1944</w:t>
      </w:r>
      <w:r w:rsidRPr="005632C4">
        <w:rPr>
          <w:rFonts w:ascii="David" w:hAnsi="David" w:cs="David"/>
          <w:sz w:val="24"/>
          <w:szCs w:val="24"/>
          <w:rtl/>
        </w:rPr>
        <w:t>– שחרור רוב שטחי בריה"מ שנותרו תחת שליטה גרמנית, שחרור שטחים בפולין, פתיחת חזית שנייה במערב אירופה ותחילת שחרור השטחים הכבושים במערב</w:t>
      </w:r>
      <w:r w:rsidR="006D14F4" w:rsidRPr="005632C4">
        <w:rPr>
          <w:rFonts w:ascii="David" w:hAnsi="David" w:cs="David"/>
          <w:sz w:val="24"/>
          <w:szCs w:val="24"/>
          <w:rtl/>
        </w:rPr>
        <w:t>.</w:t>
      </w:r>
    </w:p>
    <w:p w14:paraId="1622B05E" w14:textId="3A1926F3"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השפעה על גורל היהודים – נסיגת הצבא הגרמני לוותה בהמשך </w:t>
      </w:r>
      <w:r w:rsidR="00504B39" w:rsidRPr="005632C4">
        <w:rPr>
          <w:rFonts w:ascii="David" w:hAnsi="David" w:cs="David"/>
          <w:sz w:val="24"/>
          <w:szCs w:val="24"/>
          <w:rtl/>
        </w:rPr>
        <w:t xml:space="preserve">ואף האצת </w:t>
      </w:r>
      <w:r w:rsidRPr="005632C4">
        <w:rPr>
          <w:rFonts w:ascii="David" w:hAnsi="David" w:cs="David"/>
          <w:sz w:val="24"/>
          <w:szCs w:val="24"/>
          <w:rtl/>
        </w:rPr>
        <w:t>הרצח ובחיסול הגטאות והמחנות בשטחי ברה"מ.</w:t>
      </w:r>
      <w:r w:rsidR="006D14F4" w:rsidRPr="005632C4">
        <w:rPr>
          <w:rFonts w:ascii="David" w:hAnsi="David" w:cs="David"/>
          <w:sz w:val="24"/>
          <w:szCs w:val="24"/>
          <w:rtl/>
        </w:rPr>
        <w:t xml:space="preserve"> </w:t>
      </w:r>
      <w:r w:rsidR="00504B39" w:rsidRPr="005632C4">
        <w:rPr>
          <w:rFonts w:ascii="David" w:hAnsi="David" w:cs="David"/>
          <w:sz w:val="24"/>
          <w:szCs w:val="24"/>
          <w:rtl/>
        </w:rPr>
        <w:t>מצד שני – יותר יהודים הושארו בחיים בגלל הצורך של הגרמנים בידיים עובדות.</w:t>
      </w:r>
    </w:p>
    <w:p w14:paraId="6807A800" w14:textId="77777777"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 xml:space="preserve">5. </w:t>
      </w:r>
      <w:r w:rsidRPr="005632C4">
        <w:rPr>
          <w:rFonts w:ascii="David" w:hAnsi="David" w:cs="David"/>
          <w:b/>
          <w:bCs/>
          <w:sz w:val="24"/>
          <w:szCs w:val="24"/>
          <w:rtl/>
        </w:rPr>
        <w:t>סיום המלחמה באירופה – כניעת גרמניה</w:t>
      </w:r>
      <w:r w:rsidRPr="005632C4">
        <w:rPr>
          <w:rFonts w:ascii="David" w:hAnsi="David" w:cs="David"/>
          <w:sz w:val="24"/>
          <w:szCs w:val="24"/>
          <w:rtl/>
        </w:rPr>
        <w:t xml:space="preserve"> ב9-8 במאי 1945</w:t>
      </w:r>
    </w:p>
    <w:p w14:paraId="00DC6BA0" w14:textId="7C5BCC4F" w:rsidR="00920E7C" w:rsidRPr="005632C4" w:rsidRDefault="00920E7C" w:rsidP="005632C4">
      <w:pPr>
        <w:tabs>
          <w:tab w:val="left" w:pos="8549"/>
        </w:tabs>
        <w:spacing w:after="0" w:line="360" w:lineRule="auto"/>
        <w:jc w:val="both"/>
        <w:rPr>
          <w:rFonts w:ascii="David" w:hAnsi="David" w:cs="David"/>
          <w:sz w:val="24"/>
          <w:szCs w:val="24"/>
          <w:rtl/>
        </w:rPr>
      </w:pPr>
      <w:r w:rsidRPr="005632C4">
        <w:rPr>
          <w:rFonts w:ascii="David" w:hAnsi="David" w:cs="David"/>
          <w:sz w:val="24"/>
          <w:szCs w:val="24"/>
          <w:rtl/>
        </w:rPr>
        <w:t>השפעה על גורל היהודים – הפסקת יישום הפתרון הסופי בכל המרחב האירופי. עם זאת, היו השורדים צריכים להתמודד עם האובדן האישי והציבורי</w:t>
      </w:r>
      <w:r w:rsidR="005632C4" w:rsidRPr="005632C4">
        <w:rPr>
          <w:rFonts w:ascii="David" w:hAnsi="David" w:cs="David"/>
          <w:sz w:val="24"/>
          <w:szCs w:val="24"/>
          <w:rtl/>
        </w:rPr>
        <w:t xml:space="preserve"> ולבנות את חייהם מחדש.</w:t>
      </w:r>
    </w:p>
    <w:p w14:paraId="4C37279A" w14:textId="77777777" w:rsidR="00694D2B" w:rsidRPr="005632C4" w:rsidRDefault="00694D2B" w:rsidP="005632C4">
      <w:pPr>
        <w:spacing w:line="360" w:lineRule="auto"/>
        <w:rPr>
          <w:rFonts w:ascii="David" w:hAnsi="David" w:cs="David"/>
          <w:sz w:val="24"/>
          <w:szCs w:val="24"/>
        </w:rPr>
      </w:pPr>
    </w:p>
    <w:sectPr w:rsidR="00694D2B" w:rsidRPr="005632C4" w:rsidSect="00A8653D">
      <w:pgSz w:w="11906" w:h="16838"/>
      <w:pgMar w:top="720" w:right="720"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77533"/>
    <w:multiLevelType w:val="hybridMultilevel"/>
    <w:tmpl w:val="2A2AE52A"/>
    <w:lvl w:ilvl="0" w:tplc="41445B5C">
      <w:start w:val="1"/>
      <w:numFmt w:val="decimal"/>
      <w:lvlText w:val="%1."/>
      <w:lvlJc w:val="left"/>
      <w:pPr>
        <w:tabs>
          <w:tab w:val="num" w:pos="785"/>
        </w:tabs>
        <w:ind w:left="785" w:right="720" w:hanging="360"/>
      </w:pPr>
      <w:rPr>
        <w:rFonts w:ascii="Calibri" w:eastAsia="Times New Roman" w:hAnsi="Calibri" w:cs="Calibri" w:hint="default"/>
        <w:color w:val="auto"/>
      </w:rPr>
    </w:lvl>
    <w:lvl w:ilvl="1" w:tplc="DFDECBA8">
      <w:start w:val="1"/>
      <w:numFmt w:val="hebrew1"/>
      <w:lvlText w:val="%2."/>
      <w:lvlJc w:val="left"/>
      <w:pPr>
        <w:tabs>
          <w:tab w:val="num" w:pos="1440"/>
        </w:tabs>
        <w:ind w:left="1440" w:right="1440" w:hanging="360"/>
      </w:pPr>
      <w:rPr>
        <w:rFonts w:ascii="Times New Roman" w:eastAsia="Times New Roman" w:hAnsi="Times New Roman" w:cs="David"/>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16cid:durableId="58885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7C"/>
    <w:rsid w:val="00504B39"/>
    <w:rsid w:val="005632C4"/>
    <w:rsid w:val="00694D2B"/>
    <w:rsid w:val="006D14F4"/>
    <w:rsid w:val="00920E7C"/>
    <w:rsid w:val="00A8653D"/>
    <w:rsid w:val="00A87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E0BA"/>
  <w15:chartTrackingRefBased/>
  <w15:docId w15:val="{C48CEA65-8ACD-4B1A-B810-AB6A6E32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E7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450</Words>
  <Characters>2253</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2022-09-07T11:16:00Z</dcterms:created>
  <dcterms:modified xsi:type="dcterms:W3CDTF">2022-09-07T18:01:00Z</dcterms:modified>
</cp:coreProperties>
</file>