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b w:val="1"/>
          <w:sz w:val="18"/>
          <w:szCs w:val="18"/>
          <w:rtl w:val="1"/>
        </w:rPr>
        <w:t xml:space="preserve">בס</w:t>
      </w:r>
      <w:r w:rsidDel="00000000" w:rsidR="00000000" w:rsidRPr="00000000">
        <w:rPr>
          <w:b w:val="1"/>
          <w:sz w:val="18"/>
          <w:szCs w:val="18"/>
          <w:rtl w:val="1"/>
        </w:rPr>
        <w:t xml:space="preserve">"</w:t>
      </w:r>
      <w:r w:rsidDel="00000000" w:rsidR="00000000" w:rsidRPr="00000000">
        <w:rPr>
          <w:b w:val="1"/>
          <w:sz w:val="18"/>
          <w:szCs w:val="18"/>
          <w:rtl w:val="1"/>
        </w:rPr>
        <w:t xml:space="preserve">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jc w:val="right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jc w:val="center"/>
        <w:rPr>
          <w:rFonts w:ascii="David" w:cs="David" w:eastAsia="David" w:hAnsi="David"/>
          <w:color w:val="7030a0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color w:val="7030a0"/>
          <w:sz w:val="28"/>
          <w:szCs w:val="28"/>
          <w:u w:val="single"/>
          <w:rtl w:val="1"/>
        </w:rPr>
        <w:t xml:space="preserve">מטלת</w:t>
      </w:r>
      <w:r w:rsidDel="00000000" w:rsidR="00000000" w:rsidRPr="00000000">
        <w:rPr>
          <w:rFonts w:ascii="David" w:cs="David" w:eastAsia="David" w:hAnsi="David"/>
          <w:color w:val="7030a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7030a0"/>
          <w:sz w:val="28"/>
          <w:szCs w:val="28"/>
          <w:u w:val="single"/>
          <w:rtl w:val="1"/>
        </w:rPr>
        <w:t xml:space="preserve">סיום</w:t>
      </w:r>
      <w:r w:rsidDel="00000000" w:rsidR="00000000" w:rsidRPr="00000000">
        <w:rPr>
          <w:rFonts w:ascii="David" w:cs="David" w:eastAsia="David" w:hAnsi="David"/>
          <w:color w:val="7030a0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7030a0"/>
          <w:sz w:val="28"/>
          <w:szCs w:val="28"/>
          <w:u w:val="single"/>
          <w:rtl w:val="1"/>
        </w:rPr>
        <w:t xml:space="preserve">ההשתלמות</w:t>
      </w:r>
    </w:p>
    <w:p w:rsidR="00000000" w:rsidDel="00000000" w:rsidP="00000000" w:rsidRDefault="00000000" w:rsidRPr="00000000" w14:paraId="00000004">
      <w:pPr>
        <w:bidi w:val="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מגישות</w:t>
      </w:r>
      <w:r w:rsidDel="00000000" w:rsidR="00000000" w:rsidRPr="00000000">
        <w:rPr>
          <w:b w:val="1"/>
          <w:sz w:val="24"/>
          <w:szCs w:val="24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</w:t>
      </w:r>
      <w:r w:rsidDel="00000000" w:rsidR="00000000" w:rsidRPr="00000000">
        <w:rPr>
          <w:sz w:val="24"/>
          <w:szCs w:val="24"/>
          <w:rtl w:val="1"/>
        </w:rPr>
        <w:t xml:space="preserve">איריס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אלטרגוט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: 028493435</w:t>
      </w:r>
    </w:p>
    <w:p w:rsidR="00000000" w:rsidDel="00000000" w:rsidP="00000000" w:rsidRDefault="00000000" w:rsidRPr="00000000" w14:paraId="00000005">
      <w:pPr>
        <w:bidi w:val="1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4"/>
          <w:szCs w:val="24"/>
          <w:rtl w:val="1"/>
        </w:rPr>
        <w:t xml:space="preserve">              </w:t>
      </w:r>
      <w:r w:rsidDel="00000000" w:rsidR="00000000" w:rsidRPr="00000000">
        <w:rPr>
          <w:sz w:val="24"/>
          <w:szCs w:val="24"/>
          <w:rtl w:val="1"/>
        </w:rPr>
        <w:t xml:space="preserve">רונית</w:t>
      </w:r>
      <w:r w:rsidDel="00000000" w:rsidR="00000000" w:rsidRPr="00000000">
        <w:rPr>
          <w:sz w:val="24"/>
          <w:szCs w:val="24"/>
          <w:rtl w:val="1"/>
        </w:rPr>
        <w:t xml:space="preserve"> </w:t>
      </w:r>
      <w:r w:rsidDel="00000000" w:rsidR="00000000" w:rsidRPr="00000000">
        <w:rPr>
          <w:sz w:val="24"/>
          <w:szCs w:val="24"/>
          <w:rtl w:val="1"/>
        </w:rPr>
        <w:t xml:space="preserve">הכסטר</w:t>
      </w:r>
      <w:r w:rsidDel="00000000" w:rsidR="00000000" w:rsidRPr="00000000">
        <w:rPr>
          <w:sz w:val="24"/>
          <w:szCs w:val="24"/>
          <w:rtl w:val="1"/>
        </w:rPr>
        <w:t xml:space="preserve">     </w:t>
      </w:r>
      <w:r w:rsidDel="00000000" w:rsidR="00000000" w:rsidRPr="00000000">
        <w:rPr>
          <w:sz w:val="24"/>
          <w:szCs w:val="24"/>
          <w:rtl w:val="1"/>
        </w:rPr>
        <w:t xml:space="preserve">ת</w:t>
      </w:r>
      <w:r w:rsidDel="00000000" w:rsidR="00000000" w:rsidRPr="00000000">
        <w:rPr>
          <w:sz w:val="24"/>
          <w:szCs w:val="24"/>
          <w:rtl w:val="1"/>
        </w:rPr>
        <w:t xml:space="preserve">.</w:t>
      </w:r>
      <w:r w:rsidDel="00000000" w:rsidR="00000000" w:rsidRPr="00000000">
        <w:rPr>
          <w:sz w:val="24"/>
          <w:szCs w:val="24"/>
          <w:rtl w:val="1"/>
        </w:rPr>
        <w:t xml:space="preserve">ז</w:t>
      </w:r>
      <w:r w:rsidDel="00000000" w:rsidR="00000000" w:rsidRPr="00000000">
        <w:rPr>
          <w:sz w:val="24"/>
          <w:szCs w:val="24"/>
          <w:rtl w:val="1"/>
        </w:rPr>
        <w:t xml:space="preserve">: 033044306</w:t>
      </w:r>
    </w:p>
    <w:p w:rsidR="00000000" w:rsidDel="00000000" w:rsidP="00000000" w:rsidRDefault="00000000" w:rsidRPr="00000000" w14:paraId="00000006">
      <w:pPr>
        <w:bidi w:val="1"/>
        <w:jc w:val="both"/>
        <w:rPr>
          <w:rFonts w:ascii="David" w:cs="David" w:eastAsia="David" w:hAnsi="David"/>
          <w:color w:val="7030a0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color w:val="7030a0"/>
          <w:sz w:val="28"/>
          <w:szCs w:val="28"/>
          <w:u w:val="single"/>
          <w:rtl w:val="1"/>
        </w:rPr>
        <w:t xml:space="preserve">מבוא</w:t>
      </w:r>
    </w:p>
    <w:p w:rsidR="00000000" w:rsidDel="00000000" w:rsidP="00000000" w:rsidRDefault="00000000" w:rsidRPr="00000000" w14:paraId="00000007">
      <w:pPr>
        <w:bidi w:val="1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במטלה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התמקדנו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-3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נושאים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מרכזיים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מתוכנית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באזרחות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שלטון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החוק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זכויות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טבעיות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וגישות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חברתיות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כלכליות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חיברנו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3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בצירוף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מחוון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מפורט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בנוסף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כתבנו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רפלקציה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תהליך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בהשתלמות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שכלל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מישוב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התכנים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יישומם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ורעיונות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לתכני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ההשתלמות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הבאה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jc w:val="both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jc w:val="both"/>
        <w:rPr>
          <w:rFonts w:ascii="David" w:cs="David" w:eastAsia="David" w:hAnsi="David"/>
          <w:color w:val="7030a0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color w:val="7030a0"/>
          <w:sz w:val="28"/>
          <w:szCs w:val="28"/>
          <w:u w:val="single"/>
          <w:rtl w:val="1"/>
        </w:rPr>
        <w:t xml:space="preserve">המטלה</w:t>
      </w:r>
    </w:p>
    <w:p w:rsidR="00000000" w:rsidDel="00000000" w:rsidP="00000000" w:rsidRDefault="00000000" w:rsidRPr="00000000" w14:paraId="0000000B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במטלה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התמקדנו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-3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נושאים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מרכזיים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מתוכנית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הלימודים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גישות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כלכליות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חברתיות</w:t>
      </w:r>
    </w:p>
    <w:p w:rsidR="00000000" w:rsidDel="00000000" w:rsidP="00000000" w:rsidRDefault="00000000" w:rsidRPr="00000000" w14:paraId="0000000D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זכויות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טבעיות</w:t>
      </w:r>
    </w:p>
    <w:p w:rsidR="00000000" w:rsidDel="00000000" w:rsidP="00000000" w:rsidRDefault="00000000" w:rsidRPr="00000000" w14:paraId="0000000E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עיקרון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שלטון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החוק</w:t>
      </w:r>
    </w:p>
    <w:p w:rsidR="00000000" w:rsidDel="00000000" w:rsidP="00000000" w:rsidRDefault="00000000" w:rsidRPr="00000000" w14:paraId="0000000F">
      <w:pPr>
        <w:bidi w:val="1"/>
        <w:jc w:val="both"/>
        <w:rPr>
          <w:rFonts w:ascii="David" w:cs="David" w:eastAsia="David" w:hAnsi="David"/>
          <w:b w:val="1"/>
          <w:sz w:val="28"/>
          <w:szCs w:val="2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8"/>
          <w:szCs w:val="28"/>
          <w:u w:val="single"/>
          <w:rtl w:val="1"/>
        </w:rPr>
        <w:t xml:space="preserve">שאלות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u w:val="single"/>
          <w:rtl w:val="1"/>
        </w:rPr>
        <w:t xml:space="preserve">לדוגמא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ראשונה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שאלת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אירוע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צדדי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1.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לאחרונה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התפרסם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שנגד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עיר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מסוים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נפתחה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חקירה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בחשש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לעבירות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שוחד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החשד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ניצל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מעמדו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לקדם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תכניות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בנייה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בניגוד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לנהלים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הרגילים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וקיבל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בגינן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טובות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הנאה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יוגש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ראש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אישום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יאלץ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להפסיק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כהונתו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עברות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מסוג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פוגעות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באמון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הציבור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במערכת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משפט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מתייחס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אליהן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בחומרה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ציין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הצג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סוג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העבריינות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שראש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חשוד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הסבר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תשובתך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הקטע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u w:val="single"/>
          <w:rtl w:val="1"/>
        </w:rPr>
        <w:t xml:space="preserve">תשובה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-30%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הצגה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-30%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-40%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ציין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עבריינות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שלטונית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אישית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הצגה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עבירה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החוק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שנעשית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הנושא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בתפקיד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ציבורי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שמנצל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מעמדו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וסמכותו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העבירה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עבריינות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שלטונית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אישית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נעשית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למען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אינטרס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הסבר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ביסוס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הראה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שראש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ניצל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מעמדו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ופעל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בניגוד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לנהלים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תמורת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טובות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הנאה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קישור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הבין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שראש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שנושא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בתפקיד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ציבורי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החוק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תוך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ניצול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תפקידו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למען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אינטרס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טובות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הנאה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שניה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שאלת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אירוע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צדדי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2.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באחד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העיתונים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הכלכליים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פורסמה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ידיעה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תוכנת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הריגול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חברת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סייבר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ישראלית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היכולה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להפוך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מכשירי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סלולאריים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לכלי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ריגול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מתוחכמים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שמפעיל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לשלוף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קבצים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לגשת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למיקום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הטלפון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ואפילו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להפעיל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המצלמה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והמיקרופון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בעקבות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תלונות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הועמדו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לדין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מפעילי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התוכנה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ממנהלי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חברת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הסייבר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ביקשה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למסור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עדותה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בדלתיים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סגורות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קהל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לדבריה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בעקבות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האיומים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ובני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משפחתה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קיבלו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חוששת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התנכלויות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נוספות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השופט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דחה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בקשתה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וחייב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להעיד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הסביר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המנהלת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לנהוג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הכללים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המחייבים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העדים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והוסיף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שמשמר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המשפט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יוכל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לשמור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הסדר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להבטיח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שלומה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ציין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הצג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הזכות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המשתמשים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שעלולה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להיפגע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השתלת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התוכנה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במכשיר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הסלולארי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הסבר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ציין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הצג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העיקרון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בשמו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דחה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השופט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בקשתה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מנהלת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הבנק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הסבר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כיצד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עיקרון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בקטע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b w:val="1"/>
          <w:color w:val="000000"/>
          <w:sz w:val="24"/>
          <w:szCs w:val="2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u w:val="single"/>
          <w:rtl w:val="1"/>
        </w:rPr>
        <w:t xml:space="preserve">תשובה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-30%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הצגה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-30%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-40%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ציון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הזכות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לפרטיות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שנגזרת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מהזכות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לכבוד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הצגה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הזכות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לחיות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חשיפה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התערבות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חדירה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לחייו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לגופו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לחפציו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זכות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נגזרת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מהזכות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לכבוד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הזכות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חשוף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/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נתון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ליחס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משפיל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מזלזל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מבזה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פוגעני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לטיפול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יחס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אכזרי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ובלתי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אנושי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).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הסבר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ביסוס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הראה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שתוכנית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הריגול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מאפשרת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חדירה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לפרטיו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האישיים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מכשיר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הסלולר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קישור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הבין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שזו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חדירה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לחייו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רשותו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שפוגעת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בזכותו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לפרטיות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ובזכות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בכבודו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ציון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עקרון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שלטון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החוק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הצגה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חובת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הציות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חלה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האזרחים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ורשויות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השלטון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כפופים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לחוק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קיימת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מערכת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חוקים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שכולם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חייבים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לציית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החוק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נחקק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הרשות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המחוקקת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בתהליך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קבוע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בחוק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בהליך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דמוקרטי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החוק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מפורסם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החוק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מגדיר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מותר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אסור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u w:val="single"/>
          <w:rtl w:val="1"/>
        </w:rPr>
        <w:t xml:space="preserve">הסבר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ביסוס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הראה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שהשופט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חייב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המנהלת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למסור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עדות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הכללים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המחייבים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קישור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התלמיד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הבין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כללים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שכולם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חייבים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לציית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כולם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שווים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בפני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החוק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וכך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לידי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ביטוי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עיקרון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שלטון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החוק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jc w:val="both"/>
        <w:rPr>
          <w:rFonts w:ascii="David" w:cs="David" w:eastAsia="David" w:hAnsi="David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שלישית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שאלת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u w:val="single"/>
          <w:rtl w:val="1"/>
        </w:rPr>
        <w:t xml:space="preserve">עמדה</w:t>
      </w:r>
    </w:p>
    <w:p w:rsidR="00000000" w:rsidDel="00000000" w:rsidP="00000000" w:rsidRDefault="00000000" w:rsidRPr="00000000" w14:paraId="00000052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1.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ממשלת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החליטה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להטיל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מיוחד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פעמיים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בנימוק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מזהמים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הסביבה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שטענו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מיוחד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יפגע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דווקא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במשפחות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ברוכות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ילדים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הנמצאות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במעמד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כלכלי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נמוך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3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הסוברים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הטלת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הכלים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פעמיים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מוצדק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הסבורים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איננו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מוצדק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עמדתך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בעניין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נימוקים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המתבססים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מושגים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מתחום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האזרחות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-</w:t>
      </w:r>
    </w:p>
    <w:p w:rsidR="00000000" w:rsidDel="00000000" w:rsidP="00000000" w:rsidRDefault="00000000" w:rsidRPr="00000000" w14:paraId="00000056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נימוק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התומך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בעמדתך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ונימוק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לעמדה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המנוגדת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7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בכתיבתך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הקפד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הרכיבים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58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טענה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-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עמדתך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ברור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9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הנמקת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עמדתך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נימוק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לעמדתך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המבוסס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מושגים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וידע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מתחום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האזרחות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A">
      <w:pPr>
        <w:bidi w:val="1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הנמקת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העמדה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המנוגדת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הצג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נימוק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לעמדה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המנוגדת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לעמדתך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המבוסס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מושגים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וידע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מלימודי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האזרחות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u w:val="single"/>
          <w:rtl w:val="1"/>
        </w:rPr>
        <w:t xml:space="preserve">תשובה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-30%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הצגה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-20%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הסבר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-50%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טענה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בעד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הטלת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כלים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פעמיים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-36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-36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     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מבססת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דעתי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המושג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הזכות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לחיים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ובטחון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הזכות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לחיים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ובטחון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אומרת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לפגוע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בחייו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ובגופו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/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זכות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לחיים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ולביטחון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אישי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שחובת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להגן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בשטחה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הטלת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תביא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לצמצום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בצריכה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כלים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שמזהמים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הסביבה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ויכולים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לסכן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בריאותם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התושבים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וכך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תישמר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הזכות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לחיים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ובטחון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מבססת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עמדה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נגדית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המושג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גישה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סוציאל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דמוקרטית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גישה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מדגישה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השוויון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החברתי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כלכלי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פני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החירות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הכלכלית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גישה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 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המדינה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אחראית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ומחויבת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לדאוג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לרווחתם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החברתית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כלכלית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האזרחים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לצמצם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פערים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שכבות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האוכלוסייה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לקדם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שוויון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הזדמנויות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ליצור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רשת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ביטחון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סוציאלי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רחבה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ולהבטיח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קיום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בכבוד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jc w:val="both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העלאת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המס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כלים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פעמיים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תפגע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במשפחות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ברוכות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ילדים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שעבורן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זהו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מוצר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צריכה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בסיסי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שמלכתחילה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הוצאות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רבות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ותגדיל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הפער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החברתי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כלכלי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בחברה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ביישום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תקנה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תיתכן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פגיעה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בגישה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הסוציאל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דמוקרטית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firstLine="0"/>
        <w:jc w:val="both"/>
        <w:rPr>
          <w:rFonts w:ascii="David" w:cs="David" w:eastAsia="David" w:hAnsi="David"/>
          <w:color w:val="000000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25" w:right="0" w:firstLine="0"/>
        <w:jc w:val="both"/>
        <w:rPr>
          <w:rFonts w:ascii="David" w:cs="David" w:eastAsia="David" w:hAnsi="David"/>
          <w:b w:val="1"/>
          <w:i w:val="0"/>
          <w:smallCaps w:val="0"/>
          <w:strike w:val="0"/>
          <w:color w:val="7030a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25" w:right="0" w:firstLine="0"/>
        <w:jc w:val="both"/>
        <w:rPr>
          <w:rFonts w:ascii="David" w:cs="David" w:eastAsia="David" w:hAnsi="David"/>
          <w:b w:val="1"/>
          <w:i w:val="0"/>
          <w:smallCaps w:val="0"/>
          <w:strike w:val="0"/>
          <w:color w:val="7030a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7030a0"/>
          <w:sz w:val="32"/>
          <w:szCs w:val="32"/>
          <w:u w:val="single"/>
          <w:shd w:fill="auto" w:val="clear"/>
          <w:vertAlign w:val="baseline"/>
          <w:rtl w:val="1"/>
        </w:rPr>
        <w:t xml:space="preserve">רפלקציה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25" w:right="0" w:firstLine="0"/>
        <w:jc w:val="both"/>
        <w:rPr>
          <w:rFonts w:ascii="David" w:cs="David" w:eastAsia="David" w:hAnsi="David"/>
          <w:b w:val="1"/>
          <w:i w:val="0"/>
          <w:smallCaps w:val="0"/>
          <w:strike w:val="0"/>
          <w:color w:val="7030a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25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ההשתלמות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טובה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ועסקה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מגוונים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והערכת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בנייה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יחידות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לימוד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לסוגיה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השונים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כולל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החידוש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מהשנה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מטלת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שמשלבת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פרויקט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המעורבות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החברתית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ביקור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בספריה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הלאומית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וחשיפה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לאוצרות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התנסות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במתודיקה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'.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25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ההשתלמות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חידשה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כתיבת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המחוון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למשימות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המתודיקה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החדשה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שהתנסינו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בספריה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הלאומית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25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ההשתלמות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ממש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מבחינה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מרגישות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הופך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למדריכות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באזרחות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מקצועיות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וטובות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25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בשיעורים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ניישם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המתודיקה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לעבודה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שמתאימה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לסוגיות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הנתונות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במחלוקת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בחברה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הישראלית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סוגיית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השבת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לבנות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מחוונים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בנושאים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מגוונים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למשימות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הערכה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פרמטרים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שונים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-3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בסיסית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בינונית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ומיטבית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25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מבקשות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בהשתלמות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הבאה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נוספים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שיכולים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לשדרג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אותנו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בעבודת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ההדרכה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המקצועי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הרגשי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דוגמת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סדנה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מקוצרת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האימון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האישי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מיינדפולנס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NLP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לסייע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בהתמודדות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נכונה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ומיטבית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בהדרכה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המודרכים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25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25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            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תודה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!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20" w:before="0" w:line="360" w:lineRule="auto"/>
        <w:ind w:left="425" w:right="0" w:firstLine="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