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815C762" w:rsidR="008869BD" w:rsidRDefault="002E6683">
      <w:pPr>
        <w:ind w:left="720" w:hanging="360"/>
      </w:pPr>
      <w:r>
        <w:rPr>
          <w:rFonts w:hint="cs"/>
          <w:rtl/>
        </w:rPr>
        <w:t>תומר גביש</w:t>
      </w:r>
    </w:p>
    <w:p w14:paraId="00000002" w14:textId="1304D423" w:rsidR="008869BD" w:rsidRDefault="002E6683" w:rsidP="002E6683">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color w:val="000000"/>
          <w:rtl/>
        </w:rPr>
        <w:t xml:space="preserve">הנושא הנבחר: </w:t>
      </w:r>
      <w:r>
        <w:rPr>
          <w:rFonts w:ascii="David" w:eastAsia="David" w:hAnsi="David" w:cs="David" w:hint="cs"/>
          <w:color w:val="000000"/>
          <w:rtl/>
        </w:rPr>
        <w:t>זכויות האדם והאזרח</w:t>
      </w:r>
    </w:p>
    <w:p w14:paraId="00000003" w14:textId="72399128" w:rsidR="008869BD" w:rsidRDefault="002E6683">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color w:val="000000"/>
          <w:rtl/>
        </w:rPr>
        <w:t xml:space="preserve">אוכלוסיית היעד: </w:t>
      </w:r>
      <w:r w:rsidR="0056717C">
        <w:rPr>
          <w:rFonts w:ascii="David" w:eastAsia="David" w:hAnsi="David" w:cs="David" w:hint="cs"/>
          <w:color w:val="000000"/>
          <w:rtl/>
        </w:rPr>
        <w:t>שכבה ט</w:t>
      </w:r>
    </w:p>
    <w:p w14:paraId="00000005" w14:textId="65A912D8" w:rsidR="008869BD" w:rsidRDefault="002E6683" w:rsidP="002E6683">
      <w:pPr>
        <w:numPr>
          <w:ilvl w:val="0"/>
          <w:numId w:val="1"/>
        </w:numPr>
        <w:pBdr>
          <w:top w:val="nil"/>
          <w:left w:val="nil"/>
          <w:bottom w:val="nil"/>
          <w:right w:val="nil"/>
          <w:between w:val="nil"/>
        </w:pBdr>
        <w:spacing w:before="240" w:after="120" w:line="360" w:lineRule="auto"/>
        <w:rPr>
          <w:rFonts w:ascii="David" w:eastAsia="David" w:hAnsi="David" w:cs="David"/>
        </w:rPr>
      </w:pPr>
      <w:r>
        <w:rPr>
          <w:rFonts w:ascii="David" w:eastAsia="David" w:hAnsi="David" w:cs="David"/>
          <w:color w:val="000000"/>
          <w:rtl/>
        </w:rPr>
        <w:t>מטרות השיעור</w:t>
      </w:r>
      <w:r w:rsidR="0056717C">
        <w:rPr>
          <w:rFonts w:ascii="David" w:eastAsia="David" w:hAnsi="David" w:cs="David" w:hint="cs"/>
          <w:color w:val="000000"/>
          <w:rtl/>
        </w:rPr>
        <w:t xml:space="preserve">: </w:t>
      </w:r>
      <w:r>
        <w:rPr>
          <w:rFonts w:ascii="David" w:eastAsia="David" w:hAnsi="David" w:cs="David" w:hint="cs"/>
          <w:color w:val="000000"/>
          <w:rtl/>
        </w:rPr>
        <w:t xml:space="preserve">יפנימו את התנגשות הזכויות באמצעות תוכנת - </w:t>
      </w:r>
      <w:r w:rsidR="0056717C">
        <w:rPr>
          <w:rFonts w:ascii="David" w:eastAsia="David" w:hAnsi="David" w:cs="David" w:hint="cs"/>
          <w:color w:val="000000"/>
          <w:rtl/>
        </w:rPr>
        <w:t xml:space="preserve"> </w:t>
      </w:r>
      <w:r w:rsidR="00CB6AE4">
        <w:rPr>
          <w:rFonts w:ascii="David" w:eastAsia="David" w:hAnsi="David" w:cs="David" w:hint="cs"/>
          <w:color w:val="000000"/>
        </w:rPr>
        <w:t>STORYBOARD</w:t>
      </w:r>
      <w:r w:rsidR="00CB6AE4" w:rsidRPr="00CB6AE4">
        <w:rPr>
          <w:rFonts w:ascii="David" w:eastAsia="David" w:hAnsi="David" w:cs="David" w:hint="cs"/>
          <w:color w:val="FFC000"/>
        </w:rPr>
        <w:t>THAT</w:t>
      </w:r>
    </w:p>
    <w:p w14:paraId="00000006" w14:textId="267C96FE" w:rsidR="008869BD" w:rsidRDefault="002E6683">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hint="cs"/>
          <w:color w:val="000000"/>
          <w:rtl/>
        </w:rPr>
        <w:t>התוצרים המצופים : התלמידים יכנו תוצר ויעלו אותו למערכת המודול. כל תלמיד יתבקש להגיב על שני תוצרים של חברים לכיתה.</w:t>
      </w:r>
    </w:p>
    <w:p w14:paraId="00000007" w14:textId="77777777" w:rsidR="008869BD" w:rsidRDefault="002E6683">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color w:val="000000"/>
          <w:rtl/>
        </w:rPr>
        <w:t xml:space="preserve">הנחיות לפעילות כולל חומרים רלוונטיים להפעלה :  </w:t>
      </w:r>
    </w:p>
    <w:p w14:paraId="0000000C" w14:textId="44370C41" w:rsidR="008869BD" w:rsidRDefault="002E6683">
      <w:pPr>
        <w:pBdr>
          <w:top w:val="nil"/>
          <w:left w:val="nil"/>
          <w:bottom w:val="nil"/>
          <w:right w:val="nil"/>
          <w:between w:val="nil"/>
        </w:pBdr>
        <w:spacing w:before="240" w:after="120" w:line="276" w:lineRule="auto"/>
        <w:ind w:left="720"/>
        <w:rPr>
          <w:rFonts w:ascii="David" w:eastAsia="David" w:hAnsi="David" w:cs="David"/>
          <w:color w:val="000000"/>
          <w:sz w:val="22"/>
          <w:szCs w:val="22"/>
          <w:rtl/>
        </w:rPr>
      </w:pPr>
      <w:r>
        <w:rPr>
          <w:rFonts w:ascii="David" w:eastAsia="David" w:hAnsi="David" w:cs="David" w:hint="cs"/>
          <w:color w:val="000000"/>
          <w:sz w:val="22"/>
          <w:szCs w:val="22"/>
          <w:rtl/>
        </w:rPr>
        <w:t xml:space="preserve">הדרכה ולימוד הכלי </w:t>
      </w:r>
      <w:r>
        <w:rPr>
          <w:rFonts w:ascii="David" w:eastAsia="David" w:hAnsi="David" w:cs="David"/>
          <w:color w:val="000000"/>
          <w:sz w:val="22"/>
          <w:szCs w:val="22"/>
          <w:rtl/>
        </w:rPr>
        <w:t>–</w:t>
      </w:r>
      <w:r>
        <w:rPr>
          <w:rFonts w:ascii="David" w:eastAsia="David" w:hAnsi="David" w:cs="David" w:hint="cs"/>
          <w:color w:val="000000"/>
          <w:sz w:val="22"/>
          <w:szCs w:val="22"/>
          <w:rtl/>
        </w:rPr>
        <w:t xml:space="preserve"> 20 דק'</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 xml:space="preserve">יצרה ועבודה בקבוצה </w:t>
      </w:r>
      <w:r>
        <w:rPr>
          <w:rFonts w:ascii="David" w:eastAsia="David" w:hAnsi="David" w:cs="David"/>
          <w:color w:val="000000"/>
          <w:sz w:val="22"/>
          <w:szCs w:val="22"/>
          <w:rtl/>
        </w:rPr>
        <w:t>–</w:t>
      </w:r>
      <w:r>
        <w:rPr>
          <w:rFonts w:ascii="David" w:eastAsia="David" w:hAnsi="David" w:cs="David" w:hint="cs"/>
          <w:color w:val="000000"/>
          <w:sz w:val="22"/>
          <w:szCs w:val="22"/>
          <w:rtl/>
        </w:rPr>
        <w:t xml:space="preserve"> 20 דק' </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 xml:space="preserve">תגובה לתוצרים של אחרים </w:t>
      </w:r>
      <w:r>
        <w:rPr>
          <w:rFonts w:ascii="David" w:eastAsia="David" w:hAnsi="David" w:cs="David"/>
          <w:color w:val="000000"/>
          <w:sz w:val="22"/>
          <w:szCs w:val="22"/>
          <w:rtl/>
        </w:rPr>
        <w:t>–</w:t>
      </w:r>
      <w:r>
        <w:rPr>
          <w:rFonts w:ascii="David" w:eastAsia="David" w:hAnsi="David" w:cs="David" w:hint="cs"/>
          <w:color w:val="000000"/>
          <w:sz w:val="22"/>
          <w:szCs w:val="22"/>
          <w:rtl/>
        </w:rPr>
        <w:t xml:space="preserve"> 10 דק'</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 xml:space="preserve">דיון והצגת תוצרים במליאה </w:t>
      </w:r>
      <w:r>
        <w:rPr>
          <w:rFonts w:ascii="David" w:eastAsia="David" w:hAnsi="David" w:cs="David"/>
          <w:color w:val="000000"/>
          <w:sz w:val="22"/>
          <w:szCs w:val="22"/>
          <w:rtl/>
        </w:rPr>
        <w:t>–</w:t>
      </w:r>
      <w:r>
        <w:rPr>
          <w:rFonts w:ascii="David" w:eastAsia="David" w:hAnsi="David" w:cs="David" w:hint="cs"/>
          <w:color w:val="000000"/>
          <w:sz w:val="22"/>
          <w:szCs w:val="22"/>
          <w:rtl/>
        </w:rPr>
        <w:t xml:space="preserve"> 20 דק'</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 xml:space="preserve">סיכום במליאה </w:t>
      </w:r>
      <w:r>
        <w:rPr>
          <w:rFonts w:ascii="David" w:eastAsia="David" w:hAnsi="David" w:cs="David"/>
          <w:color w:val="000000"/>
          <w:sz w:val="22"/>
          <w:szCs w:val="22"/>
          <w:rtl/>
        </w:rPr>
        <w:t>–</w:t>
      </w:r>
      <w:r>
        <w:rPr>
          <w:rFonts w:ascii="David" w:eastAsia="David" w:hAnsi="David" w:cs="David" w:hint="cs"/>
          <w:color w:val="000000"/>
          <w:sz w:val="22"/>
          <w:szCs w:val="22"/>
          <w:rtl/>
        </w:rPr>
        <w:t xml:space="preserve"> 10 דק'</w:t>
      </w:r>
    </w:p>
    <w:p w14:paraId="6FCBF70E" w14:textId="7ED1C2C0" w:rsidR="0056717C" w:rsidRDefault="0056717C">
      <w:pPr>
        <w:pBdr>
          <w:top w:val="nil"/>
          <w:left w:val="nil"/>
          <w:bottom w:val="nil"/>
          <w:right w:val="nil"/>
          <w:between w:val="nil"/>
        </w:pBdr>
        <w:spacing w:before="240" w:after="120" w:line="276" w:lineRule="auto"/>
        <w:ind w:left="720"/>
        <w:rPr>
          <w:rFonts w:ascii="David" w:eastAsia="David" w:hAnsi="David" w:cs="David"/>
          <w:color w:val="000000"/>
          <w:sz w:val="22"/>
          <w:szCs w:val="22"/>
          <w:rtl/>
        </w:rPr>
      </w:pPr>
    </w:p>
    <w:p w14:paraId="00000012" w14:textId="2E046322" w:rsidR="008869BD" w:rsidRDefault="002E6683" w:rsidP="002E6683">
      <w:pPr>
        <w:pBdr>
          <w:top w:val="nil"/>
          <w:left w:val="nil"/>
          <w:bottom w:val="nil"/>
          <w:right w:val="nil"/>
          <w:between w:val="nil"/>
        </w:pBdr>
        <w:spacing w:before="240" w:after="120" w:line="276" w:lineRule="auto"/>
        <w:ind w:left="720"/>
        <w:rPr>
          <w:rFonts w:ascii="David" w:eastAsia="David" w:hAnsi="David" w:cs="David"/>
          <w:color w:val="000000"/>
        </w:rPr>
      </w:pPr>
      <w:r>
        <w:rPr>
          <w:rFonts w:ascii="David" w:eastAsia="David" w:hAnsi="David" w:cs="David" w:hint="cs"/>
          <w:color w:val="000000"/>
          <w:sz w:val="22"/>
          <w:szCs w:val="22"/>
          <w:rtl/>
        </w:rPr>
        <w:t>מהלך השיעור :</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הצגה כללית של הזכויות בהמשך לשיעור הקודם כתזכורת.</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לאחר מכן, הקרנת סרטון המדריך על הכלי החדש שנלמד והדגמה על הלוח.</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בנוסף, מתן אפשרות להתנסות בכלי החדש לפני ביצוע הלמידה.</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 xml:space="preserve">בהמשך </w:t>
      </w:r>
      <w:r>
        <w:rPr>
          <w:rFonts w:ascii="David" w:eastAsia="David" w:hAnsi="David" w:cs="David"/>
          <w:color w:val="000000"/>
          <w:sz w:val="22"/>
          <w:szCs w:val="22"/>
          <w:rtl/>
        </w:rPr>
        <w:t>–</w:t>
      </w:r>
      <w:r>
        <w:rPr>
          <w:rFonts w:ascii="David" w:eastAsia="David" w:hAnsi="David" w:cs="David" w:hint="cs"/>
          <w:color w:val="000000"/>
          <w:sz w:val="22"/>
          <w:szCs w:val="22"/>
          <w:rtl/>
        </w:rPr>
        <w:t xml:space="preserve"> כל קבוצה בוחרת זכות ומציגה את הפרתה או יישומה ע"י הכלי.</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 xml:space="preserve">לאחר ביצוע המשימה </w:t>
      </w:r>
      <w:r>
        <w:rPr>
          <w:rFonts w:ascii="David" w:eastAsia="David" w:hAnsi="David" w:cs="David"/>
          <w:color w:val="000000"/>
          <w:sz w:val="22"/>
          <w:szCs w:val="22"/>
          <w:rtl/>
        </w:rPr>
        <w:t>–</w:t>
      </w:r>
      <w:r>
        <w:rPr>
          <w:rFonts w:ascii="David" w:eastAsia="David" w:hAnsi="David" w:cs="David" w:hint="cs"/>
          <w:color w:val="000000"/>
          <w:sz w:val="22"/>
          <w:szCs w:val="22"/>
          <w:rtl/>
        </w:rPr>
        <w:t xml:space="preserve"> יש להעלות את המטלה לפורום הכיתתי במרחב הלמידה.</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התלמידים יגיבו על התוצרים של החברים שלהם.</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קבוצה שמעוניינת תציג את התוצר במליאה ותסביר כיצד הכלי החדש תרם ליישום הנושא.</w:t>
      </w:r>
      <w:r>
        <w:rPr>
          <w:rFonts w:ascii="David" w:eastAsia="David" w:hAnsi="David" w:cs="David"/>
          <w:color w:val="000000"/>
          <w:sz w:val="22"/>
          <w:szCs w:val="22"/>
          <w:rtl/>
        </w:rPr>
        <w:br/>
      </w:r>
      <w:r>
        <w:rPr>
          <w:rFonts w:ascii="David" w:eastAsia="David" w:hAnsi="David" w:cs="David"/>
          <w:color w:val="000000"/>
          <w:sz w:val="22"/>
          <w:szCs w:val="22"/>
          <w:rtl/>
        </w:rPr>
        <w:br/>
      </w:r>
      <w:bookmarkStart w:id="0" w:name="_gjdgxs" w:colFirst="0" w:colLast="0"/>
      <w:bookmarkEnd w:id="0"/>
      <w:r>
        <w:rPr>
          <w:rFonts w:ascii="David" w:eastAsia="David" w:hAnsi="David" w:cs="David"/>
          <w:color w:val="000000"/>
          <w:rtl/>
        </w:rPr>
        <w:t xml:space="preserve">כלים </w:t>
      </w:r>
      <w:r w:rsidR="00CB6AE4">
        <w:rPr>
          <w:rFonts w:ascii="David" w:eastAsia="David" w:hAnsi="David" w:cs="David" w:hint="cs"/>
          <w:color w:val="000000"/>
          <w:rtl/>
        </w:rPr>
        <w:t>דיגיטליי</w:t>
      </w:r>
      <w:r w:rsidR="00CB6AE4">
        <w:rPr>
          <w:rFonts w:ascii="David" w:eastAsia="David" w:hAnsi="David" w:cs="David" w:hint="eastAsia"/>
          <w:color w:val="000000"/>
          <w:rtl/>
        </w:rPr>
        <w:t>ם</w:t>
      </w:r>
      <w:r>
        <w:rPr>
          <w:rFonts w:ascii="David" w:eastAsia="David" w:hAnsi="David" w:cs="David"/>
          <w:color w:val="000000"/>
          <w:rtl/>
        </w:rPr>
        <w:t>:</w:t>
      </w:r>
    </w:p>
    <w:p w14:paraId="0FEC2569" w14:textId="77777777" w:rsidR="00444C20" w:rsidRDefault="00CB6AE4">
      <w:pPr>
        <w:pBdr>
          <w:top w:val="nil"/>
          <w:left w:val="nil"/>
          <w:bottom w:val="nil"/>
          <w:right w:val="nil"/>
          <w:between w:val="nil"/>
        </w:pBdr>
        <w:spacing w:before="240" w:after="120" w:line="360" w:lineRule="auto"/>
        <w:ind w:left="363"/>
        <w:rPr>
          <w:rFonts w:ascii="David" w:eastAsia="David" w:hAnsi="David" w:cs="David"/>
          <w:color w:val="000000"/>
          <w:rtl/>
        </w:rPr>
      </w:pPr>
      <w:r>
        <w:rPr>
          <w:rFonts w:ascii="David" w:eastAsia="David" w:hAnsi="David" w:cs="David"/>
          <w:noProof/>
          <w:color w:val="000000"/>
        </w:rPr>
        <w:drawing>
          <wp:inline distT="0" distB="0" distL="0" distR="0" wp14:anchorId="7179B0CD" wp14:editId="5032E53A">
            <wp:extent cx="3067050" cy="504825"/>
            <wp:effectExtent l="0" t="0" r="0" b="9525"/>
            <wp:docPr id="1" name="תמונה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67050" cy="504825"/>
                    </a:xfrm>
                    <a:prstGeom prst="rect">
                      <a:avLst/>
                    </a:prstGeom>
                  </pic:spPr>
                </pic:pic>
              </a:graphicData>
            </a:graphic>
          </wp:inline>
        </w:drawing>
      </w:r>
      <w:r>
        <w:rPr>
          <w:rFonts w:ascii="David" w:eastAsia="David" w:hAnsi="David" w:cs="David" w:hint="cs"/>
          <w:color w:val="000000"/>
          <w:rtl/>
        </w:rPr>
        <w:t xml:space="preserve"> </w:t>
      </w:r>
    </w:p>
    <w:p w14:paraId="1F092CCF" w14:textId="77777777" w:rsidR="00444C20" w:rsidRDefault="00444C20">
      <w:pPr>
        <w:pBdr>
          <w:top w:val="nil"/>
          <w:left w:val="nil"/>
          <w:bottom w:val="nil"/>
          <w:right w:val="nil"/>
          <w:between w:val="nil"/>
        </w:pBdr>
        <w:spacing w:before="240" w:after="120" w:line="360" w:lineRule="auto"/>
        <w:ind w:left="363"/>
        <w:rPr>
          <w:rFonts w:ascii="David" w:eastAsia="David" w:hAnsi="David" w:cs="David"/>
          <w:color w:val="000000"/>
          <w:rtl/>
        </w:rPr>
      </w:pPr>
    </w:p>
    <w:p w14:paraId="6FAEDB04" w14:textId="77777777" w:rsidR="00444C20" w:rsidRDefault="00444C20">
      <w:pPr>
        <w:pBdr>
          <w:top w:val="nil"/>
          <w:left w:val="nil"/>
          <w:bottom w:val="nil"/>
          <w:right w:val="nil"/>
          <w:between w:val="nil"/>
        </w:pBdr>
        <w:spacing w:before="240" w:after="120" w:line="360" w:lineRule="auto"/>
        <w:ind w:left="363"/>
        <w:rPr>
          <w:rFonts w:ascii="David" w:eastAsia="David" w:hAnsi="David" w:cs="David"/>
          <w:color w:val="000000"/>
          <w:rtl/>
        </w:rPr>
      </w:pPr>
    </w:p>
    <w:p w14:paraId="22151F5E" w14:textId="77777777" w:rsidR="00444C20" w:rsidRPr="00554F9C" w:rsidRDefault="00444C20" w:rsidP="00444C20">
      <w:pPr>
        <w:pStyle w:val="a5"/>
        <w:bidi/>
        <w:ind w:left="363" w:firstLine="0"/>
        <w:contextualSpacing w:val="0"/>
        <w:rPr>
          <w:rFonts w:cs="David"/>
          <w:b/>
          <w:bCs/>
          <w:sz w:val="24"/>
          <w:szCs w:val="24"/>
        </w:rPr>
      </w:pPr>
      <w:r>
        <w:rPr>
          <w:rFonts w:cs="David" w:hint="cs"/>
          <w:b/>
          <w:bCs/>
          <w:sz w:val="24"/>
          <w:szCs w:val="24"/>
          <w:rtl/>
        </w:rPr>
        <w:lastRenderedPageBreak/>
        <w:t xml:space="preserve">חלק ב'- כתבו רפלקציה בה תתבוננו על יחידת הלימוד שיצרתם למול מיומנויות המאה ה-21 ואסטרטגיות החשיבה מסדר גבוה שנלמדו במהלך הקורס. </w:t>
      </w:r>
    </w:p>
    <w:p w14:paraId="6B602209" w14:textId="77777777" w:rsidR="00444C20" w:rsidRDefault="00444C20" w:rsidP="00444C20">
      <w:pPr>
        <w:pStyle w:val="a5"/>
        <w:bidi/>
        <w:contextualSpacing w:val="0"/>
        <w:rPr>
          <w:rFonts w:ascii="David" w:hAnsi="David" w:cs="David"/>
          <w:sz w:val="24"/>
          <w:szCs w:val="24"/>
          <w:rtl/>
        </w:rPr>
      </w:pPr>
      <w:r>
        <w:rPr>
          <w:rFonts w:ascii="David" w:hAnsi="David" w:cs="David" w:hint="cs"/>
          <w:sz w:val="24"/>
          <w:szCs w:val="24"/>
          <w:rtl/>
        </w:rPr>
        <w:t xml:space="preserve">עליך להתייחס ברפלקציה לנקודות הבאות : </w:t>
      </w:r>
    </w:p>
    <w:p w14:paraId="1F6116D1" w14:textId="6ECA8BBF" w:rsidR="00444C20" w:rsidRPr="003B4E68" w:rsidRDefault="00444C20" w:rsidP="00444C20">
      <w:pPr>
        <w:pStyle w:val="a5"/>
        <w:bidi/>
        <w:contextualSpacing w:val="0"/>
        <w:rPr>
          <w:rFonts w:ascii="David" w:hAnsi="David" w:cs="David"/>
          <w:sz w:val="24"/>
          <w:szCs w:val="24"/>
        </w:rPr>
      </w:pPr>
      <w:r>
        <w:rPr>
          <w:rFonts w:ascii="David" w:hAnsi="David" w:cs="David" w:hint="cs"/>
          <w:sz w:val="24"/>
          <w:szCs w:val="24"/>
          <w:rtl/>
        </w:rPr>
        <w:t>אילו מיומנויות המאה ה-21</w:t>
      </w:r>
    </w:p>
    <w:p w14:paraId="32895BAC" w14:textId="7751A618" w:rsidR="00444C20" w:rsidRDefault="00444C20" w:rsidP="00444C20">
      <w:pPr>
        <w:pStyle w:val="NormalWeb"/>
        <w:shd w:val="clear" w:color="auto" w:fill="FFFFFF"/>
        <w:bidi/>
        <w:spacing w:after="0" w:afterAutospacing="0"/>
        <w:rPr>
          <w:rFonts w:ascii="Arial" w:hAnsi="Arial" w:cs="Arial"/>
          <w:color w:val="666154"/>
        </w:rPr>
      </w:pPr>
      <w:r>
        <w:rPr>
          <w:rFonts w:ascii="Arial" w:hAnsi="Arial" w:cs="Arial"/>
          <w:b/>
          <w:bCs/>
          <w:color w:val="666154"/>
          <w:rtl/>
        </w:rPr>
        <w:t>תהליכי חשיבה ה</w:t>
      </w:r>
      <w:r>
        <w:rPr>
          <w:rFonts w:ascii="Arial" w:hAnsi="Arial" w:cs="Arial"/>
          <w:color w:val="666154"/>
          <w:rtl/>
        </w:rPr>
        <w:t>ם תהליכים מורכבים ועשירים, כגון הבניית מושג, חקר, קבלת החלטות או פתרון בעיות. ביצועם של תהליכי חשיבה כרוך בהפעלה משולבת של מספר אסטרטגיות חשיבה.</w:t>
      </w:r>
    </w:p>
    <w:p w14:paraId="5A8EB6F7" w14:textId="77777777" w:rsidR="00444C20" w:rsidRDefault="00444C20" w:rsidP="00444C20">
      <w:pPr>
        <w:pStyle w:val="NormalWeb"/>
        <w:shd w:val="clear" w:color="auto" w:fill="FFFFFF"/>
        <w:bidi/>
        <w:spacing w:after="0" w:afterAutospacing="0"/>
        <w:rPr>
          <w:rFonts w:ascii="Arial" w:hAnsi="Arial" w:cs="Arial"/>
          <w:color w:val="666154"/>
          <w:rtl/>
        </w:rPr>
      </w:pPr>
      <w:r>
        <w:rPr>
          <w:rFonts w:ascii="Arial" w:hAnsi="Arial" w:cs="Arial"/>
          <w:b/>
          <w:bCs/>
          <w:color w:val="666154"/>
          <w:rtl/>
        </w:rPr>
        <w:t>אסטרטגיות חשיבה </w:t>
      </w:r>
      <w:r>
        <w:rPr>
          <w:rFonts w:ascii="Arial" w:hAnsi="Arial" w:cs="Arial"/>
          <w:color w:val="666154"/>
          <w:rtl/>
        </w:rPr>
        <w:t>הן פעולות קוגניטיביות ממוקדות יותר כגון שאילת שאלות, השערה, השוואה, הסקה ועוד. אסטרטגיות החשיבה הן אבני הבניין של תהליכי החשיבה.</w:t>
      </w:r>
    </w:p>
    <w:p w14:paraId="300E07A2" w14:textId="6645565F" w:rsidR="00444C20" w:rsidRDefault="00444C20" w:rsidP="00444C20">
      <w:pPr>
        <w:pStyle w:val="NormalWeb"/>
        <w:shd w:val="clear" w:color="auto" w:fill="FFFFFF"/>
        <w:bidi/>
        <w:spacing w:after="0" w:afterAutospacing="0"/>
        <w:rPr>
          <w:rFonts w:ascii="Arial" w:hAnsi="Arial" w:cs="Arial"/>
          <w:color w:val="666154"/>
          <w:rtl/>
        </w:rPr>
      </w:pPr>
      <w:r>
        <w:rPr>
          <w:rFonts w:ascii="Arial" w:hAnsi="Arial" w:cs="Arial"/>
          <w:color w:val="666154"/>
          <w:rtl/>
        </w:rPr>
        <w:t>כל אסטרטגיית חשיבה עשויה לשרת מספר תהליכי חשיבה. לדוגמה, אסטרטגיית ההשוואה היא אסטרטגיה מרכזית בתהליכי חשיבה רבים: בתהליך פתרון בעיות יש להשוות בין פתרונות אפשריים; בתהליך קבלת החלטות יש להשוות בין החלטות חלופיות; בתהליך החקר ההשוואה היא חלק מרכזי בשלב ניתוח התוצאות; ובתהליך הבניית מושג ההשוואה חיונית ליצירת הכללות. </w:t>
      </w:r>
    </w:p>
    <w:p w14:paraId="0D0F5E52" w14:textId="3D5EB590" w:rsidR="00F409BE" w:rsidRDefault="00F409BE" w:rsidP="00444C20">
      <w:pPr>
        <w:pStyle w:val="NormalWeb"/>
        <w:shd w:val="clear" w:color="auto" w:fill="FFFFFF"/>
        <w:bidi/>
        <w:spacing w:after="0" w:afterAutospacing="0"/>
        <w:rPr>
          <w:rFonts w:ascii="Arial" w:hAnsi="Arial" w:cs="Arial"/>
          <w:color w:val="666154"/>
          <w:rtl/>
        </w:rPr>
      </w:pPr>
      <w:r>
        <w:rPr>
          <w:rtl/>
        </w:rPr>
        <w:t>כוללת</w:t>
      </w:r>
      <w:r>
        <w:t xml:space="preserve">(, ICT- Information and Communications Technology( </w:t>
      </w:r>
      <w:r>
        <w:rPr>
          <w:rtl/>
        </w:rPr>
        <w:t>ומדיה מידע אוריינות</w:t>
      </w:r>
      <w:r>
        <w:t xml:space="preserve"> </w:t>
      </w:r>
      <w:r>
        <w:sym w:font="Symbol" w:char="F0FC"/>
      </w:r>
      <w:r>
        <w:t xml:space="preserve"> </w:t>
      </w:r>
      <w:r>
        <w:rPr>
          <w:rtl/>
        </w:rPr>
        <w:t>ידע ותהליכי חשיבה המיועדים ליצירת תקשורת, ללמידה ולעבודה במרחב הדיגיטלי וידע</w:t>
      </w:r>
      <w:r>
        <w:t xml:space="preserve">, </w:t>
      </w:r>
      <w:r>
        <w:rPr>
          <w:rtl/>
        </w:rPr>
        <w:t>תהליכי חשיבה ומגוון מיומנויות המאפשרות לאדם להשתמש באופן יעיל בטכנולוגיה לפתרון בעיות תוך כדי הפעלת אמצעי אלקטרוני או מכני ובכלל זה אמצעי מחשב הפעלה זו כוללת הבנת תרומתו ומגבלותיו של האמצעי הטכנולוגי בהתייחס להיבטים לימודיים, חברתיים</w:t>
      </w:r>
      <w:r>
        <w:t xml:space="preserve">, </w:t>
      </w:r>
      <w:r>
        <w:rPr>
          <w:rtl/>
        </w:rPr>
        <w:t>תעסוקתיים ואישים</w:t>
      </w:r>
      <w:r>
        <w:t xml:space="preserve">. </w:t>
      </w:r>
      <w:r>
        <w:sym w:font="Symbol" w:char="F0FC"/>
      </w:r>
      <w:r>
        <w:t xml:space="preserve"> </w:t>
      </w:r>
      <w:r>
        <w:rPr>
          <w:rtl/>
        </w:rPr>
        <w:t>אוריינות תרבותית ואזרחית- רכישת תשתית תרבותית וערכית אשר מאפשרת להשתתף בצורה מושכלת ומיומנת בדיון הציבורי במשק הכלכלי ובעשייה התרבותית ורכישת כלים</w:t>
      </w:r>
      <w:r>
        <w:t xml:space="preserve">, </w:t>
      </w:r>
      <w:r>
        <w:rPr>
          <w:rtl/>
        </w:rPr>
        <w:t>מיומנויות וידע שיאפשרו השתתפות ומעורבות פעילה בחברה דמוקרטית</w:t>
      </w:r>
      <w:r>
        <w:t>.</w:t>
      </w:r>
    </w:p>
    <w:p w14:paraId="75683B23" w14:textId="5088F96B" w:rsidR="00F409BE" w:rsidRDefault="00F409BE" w:rsidP="00444C20">
      <w:pPr>
        <w:pStyle w:val="NormalWeb"/>
        <w:shd w:val="clear" w:color="auto" w:fill="FFFFFF"/>
        <w:bidi/>
        <w:spacing w:after="0" w:afterAutospacing="0"/>
        <w:rPr>
          <w:rFonts w:ascii="Arial" w:hAnsi="Arial" w:cs="Arial"/>
          <w:color w:val="666154"/>
          <w:rtl/>
        </w:rPr>
      </w:pPr>
      <w:r>
        <w:rPr>
          <w:rFonts w:ascii="Arial" w:hAnsi="Arial" w:cs="Arial" w:hint="cs"/>
          <w:color w:val="666154"/>
          <w:rtl/>
        </w:rPr>
        <w:t>לינק לתוצר</w:t>
      </w:r>
      <w:bookmarkStart w:id="1" w:name="_GoBack"/>
      <w:bookmarkEnd w:id="1"/>
      <w:r>
        <w:rPr>
          <w:rFonts w:ascii="Arial" w:hAnsi="Arial" w:cs="Arial" w:hint="cs"/>
          <w:color w:val="666154"/>
          <w:rtl/>
        </w:rPr>
        <w:t xml:space="preserve">ים </w:t>
      </w:r>
      <w:r>
        <w:rPr>
          <w:rFonts w:ascii="Arial" w:hAnsi="Arial" w:cs="Arial"/>
          <w:color w:val="666154"/>
          <w:rtl/>
        </w:rPr>
        <w:t>–</w:t>
      </w:r>
      <w:r>
        <w:rPr>
          <w:rFonts w:ascii="Arial" w:hAnsi="Arial" w:cs="Arial" w:hint="cs"/>
          <w:color w:val="666154"/>
          <w:rtl/>
        </w:rPr>
        <w:t xml:space="preserve"> </w:t>
      </w:r>
    </w:p>
    <w:p w14:paraId="600B98DE" w14:textId="61AB31C2" w:rsidR="00F409BE" w:rsidRPr="00F409BE" w:rsidRDefault="00F409BE" w:rsidP="00F409BE">
      <w:pPr>
        <w:pStyle w:val="NormalWeb"/>
        <w:shd w:val="clear" w:color="auto" w:fill="FFFFFF"/>
        <w:bidi/>
        <w:spacing w:after="0" w:afterAutospacing="0"/>
        <w:rPr>
          <w:rFonts w:ascii="Arial" w:hAnsi="Arial" w:cs="Arial"/>
          <w:b/>
          <w:bCs/>
          <w:color w:val="666154"/>
          <w:rtl/>
        </w:rPr>
      </w:pPr>
      <w:r w:rsidRPr="00F409BE">
        <w:rPr>
          <w:rFonts w:ascii="Arial" w:hAnsi="Arial" w:cs="Arial"/>
          <w:b/>
          <w:bCs/>
          <w:color w:val="666154"/>
        </w:rPr>
        <w:t>https://docs.google.com/document/d/1BLZWcCcRE1lKeaAAMPhSOdn7lt7tBVleR5H8/edit</w:t>
      </w:r>
    </w:p>
    <w:p w14:paraId="4C8C8C27" w14:textId="77777777" w:rsidR="00F409BE" w:rsidRPr="00F409BE" w:rsidRDefault="00F409BE" w:rsidP="00444C20">
      <w:pPr>
        <w:pStyle w:val="NormalWeb"/>
        <w:shd w:val="clear" w:color="auto" w:fill="FFFFFF"/>
        <w:bidi/>
        <w:spacing w:after="0" w:afterAutospacing="0"/>
        <w:rPr>
          <w:rFonts w:ascii="Arial" w:hAnsi="Arial" w:cs="Arial"/>
          <w:color w:val="666154"/>
          <w:rtl/>
        </w:rPr>
      </w:pPr>
    </w:p>
    <w:p w14:paraId="5A8DB07B" w14:textId="77777777" w:rsidR="00444C20" w:rsidRPr="00F409BE" w:rsidRDefault="00444C20" w:rsidP="00F409BE">
      <w:pPr>
        <w:rPr>
          <w:rFonts w:ascii="David" w:hAnsi="David" w:cs="David"/>
          <w:rtl/>
        </w:rPr>
      </w:pPr>
      <w:r w:rsidRPr="00F409BE">
        <w:rPr>
          <w:rFonts w:ascii="David" w:hAnsi="David" w:cs="David" w:hint="cs"/>
          <w:rtl/>
        </w:rPr>
        <w:t>מהו הערך המוסף של ההשתלמות ומה תרומתה לשינוי באופן ההוראה והלמידה?</w:t>
      </w:r>
    </w:p>
    <w:p w14:paraId="00000014" w14:textId="68797FB3" w:rsidR="008869BD" w:rsidRDefault="00F409BE" w:rsidP="00F409BE">
      <w:p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hint="cs"/>
          <w:color w:val="000000"/>
          <w:rtl/>
        </w:rPr>
        <w:t>מתן כלים משמעותיים להוראה ייחודית ומגוונת !</w:t>
      </w:r>
      <w:r>
        <w:rPr>
          <w:rFonts w:ascii="David" w:eastAsia="David" w:hAnsi="David" w:cs="David"/>
          <w:color w:val="000000"/>
          <w:rtl/>
        </w:rPr>
        <w:br/>
      </w:r>
      <w:r>
        <w:rPr>
          <w:rFonts w:ascii="David" w:eastAsia="David" w:hAnsi="David" w:cs="David" w:hint="cs"/>
          <w:color w:val="000000"/>
          <w:rtl/>
        </w:rPr>
        <w:t xml:space="preserve">כלים רלוונטיים להוראה לכיתות אתגר </w:t>
      </w:r>
      <w:proofErr w:type="spellStart"/>
      <w:r>
        <w:rPr>
          <w:rFonts w:ascii="David" w:eastAsia="David" w:hAnsi="David" w:cs="David" w:hint="cs"/>
          <w:color w:val="000000"/>
          <w:rtl/>
        </w:rPr>
        <w:t>מב"ר</w:t>
      </w:r>
      <w:proofErr w:type="spellEnd"/>
      <w:r>
        <w:rPr>
          <w:rFonts w:ascii="David" w:eastAsia="David" w:hAnsi="David" w:cs="David" w:hint="cs"/>
          <w:color w:val="000000"/>
          <w:rtl/>
        </w:rPr>
        <w:t xml:space="preserve">. </w:t>
      </w:r>
      <w:r>
        <w:rPr>
          <w:rFonts w:ascii="David" w:eastAsia="David" w:hAnsi="David" w:cs="David"/>
          <w:color w:val="000000"/>
          <w:rtl/>
        </w:rPr>
        <w:br/>
      </w:r>
      <w:r>
        <w:rPr>
          <w:rFonts w:ascii="David" w:eastAsia="David" w:hAnsi="David" w:cs="David" w:hint="cs"/>
          <w:color w:val="000000"/>
          <w:rtl/>
        </w:rPr>
        <w:t xml:space="preserve">מנחה סובלנית ואדיבה. </w:t>
      </w:r>
      <w:r>
        <w:rPr>
          <w:rFonts w:ascii="David" w:eastAsia="David" w:hAnsi="David" w:cs="David"/>
          <w:color w:val="000000"/>
          <w:rtl/>
        </w:rPr>
        <w:br/>
      </w:r>
      <w:r w:rsidR="00CB6AE4">
        <w:rPr>
          <w:rFonts w:ascii="David" w:eastAsia="David" w:hAnsi="David" w:cs="David"/>
          <w:color w:val="000000"/>
          <w:rtl/>
        </w:rPr>
        <w:br/>
      </w:r>
    </w:p>
    <w:sectPr w:rsidR="008869B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 w15:restartNumberingAfterBreak="0">
    <w:nsid w:val="4DC9519B"/>
    <w:multiLevelType w:val="multilevel"/>
    <w:tmpl w:val="BF0008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7CB1C90"/>
    <w:multiLevelType w:val="multilevel"/>
    <w:tmpl w:val="0AF0F74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BD"/>
    <w:rsid w:val="002E6683"/>
    <w:rsid w:val="00444C20"/>
    <w:rsid w:val="0056717C"/>
    <w:rsid w:val="008869BD"/>
    <w:rsid w:val="009D59E0"/>
    <w:rsid w:val="00CB6AE4"/>
    <w:rsid w:val="00F40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EFD9"/>
  <w15:docId w15:val="{1C3ADFA6-1BC1-4375-AA8A-5AB7FC78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he-I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444C20"/>
    <w:pPr>
      <w:bidi w:val="0"/>
      <w:spacing w:before="240" w:after="120" w:line="360" w:lineRule="auto"/>
      <w:ind w:left="720" w:hanging="357"/>
      <w:contextualSpacing/>
    </w:pPr>
    <w:rPr>
      <w:rFonts w:ascii="Calibri" w:eastAsia="Calibri" w:hAnsi="Calibri" w:cs="Tahoma"/>
      <w:sz w:val="22"/>
      <w:szCs w:val="22"/>
    </w:rPr>
  </w:style>
  <w:style w:type="paragraph" w:styleId="NormalWeb">
    <w:name w:val="Normal (Web)"/>
    <w:basedOn w:val="a"/>
    <w:uiPriority w:val="99"/>
    <w:semiHidden/>
    <w:unhideWhenUsed/>
    <w:rsid w:val="00444C20"/>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54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storyboardth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2182</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 בנדיקט</dc:creator>
  <cp:lastModifiedBy>Tomer Gavish</cp:lastModifiedBy>
  <cp:revision>2</cp:revision>
  <dcterms:created xsi:type="dcterms:W3CDTF">2022-10-13T08:26:00Z</dcterms:created>
  <dcterms:modified xsi:type="dcterms:W3CDTF">2022-10-13T08:26:00Z</dcterms:modified>
</cp:coreProperties>
</file>