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E8" w:rsidRDefault="00010253" w:rsidP="00C612E8">
      <w:pPr>
        <w:rPr>
          <w:rFonts w:ascii="Arial" w:hAnsi="Arial" w:cs="Arial"/>
          <w:color w:val="2A2A2A"/>
          <w:sz w:val="27"/>
          <w:szCs w:val="27"/>
        </w:rPr>
      </w:pPr>
      <w:r>
        <w:rPr>
          <w:rFonts w:ascii="Arial" w:hAnsi="Arial" w:cs="Arial"/>
          <w:color w:val="2A2A2A"/>
          <w:sz w:val="27"/>
          <w:szCs w:val="27"/>
          <w:shd w:val="clear" w:color="auto" w:fill="FFFFFF"/>
          <w:rtl/>
        </w:rPr>
        <w:t>נבדוק את מעמדה של השפה העברית בחקיקה ובמציאות</w:t>
      </w:r>
      <w:r>
        <w:rPr>
          <w:rFonts w:ascii="Arial" w:hAnsi="Arial" w:cs="Arial"/>
          <w:color w:val="2A2A2A"/>
          <w:sz w:val="27"/>
          <w:szCs w:val="27"/>
          <w:shd w:val="clear" w:color="auto" w:fill="FFFFFF"/>
        </w:rPr>
        <w:br/>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להלכה בחקיקה</w:t>
      </w:r>
      <w:r>
        <w:rPr>
          <w:rFonts w:ascii="Arial" w:hAnsi="Arial" w:cs="Arial"/>
          <w:color w:val="2A2A2A"/>
          <w:sz w:val="27"/>
          <w:szCs w:val="27"/>
          <w:shd w:val="clear" w:color="auto" w:fill="FFFFFF"/>
        </w:rPr>
        <w:br/>
      </w:r>
      <w:r>
        <w:rPr>
          <w:rFonts w:ascii="Arial" w:hAnsi="Arial" w:cs="Arial"/>
          <w:color w:val="2A2A2A"/>
          <w:sz w:val="27"/>
          <w:szCs w:val="27"/>
          <w:shd w:val="clear" w:color="auto" w:fill="FFFFFF"/>
          <w:rtl/>
        </w:rPr>
        <w:t>מעמדה של השפה העברית אינו מעמד רשמי בלעדי. ישנם חוקים המעניקים יתרון ובלעדיות לשפה העברית וישנם חוקים המצביעים על מעמד זהה של השפה הערבית</w:t>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דוגמא לחוקים המעניקים יתרון לעברית</w:t>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חוק</w:t>
      </w:r>
      <w:r>
        <w:rPr>
          <w:rStyle w:val="Strong"/>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האזרחות</w:t>
      </w:r>
      <w:r>
        <w:rPr>
          <w:rStyle w:val="Strong"/>
          <w:rFonts w:ascii="Arial" w:hAnsi="Arial" w:cs="Arial"/>
          <w:color w:val="2A2A2A"/>
          <w:sz w:val="27"/>
          <w:szCs w:val="27"/>
          <w:shd w:val="clear" w:color="auto" w:fill="FFFFFF"/>
        </w:rPr>
        <w:t>- </w:t>
      </w:r>
      <w:r>
        <w:rPr>
          <w:rFonts w:ascii="Arial" w:hAnsi="Arial" w:cs="Arial"/>
          <w:color w:val="2A2A2A"/>
          <w:sz w:val="27"/>
          <w:szCs w:val="27"/>
          <w:shd w:val="clear" w:color="auto" w:fill="FFFFFF"/>
          <w:rtl/>
        </w:rPr>
        <w:t>אדם הרוצה לקבל אזרחות במדינת ישראל, לא מכוח שבות (חוק השבות)  או לידה וישיבה בארץ, חייב על פי חוק האזרחות לדעת</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ידיעת מה של השפה העברית</w:t>
      </w:r>
      <w:r>
        <w:rPr>
          <w:rFonts w:ascii="Arial" w:hAnsi="Arial" w:cs="Arial"/>
          <w:color w:val="2A2A2A"/>
          <w:sz w:val="27"/>
          <w:szCs w:val="27"/>
          <w:shd w:val="clear" w:color="auto" w:fill="FFFFFF"/>
        </w:rPr>
        <w:t xml:space="preserve">" </w:t>
      </w:r>
      <w:r>
        <w:rPr>
          <w:rFonts w:ascii="Arial" w:hAnsi="Arial" w:cs="Arial"/>
          <w:color w:val="2A2A2A"/>
          <w:sz w:val="27"/>
          <w:szCs w:val="27"/>
          <w:shd w:val="clear" w:color="auto" w:fill="FFFFFF"/>
          <w:rtl/>
        </w:rPr>
        <w:t>כתנאי לקבלת אזרחות</w:t>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חוק סדק הדין הפלילי</w:t>
      </w:r>
      <w:r>
        <w:rPr>
          <w:rStyle w:val="Strong"/>
          <w:rFonts w:ascii="Arial" w:hAnsi="Arial" w:cs="Arial"/>
          <w:color w:val="2A2A2A"/>
          <w:sz w:val="27"/>
          <w:szCs w:val="27"/>
          <w:shd w:val="clear" w:color="auto" w:fill="FFFFFF"/>
        </w:rPr>
        <w:t>- </w:t>
      </w:r>
      <w:r>
        <w:rPr>
          <w:rFonts w:ascii="Arial" w:hAnsi="Arial" w:cs="Arial"/>
          <w:color w:val="2A2A2A"/>
          <w:sz w:val="27"/>
          <w:szCs w:val="27"/>
          <w:shd w:val="clear" w:color="auto" w:fill="FFFFFF"/>
          <w:rtl/>
        </w:rPr>
        <w:t>קובע כללים שההליך השיפוטי בישראל יתנהל</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בשפה העברית בלבד</w:t>
      </w:r>
      <w:r>
        <w:rPr>
          <w:rFonts w:ascii="Arial" w:hAnsi="Arial" w:cs="Arial"/>
          <w:color w:val="2A2A2A"/>
          <w:sz w:val="27"/>
          <w:szCs w:val="27"/>
          <w:shd w:val="clear" w:color="auto" w:fill="FFFFFF"/>
        </w:rPr>
        <w:t xml:space="preserve">. </w:t>
      </w:r>
      <w:r>
        <w:rPr>
          <w:rFonts w:ascii="Arial" w:hAnsi="Arial" w:cs="Arial"/>
          <w:color w:val="2A2A2A"/>
          <w:sz w:val="27"/>
          <w:szCs w:val="27"/>
          <w:shd w:val="clear" w:color="auto" w:fill="FFFFFF"/>
          <w:rtl/>
        </w:rPr>
        <w:t>מסמך המוגש לבית המשפט בערבית חלה חובה חוקית לתרגמו לעברית. עדות הנמסרת לא בעברית תתורגם לעברית. מכאן שמערכת המשפט הישראלית מתנהלת בשפה העברית אלא אם פסק בית המשפט אחרת</w:t>
      </w:r>
      <w:r>
        <w:rPr>
          <w:rFonts w:ascii="Arial" w:hAnsi="Arial" w:cs="Arial"/>
          <w:color w:val="2A2A2A"/>
          <w:sz w:val="27"/>
          <w:szCs w:val="27"/>
          <w:shd w:val="clear" w:color="auto" w:fill="FFFFFF"/>
        </w:rPr>
        <w:t>.</w:t>
      </w:r>
      <w:r>
        <w:rPr>
          <w:rFonts w:ascii="Arial" w:hAnsi="Arial" w:cs="Arial"/>
          <w:color w:val="2A2A2A"/>
          <w:sz w:val="27"/>
          <w:szCs w:val="27"/>
          <w:shd w:val="clear" w:color="auto" w:fill="FFFFFF"/>
        </w:rPr>
        <w:br/>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דוגמא לחוקים בהם העברית והערבית מוכרות ואין יתרון לעברית</w:t>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חוק שידורי טלוויזיה מהכנסת</w:t>
      </w:r>
      <w:r>
        <w:rPr>
          <w:rStyle w:val="Strong"/>
          <w:rFonts w:ascii="Arial" w:hAnsi="Arial" w:cs="Arial"/>
          <w:color w:val="2A2A2A"/>
          <w:sz w:val="27"/>
          <w:szCs w:val="27"/>
          <w:shd w:val="clear" w:color="auto" w:fill="FFFFFF"/>
        </w:rPr>
        <w:t>-</w:t>
      </w:r>
      <w:r>
        <w:rPr>
          <w:rFonts w:ascii="Arial" w:hAnsi="Arial" w:cs="Arial"/>
          <w:color w:val="2A2A2A"/>
          <w:sz w:val="27"/>
          <w:szCs w:val="27"/>
          <w:shd w:val="clear" w:color="auto" w:fill="FFFFFF"/>
        </w:rPr>
        <w:t> </w:t>
      </w:r>
      <w:r>
        <w:rPr>
          <w:rFonts w:ascii="Arial" w:hAnsi="Arial" w:cs="Arial"/>
          <w:color w:val="2A2A2A"/>
          <w:sz w:val="27"/>
          <w:szCs w:val="27"/>
          <w:shd w:val="clear" w:color="auto" w:fill="FFFFFF"/>
          <w:rtl/>
        </w:rPr>
        <w:t>קובע ששידורי הכנסת, שאינם משודרים בשידור חי יהיו  מלווים בתרגום</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לערבית או לעברית</w:t>
      </w:r>
      <w:r>
        <w:rPr>
          <w:rFonts w:ascii="Arial" w:hAnsi="Arial" w:cs="Arial"/>
          <w:color w:val="2A2A2A"/>
          <w:sz w:val="27"/>
          <w:szCs w:val="27"/>
          <w:shd w:val="clear" w:color="auto" w:fill="FFFFFF"/>
        </w:rPr>
        <w:t> </w:t>
      </w:r>
      <w:r>
        <w:rPr>
          <w:rFonts w:ascii="Arial" w:hAnsi="Arial" w:cs="Arial"/>
          <w:color w:val="2A2A2A"/>
          <w:sz w:val="27"/>
          <w:szCs w:val="27"/>
          <w:shd w:val="clear" w:color="auto" w:fill="FFFFFF"/>
          <w:rtl/>
        </w:rPr>
        <w:t>לפי העניין. בנוסף לרצון המחוקק לאפשר נגישות של אוכלוסייה למידע יש כאן הענקה של מעמד סמלי מיוחד לשפה הערבית</w:t>
      </w:r>
      <w:r>
        <w:rPr>
          <w:rFonts w:ascii="Arial" w:hAnsi="Arial" w:cs="Arial"/>
          <w:color w:val="2A2A2A"/>
          <w:sz w:val="27"/>
          <w:szCs w:val="27"/>
          <w:shd w:val="clear" w:color="auto" w:fill="FFFFFF"/>
        </w:rPr>
        <w:br/>
      </w:r>
      <w:r>
        <w:rPr>
          <w:rStyle w:val="Strong"/>
          <w:rFonts w:ascii="Arial" w:hAnsi="Arial" w:cs="Arial"/>
          <w:color w:val="2A2A2A"/>
          <w:sz w:val="27"/>
          <w:szCs w:val="27"/>
          <w:shd w:val="clear" w:color="auto" w:fill="FFFFFF"/>
          <w:rtl/>
        </w:rPr>
        <w:t>חוק הבחירות לכנסת</w:t>
      </w:r>
      <w:r>
        <w:rPr>
          <w:rStyle w:val="Strong"/>
          <w:rFonts w:ascii="Arial" w:hAnsi="Arial" w:cs="Arial"/>
          <w:color w:val="2A2A2A"/>
          <w:sz w:val="27"/>
          <w:szCs w:val="27"/>
          <w:shd w:val="clear" w:color="auto" w:fill="FFFFFF"/>
        </w:rPr>
        <w:t>-</w:t>
      </w:r>
      <w:r>
        <w:rPr>
          <w:rFonts w:ascii="Arial" w:hAnsi="Arial" w:cs="Arial"/>
          <w:color w:val="2A2A2A"/>
          <w:sz w:val="27"/>
          <w:szCs w:val="27"/>
          <w:shd w:val="clear" w:color="auto" w:fill="FFFFFF"/>
        </w:rPr>
        <w:t> </w:t>
      </w:r>
      <w:r>
        <w:rPr>
          <w:rFonts w:ascii="Arial" w:hAnsi="Arial" w:cs="Arial"/>
          <w:color w:val="2A2A2A"/>
          <w:sz w:val="27"/>
          <w:szCs w:val="27"/>
          <w:shd w:val="clear" w:color="auto" w:fill="FFFFFF"/>
          <w:rtl/>
        </w:rPr>
        <w:t>נקבע "רשימת מועמדים רשאית להוסיף לאות הרשימה</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ולכינויה העבריים</w:t>
      </w:r>
      <w:r>
        <w:rPr>
          <w:rFonts w:ascii="Arial" w:hAnsi="Arial" w:cs="Arial"/>
          <w:color w:val="2A2A2A"/>
          <w:sz w:val="27"/>
          <w:szCs w:val="27"/>
          <w:shd w:val="clear" w:color="auto" w:fill="FFFFFF"/>
        </w:rPr>
        <w:t> </w:t>
      </w:r>
      <w:r>
        <w:rPr>
          <w:rFonts w:ascii="Arial" w:hAnsi="Arial" w:cs="Arial"/>
          <w:color w:val="2A2A2A"/>
          <w:sz w:val="27"/>
          <w:szCs w:val="27"/>
          <w:shd w:val="clear" w:color="auto" w:fill="FFFFFF"/>
          <w:rtl/>
        </w:rPr>
        <w:t>את האות ואת</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הכינוי</w:t>
      </w:r>
      <w:r>
        <w:rPr>
          <w:rStyle w:val="Strong"/>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הערביים</w:t>
      </w:r>
      <w:r>
        <w:rPr>
          <w:rFonts w:ascii="Arial" w:hAnsi="Arial" w:cs="Arial"/>
          <w:color w:val="2A2A2A"/>
          <w:sz w:val="27"/>
          <w:szCs w:val="27"/>
          <w:shd w:val="clear" w:color="auto" w:fill="FFFFFF"/>
        </w:rPr>
        <w:t> </w:t>
      </w:r>
      <w:r>
        <w:rPr>
          <w:rFonts w:ascii="Arial" w:hAnsi="Arial" w:cs="Arial"/>
          <w:color w:val="2A2A2A"/>
          <w:sz w:val="27"/>
          <w:szCs w:val="27"/>
          <w:shd w:val="clear" w:color="auto" w:fill="FFFFFF"/>
          <w:rtl/>
        </w:rPr>
        <w:t>שהועדה המרכזית אישרה כמקבילים לאות ולכינוי העבריים, והבוחר רשאי להשתמש בפתק ההצבעה</w:t>
      </w:r>
      <w:r>
        <w:rPr>
          <w:rFonts w:ascii="Arial" w:hAnsi="Arial" w:cs="Arial"/>
          <w:color w:val="2A2A2A"/>
          <w:sz w:val="27"/>
          <w:szCs w:val="27"/>
          <w:shd w:val="clear" w:color="auto" w:fill="FFFFFF"/>
        </w:rPr>
        <w:t> </w:t>
      </w:r>
      <w:r>
        <w:rPr>
          <w:rStyle w:val="Strong"/>
          <w:rFonts w:ascii="Arial" w:hAnsi="Arial" w:cs="Arial"/>
          <w:color w:val="2A2A2A"/>
          <w:sz w:val="27"/>
          <w:szCs w:val="27"/>
          <w:shd w:val="clear" w:color="auto" w:fill="FFFFFF"/>
          <w:rtl/>
        </w:rPr>
        <w:t>בעברית בלבד או בעברית עם התרגום לערבית</w:t>
      </w:r>
      <w:r>
        <w:rPr>
          <w:rFonts w:ascii="Arial" w:hAnsi="Arial" w:cs="Arial"/>
          <w:color w:val="7C7C7C"/>
          <w:sz w:val="27"/>
          <w:szCs w:val="27"/>
        </w:rPr>
        <w:br/>
      </w:r>
      <w:r>
        <w:rPr>
          <w:rFonts w:ascii="Arial" w:hAnsi="Arial" w:cs="Arial"/>
          <w:color w:val="7C7C7C"/>
          <w:sz w:val="27"/>
          <w:szCs w:val="27"/>
        </w:rPr>
        <w:br/>
      </w:r>
      <w:r>
        <w:rPr>
          <w:rStyle w:val="Strong"/>
          <w:rFonts w:ascii="Arial" w:hAnsi="Arial" w:cs="Arial"/>
          <w:color w:val="2A2A2A"/>
          <w:sz w:val="27"/>
          <w:szCs w:val="27"/>
          <w:shd w:val="clear" w:color="auto" w:fill="FFFFFF"/>
          <w:rtl/>
        </w:rPr>
        <w:t>אך במציאות יש מקומות בהם יש לעברית העדפה ויש מקומות שמעמדן של העברית והערבית זהה</w:t>
      </w:r>
      <w:r>
        <w:rPr>
          <w:rFonts w:ascii="Arial" w:hAnsi="Arial" w:cs="Arial"/>
          <w:color w:val="2A2A2A"/>
          <w:sz w:val="27"/>
          <w:szCs w:val="27"/>
          <w:shd w:val="clear" w:color="auto" w:fill="FFFFFF"/>
        </w:rPr>
        <w:br/>
      </w:r>
      <w:r>
        <w:rPr>
          <w:rFonts w:ascii="Arial" w:hAnsi="Arial" w:cs="Arial"/>
          <w:color w:val="2A2A2A"/>
          <w:sz w:val="27"/>
          <w:szCs w:val="27"/>
          <w:shd w:val="clear" w:color="auto" w:fill="FFFFFF"/>
          <w:rtl/>
        </w:rPr>
        <w:t>במסמכים הרשמיים הפרסום צריך להיות בשתי השפות ואמנם מרבית הפרסומים הרשמיים נעשים בעברית ובערבית. החוקים מתפרסמים בשתי השפות, תעודות הזהות מודפסות בשתי השפות כך גם שטרי הכסף, הבולים ושלטי הרחובות.. יש מקומות שהעברית מועדפת למשל בפנייה לרשויות השלטון לעיתים נדרש האזרח הערבי לתרגום. בכלי התקשורת הממלכתיים ברשות השידור מרבית השידורים מתקיימים בעברית יש מיעוט של שידורים בערבית</w:t>
      </w:r>
      <w:r>
        <w:rPr>
          <w:rFonts w:hint="cs"/>
          <w:rtl/>
        </w:rPr>
        <w:t>.</w:t>
      </w:r>
      <w:r>
        <w:rPr>
          <w:rFonts w:ascii="Arial" w:hAnsi="Arial" w:cs="Arial"/>
          <w:color w:val="2A2A2A"/>
          <w:sz w:val="27"/>
          <w:szCs w:val="27"/>
        </w:rPr>
        <w:br/>
      </w:r>
      <w:r>
        <w:rPr>
          <w:rStyle w:val="Strong"/>
          <w:rFonts w:ascii="Arial" w:hAnsi="Arial" w:cs="Arial"/>
          <w:color w:val="2A2A2A"/>
          <w:sz w:val="27"/>
          <w:szCs w:val="27"/>
          <w:shd w:val="clear" w:color="auto" w:fill="FFFFFF"/>
          <w:rtl/>
        </w:rPr>
        <w:t>על פי חוק השימוש בתאריך העברי, התשנ"ח</w:t>
      </w:r>
      <w:r>
        <w:rPr>
          <w:rStyle w:val="apple-converted-space"/>
          <w:rFonts w:ascii="Arial" w:hAnsi="Arial" w:cs="Arial"/>
          <w:b/>
          <w:bCs/>
          <w:color w:val="2A2A2A"/>
          <w:sz w:val="27"/>
          <w:szCs w:val="27"/>
          <w:shd w:val="clear" w:color="auto" w:fill="FFFFFF"/>
        </w:rPr>
        <w:t> </w:t>
      </w:r>
      <w:r>
        <w:rPr>
          <w:rFonts w:ascii="Arial" w:hAnsi="Arial" w:cs="Arial"/>
          <w:color w:val="2A2A2A"/>
          <w:sz w:val="27"/>
          <w:szCs w:val="27"/>
          <w:shd w:val="clear" w:color="auto" w:fill="FFFFFF"/>
        </w:rPr>
        <w:t xml:space="preserve">1998 - </w:t>
      </w:r>
      <w:r>
        <w:rPr>
          <w:rFonts w:ascii="Arial" w:hAnsi="Arial" w:cs="Arial"/>
          <w:color w:val="2A2A2A"/>
          <w:sz w:val="27"/>
          <w:szCs w:val="27"/>
          <w:shd w:val="clear" w:color="auto" w:fill="FFFFFF"/>
          <w:rtl/>
        </w:rPr>
        <w:t>התאריך העברי יצוין בכל מכתב רשמי בשפה העברית הנשלח על ידי רשות  ציבורית, הכוונה למשרדי הממשלה, לרשויות המקומיות ובכל הודעה רשמית לציבור בשפה העברית המתפרסמת מטעמה. בנוסף יצוין התאריך הלועזי</w:t>
      </w:r>
      <w:r>
        <w:rPr>
          <w:rStyle w:val="Strong"/>
          <w:rFonts w:ascii="Arial" w:hAnsi="Arial" w:cs="Arial"/>
          <w:color w:val="2A2A2A"/>
          <w:sz w:val="27"/>
          <w:szCs w:val="27"/>
          <w:shd w:val="clear" w:color="auto" w:fill="FFFFFF"/>
        </w:rPr>
        <w:t> </w:t>
      </w:r>
      <w:r w:rsidR="00C612E8">
        <w:rPr>
          <w:rFonts w:ascii="Arial" w:hAnsi="Arial" w:cs="Arial"/>
          <w:color w:val="2A2A2A"/>
          <w:sz w:val="27"/>
          <w:szCs w:val="27"/>
          <w:shd w:val="clear" w:color="auto" w:fill="FFFFFF"/>
        </w:rPr>
        <w:t>/</w:t>
      </w:r>
    </w:p>
    <w:p w:rsidR="00C612E8" w:rsidRDefault="00C612E8" w:rsidP="00C612E8">
      <w:pPr>
        <w:shd w:val="clear" w:color="auto" w:fill="FFFFFF"/>
        <w:bidi w:val="0"/>
        <w:spacing w:after="270"/>
        <w:jc w:val="right"/>
        <w:rPr>
          <w:rFonts w:ascii="Arial" w:eastAsia="Times New Roman" w:hAnsi="Arial" w:cs="Arial" w:hint="cs"/>
          <w:color w:val="2A2A2A"/>
          <w:sz w:val="27"/>
          <w:szCs w:val="27"/>
          <w:rtl/>
        </w:rPr>
      </w:pPr>
      <w:r>
        <w:rPr>
          <w:rFonts w:ascii="Arial" w:hAnsi="Arial" w:cs="Arial"/>
          <w:color w:val="2A2A2A"/>
          <w:sz w:val="27"/>
          <w:szCs w:val="27"/>
        </w:rPr>
        <w:lastRenderedPageBreak/>
        <w:br/>
      </w:r>
      <w:r w:rsidRPr="00C612E8">
        <w:rPr>
          <w:rFonts w:ascii="Arial" w:eastAsia="Times New Roman" w:hAnsi="Arial" w:cs="Arial"/>
          <w:color w:val="7C7C7C"/>
          <w:sz w:val="27"/>
          <w:szCs w:val="27"/>
        </w:rPr>
        <w:br/>
      </w:r>
      <w:r>
        <w:rPr>
          <w:rStyle w:val="Strong"/>
          <w:rFonts w:ascii="Arial" w:hAnsi="Arial" w:cs="Arial"/>
          <w:color w:val="2A2A2A"/>
          <w:sz w:val="48"/>
          <w:szCs w:val="48"/>
          <w:shd w:val="clear" w:color="auto" w:fill="FFFFFF"/>
          <w:rtl/>
        </w:rPr>
        <w:t>הסדר הסטטוס קוו</w:t>
      </w:r>
    </w:p>
    <w:p w:rsidR="00C612E8" w:rsidRPr="00C612E8" w:rsidRDefault="00C612E8" w:rsidP="00C612E8">
      <w:pPr>
        <w:shd w:val="clear" w:color="auto" w:fill="FFFFFF"/>
        <w:bidi w:val="0"/>
        <w:spacing w:after="270"/>
        <w:jc w:val="right"/>
        <w:rPr>
          <w:rFonts w:ascii="Arial" w:eastAsia="Times New Roman" w:hAnsi="Arial" w:cs="Arial"/>
          <w:color w:val="7C7C7C"/>
          <w:sz w:val="27"/>
          <w:szCs w:val="27"/>
        </w:rPr>
      </w:pPr>
      <w:r w:rsidRPr="00C612E8">
        <w:rPr>
          <w:rFonts w:ascii="Arial" w:eastAsia="Times New Roman" w:hAnsi="Arial" w:cs="Arial"/>
          <w:color w:val="2A2A2A"/>
          <w:sz w:val="27"/>
          <w:szCs w:val="27"/>
          <w:rtl/>
        </w:rPr>
        <w:t>עוד טרם הקמת המדינה (1947) התנהל ויכוח בין הזרמים החילוניים והדתיים בישוב, סביב שאלת מקומה של היהדות בחיי הישוב והמדינה. ויכוח זה הסתיים בפשרה, בה הסכימו נציגי הישוב הדתיים והנציגים החילוניים על הקפאת המצב הקיים בשטח</w:t>
      </w:r>
      <w:r w:rsidRPr="00C612E8">
        <w:rPr>
          <w:rFonts w:ascii="Arial" w:eastAsia="Times New Roman" w:hAnsi="Arial" w:cs="Arial"/>
          <w:color w:val="2A2A2A"/>
          <w:sz w:val="27"/>
          <w:szCs w:val="27"/>
        </w:rPr>
        <w:t>. </w:t>
      </w:r>
      <w:r w:rsidRPr="00C612E8">
        <w:rPr>
          <w:rFonts w:ascii="Arial" w:eastAsia="Times New Roman" w:hAnsi="Arial" w:cs="Arial"/>
          <w:color w:val="2A2A2A"/>
          <w:sz w:val="27"/>
          <w:szCs w:val="27"/>
          <w:rtl/>
        </w:rPr>
        <w:t>הקבוצות השונות מכירות בצורך למצוא דרך לחיות יחד למרות חילוקי הדעות בנושאי דת ומדינה להסדיר עניינים עקרוניים ולקבוע כללי משחק מחייבים, ביטוי לעקרון</w:t>
      </w:r>
      <w:r w:rsidRPr="00C612E8">
        <w:rPr>
          <w:rFonts w:ascii="Arial" w:eastAsia="Times New Roman" w:hAnsi="Arial" w:cs="Arial"/>
          <w:color w:val="2A2A2A"/>
          <w:sz w:val="27"/>
          <w:szCs w:val="27"/>
        </w:rPr>
        <w:t> </w:t>
      </w:r>
      <w:r w:rsidRPr="00C612E8">
        <w:rPr>
          <w:rFonts w:ascii="Arial" w:eastAsia="Times New Roman" w:hAnsi="Arial" w:cs="Arial"/>
          <w:color w:val="2A2A2A"/>
          <w:sz w:val="27"/>
          <w:szCs w:val="27"/>
          <w:rtl/>
        </w:rPr>
        <w:t>ההסכמיות</w:t>
      </w:r>
      <w:r w:rsidRPr="00C612E8">
        <w:rPr>
          <w:rFonts w:ascii="Arial" w:eastAsia="Times New Roman" w:hAnsi="Arial" w:cs="Arial"/>
          <w:color w:val="2A2A2A"/>
          <w:sz w:val="27"/>
          <w:szCs w:val="27"/>
        </w:rPr>
        <w:br/>
      </w:r>
      <w:r w:rsidRPr="00C612E8">
        <w:rPr>
          <w:rFonts w:ascii="Arial" w:eastAsia="Times New Roman" w:hAnsi="Arial" w:cs="Arial"/>
          <w:color w:val="7C7C7C"/>
          <w:sz w:val="27"/>
          <w:szCs w:val="27"/>
        </w:rPr>
        <w:br/>
      </w:r>
      <w:r w:rsidRPr="00C612E8">
        <w:rPr>
          <w:rFonts w:ascii="Arial" w:eastAsia="Times New Roman" w:hAnsi="Arial" w:cs="Arial"/>
          <w:b/>
          <w:bCs/>
          <w:color w:val="2A2A2A"/>
          <w:sz w:val="27"/>
          <w:szCs w:val="27"/>
          <w:rtl/>
        </w:rPr>
        <w:t>הנושאים עליהם הוסכם בהסדר</w:t>
      </w:r>
      <w:r w:rsidRPr="00C612E8">
        <w:rPr>
          <w:rFonts w:ascii="Arial" w:eastAsia="Times New Roman" w:hAnsi="Arial" w:cs="Arial"/>
          <w:color w:val="7C7C7C"/>
          <w:sz w:val="27"/>
          <w:szCs w:val="27"/>
        </w:rPr>
        <w:br/>
      </w:r>
      <w:r w:rsidRPr="00C612E8">
        <w:rPr>
          <w:rFonts w:ascii="Arial" w:eastAsia="Times New Roman" w:hAnsi="Arial" w:cs="Arial"/>
          <w:b/>
          <w:bCs/>
          <w:color w:val="2A2A2A"/>
          <w:sz w:val="27"/>
          <w:szCs w:val="27"/>
          <w:rtl/>
        </w:rPr>
        <w:t>נישואין וגירושין</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לבתי הדין הרבניים סמכות בלעדית לדון בענייני אישות - נישואין וגירושין</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שבת</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שמירת השבת במקומות ציבוריים. כגון: אי קיום תחבורה ציבורית בשבת</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כשרות</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שמירת כשרות במוסדות ממלכתיים</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חינוך</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אוטונומיה לחינוך הדתי</w:t>
      </w:r>
      <w:r w:rsidRPr="00C612E8">
        <w:rPr>
          <w:rFonts w:ascii="Arial" w:eastAsia="Times New Roman" w:hAnsi="Arial" w:cs="Arial"/>
          <w:color w:val="7C7C7C"/>
          <w:sz w:val="27"/>
          <w:szCs w:val="27"/>
        </w:rPr>
        <w:br/>
      </w:r>
      <w:r w:rsidRPr="00C612E8">
        <w:rPr>
          <w:rFonts w:ascii="Arial" w:eastAsia="Times New Roman" w:hAnsi="Arial" w:cs="Arial"/>
          <w:color w:val="2A2A2A"/>
          <w:sz w:val="27"/>
          <w:szCs w:val="27"/>
          <w:rtl/>
        </w:rPr>
        <w:t>הנטייה של המחוקקים הייתה להימנע ככל האפשר מהכרעות כמו חקיקה בנושאים שבהן</w:t>
      </w:r>
      <w:r w:rsidRPr="00C612E8">
        <w:rPr>
          <w:rFonts w:ascii="Arial" w:eastAsia="Times New Roman" w:hAnsi="Arial" w:cs="Arial"/>
          <w:color w:val="2A2A2A"/>
          <w:sz w:val="27"/>
          <w:szCs w:val="27"/>
        </w:rPr>
        <w:t> </w:t>
      </w:r>
      <w:r w:rsidRPr="00C612E8">
        <w:rPr>
          <w:rFonts w:ascii="Arial" w:eastAsia="Times New Roman" w:hAnsi="Arial" w:cs="Arial"/>
          <w:color w:val="2A2A2A"/>
          <w:sz w:val="27"/>
          <w:szCs w:val="27"/>
          <w:rtl/>
        </w:rPr>
        <w:t>הדעות חלוקות. חלק מסעיפי ההסכם עוגנו בחוקים</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חוק בתי דין רבניים תשי"ג 1953, מסדיר את סמכותם של בתי הדין הרבניים לדון בלעדית בענייני אישות</w:t>
      </w:r>
      <w:r w:rsidRPr="00C612E8">
        <w:rPr>
          <w:rFonts w:ascii="Arial" w:eastAsia="Times New Roman" w:hAnsi="Arial" w:cs="Arial"/>
          <w:color w:val="2A2A2A"/>
          <w:sz w:val="27"/>
          <w:szCs w:val="27"/>
        </w:rPr>
        <w:t xml:space="preserve"> -</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פקודת מאכל כשר בצה"ל תש"ט 1948 ביטוי לשמירת כשרות בציבור</w:t>
      </w:r>
      <w:r w:rsidRPr="00C612E8">
        <w:rPr>
          <w:rFonts w:ascii="Arial" w:eastAsia="Times New Roman" w:hAnsi="Arial" w:cs="Arial"/>
          <w:color w:val="2A2A2A"/>
          <w:sz w:val="27"/>
          <w:szCs w:val="27"/>
        </w:rPr>
        <w:t xml:space="preserve"> -</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חוק חינוך ממלכתי תשי"ג 1953 ביטוי לאוטונומיה של החינוך הדתי</w:t>
      </w:r>
      <w:r w:rsidRPr="00C612E8">
        <w:rPr>
          <w:rFonts w:ascii="Arial" w:eastAsia="Times New Roman" w:hAnsi="Arial" w:cs="Arial"/>
          <w:color w:val="2A2A2A"/>
          <w:sz w:val="27"/>
          <w:szCs w:val="27"/>
        </w:rPr>
        <w:t xml:space="preserve"> -</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חוק שעות עבודה ומנוחה תשי"א 1951 האוסר על העסקת עובדים יהודיים בשבת</w:t>
      </w:r>
      <w:r w:rsidRPr="00C612E8">
        <w:rPr>
          <w:rFonts w:ascii="Arial" w:eastAsia="Times New Roman" w:hAnsi="Arial" w:cs="Arial"/>
          <w:color w:val="2A2A2A"/>
          <w:sz w:val="27"/>
          <w:szCs w:val="27"/>
        </w:rPr>
        <w:t xml:space="preserve"> -</w:t>
      </w:r>
    </w:p>
    <w:p w:rsidR="00C612E8" w:rsidRDefault="00C612E8" w:rsidP="00C612E8">
      <w:pPr>
        <w:shd w:val="clear" w:color="auto" w:fill="FFFFFF"/>
        <w:bidi w:val="0"/>
        <w:spacing w:after="0" w:line="240" w:lineRule="auto"/>
        <w:jc w:val="right"/>
        <w:rPr>
          <w:rFonts w:ascii="Arial" w:eastAsia="Times New Roman" w:hAnsi="Arial" w:cs="Arial"/>
          <w:color w:val="7C7C7C"/>
          <w:sz w:val="27"/>
          <w:szCs w:val="27"/>
        </w:rPr>
      </w:pPr>
      <w:r w:rsidRPr="00C612E8">
        <w:rPr>
          <w:rFonts w:ascii="Arial" w:eastAsia="Times New Roman" w:hAnsi="Arial" w:cs="Arial"/>
          <w:b/>
          <w:bCs/>
          <w:color w:val="2A2A2A"/>
          <w:sz w:val="36"/>
          <w:szCs w:val="36"/>
          <w:rtl/>
        </w:rPr>
        <w:t>חוק השבות – תש"י 1950</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תוכן עיקרי</w:t>
      </w:r>
      <w:r w:rsidRPr="00C612E8">
        <w:rPr>
          <w:rFonts w:ascii="Arial" w:eastAsia="Times New Roman" w:hAnsi="Arial" w:cs="Arial"/>
          <w:color w:val="2A2A2A"/>
          <w:sz w:val="27"/>
          <w:szCs w:val="27"/>
        </w:rPr>
        <w:t xml:space="preserve">: </w:t>
      </w:r>
      <w:r w:rsidRPr="00C612E8">
        <w:rPr>
          <w:rFonts w:ascii="Arial" w:eastAsia="Times New Roman" w:hAnsi="Arial" w:cs="Arial"/>
          <w:color w:val="2A2A2A"/>
          <w:sz w:val="27"/>
          <w:szCs w:val="27"/>
          <w:rtl/>
        </w:rPr>
        <w:t>החוק מעניק לכל יהודי, בן זוגו, בניו נכדיו ובני זוגם אפשרות לעלות לארץ. מי שעולה לארץ מתוקף חוק השבות מקבל אוטומטית אזרחות על פי חוק האזרחות</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מטרת החוק</w:t>
      </w:r>
      <w:r w:rsidRPr="00C612E8">
        <w:rPr>
          <w:rFonts w:ascii="Arial" w:eastAsia="Times New Roman" w:hAnsi="Arial" w:cs="Arial"/>
          <w:color w:val="7C7C7C"/>
          <w:sz w:val="27"/>
          <w:szCs w:val="27"/>
        </w:rPr>
        <w:br/>
      </w:r>
      <w:r w:rsidRPr="00C612E8">
        <w:rPr>
          <w:rFonts w:ascii="Arial" w:eastAsia="Times New Roman" w:hAnsi="Arial" w:cs="Arial"/>
          <w:color w:val="2A2A2A"/>
          <w:sz w:val="27"/>
          <w:szCs w:val="27"/>
          <w:rtl/>
        </w:rPr>
        <w:t>א. להבטיח אפשרות של עליה של יהודים לארץ</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ב. לתת ביטוי חוקי להיותה של המדינה מדינתו של העם היהודי כולו ולא רק מדינתם של  אזרחיה</w:t>
      </w:r>
      <w:r w:rsidRPr="00C612E8">
        <w:rPr>
          <w:rFonts w:ascii="Arial" w:eastAsia="Times New Roman" w:hAnsi="Arial" w:cs="Arial"/>
          <w:color w:val="2A2A2A"/>
          <w:sz w:val="27"/>
          <w:szCs w:val="27"/>
        </w:rPr>
        <w:br/>
      </w:r>
      <w:r w:rsidRPr="00C612E8">
        <w:rPr>
          <w:rFonts w:ascii="Arial" w:eastAsia="Times New Roman" w:hAnsi="Arial" w:cs="Arial"/>
          <w:color w:val="2A2A2A"/>
          <w:sz w:val="27"/>
          <w:szCs w:val="27"/>
          <w:rtl/>
        </w:rPr>
        <w:t>ג. להבטיח את הרוב היהודי במדינה</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חוק השבות מבטא את ההיבט הלאומי</w:t>
      </w:r>
      <w:r w:rsidRPr="00C612E8">
        <w:rPr>
          <w:rFonts w:ascii="Arial" w:eastAsia="Times New Roman" w:hAnsi="Arial" w:cs="Arial"/>
          <w:color w:val="2A2A2A"/>
          <w:sz w:val="27"/>
          <w:szCs w:val="27"/>
        </w:rPr>
        <w:t> :</w:t>
      </w:r>
      <w:r w:rsidRPr="00C612E8">
        <w:rPr>
          <w:rFonts w:ascii="Arial" w:eastAsia="Times New Roman" w:hAnsi="Arial" w:cs="Arial"/>
          <w:color w:val="2A2A2A"/>
          <w:sz w:val="27"/>
          <w:szCs w:val="27"/>
          <w:rtl/>
        </w:rPr>
        <w:t>כיון שהוא מבטיח את הקשר עם העם היהודי, כיון שהוא רוצה לשמר את מספרם של יהודים במדינה ואינו בוחן את מידת הקשר של היהודים העולים לדת, למסורת ולתרבות היהודית</w:t>
      </w:r>
      <w:r w:rsidRPr="00C612E8">
        <w:rPr>
          <w:rFonts w:ascii="Arial" w:eastAsia="Times New Roman" w:hAnsi="Arial" w:cs="Arial"/>
          <w:color w:val="7C7C7C"/>
          <w:sz w:val="27"/>
          <w:szCs w:val="27"/>
        </w:rPr>
        <w:br/>
      </w:r>
    </w:p>
    <w:p w:rsidR="00C612E8" w:rsidRDefault="00C612E8" w:rsidP="00C612E8">
      <w:pPr>
        <w:shd w:val="clear" w:color="auto" w:fill="FFFFFF"/>
        <w:bidi w:val="0"/>
        <w:spacing w:after="0" w:line="240" w:lineRule="auto"/>
        <w:jc w:val="right"/>
        <w:rPr>
          <w:rFonts w:ascii="Arial" w:eastAsia="Times New Roman" w:hAnsi="Arial" w:cs="Arial"/>
          <w:color w:val="7C7C7C"/>
          <w:sz w:val="27"/>
          <w:szCs w:val="27"/>
        </w:rPr>
      </w:pPr>
    </w:p>
    <w:p w:rsidR="00C612E8" w:rsidRPr="00C612E8" w:rsidRDefault="00C612E8" w:rsidP="00C612E8">
      <w:pPr>
        <w:shd w:val="clear" w:color="auto" w:fill="FFFFFF"/>
        <w:bidi w:val="0"/>
        <w:spacing w:after="0" w:line="240" w:lineRule="auto"/>
        <w:jc w:val="right"/>
        <w:rPr>
          <w:rFonts w:ascii="Arial" w:eastAsia="Times New Roman" w:hAnsi="Arial" w:cs="Arial"/>
          <w:color w:val="7C7C7C"/>
          <w:sz w:val="27"/>
          <w:szCs w:val="27"/>
        </w:rPr>
      </w:pPr>
    </w:p>
    <w:p w:rsidR="00C612E8" w:rsidRDefault="00C612E8" w:rsidP="00C612E8">
      <w:pPr>
        <w:shd w:val="clear" w:color="auto" w:fill="FFFFFF"/>
        <w:bidi w:val="0"/>
        <w:spacing w:after="0" w:line="240" w:lineRule="auto"/>
        <w:jc w:val="right"/>
        <w:rPr>
          <w:rFonts w:ascii="Arial" w:eastAsia="Times New Roman" w:hAnsi="Arial" w:cs="Arial" w:hint="cs"/>
          <w:color w:val="2A2A2A"/>
          <w:sz w:val="27"/>
          <w:szCs w:val="27"/>
          <w:rtl/>
        </w:rPr>
      </w:pPr>
      <w:r w:rsidRPr="00C612E8">
        <w:rPr>
          <w:rFonts w:ascii="Arial" w:eastAsia="Times New Roman" w:hAnsi="Arial" w:cs="Arial"/>
          <w:b/>
          <w:bCs/>
          <w:color w:val="2A2A2A"/>
          <w:sz w:val="36"/>
          <w:szCs w:val="36"/>
          <w:rtl/>
        </w:rPr>
        <w:t>חוק האזרחות - 1952</w:t>
      </w:r>
      <w:r w:rsidRPr="00C612E8">
        <w:rPr>
          <w:rFonts w:ascii="Arial" w:eastAsia="Times New Roman" w:hAnsi="Arial" w:cs="Arial"/>
          <w:color w:val="7C7C7C"/>
          <w:sz w:val="27"/>
          <w:szCs w:val="27"/>
        </w:rPr>
        <w:br/>
      </w:r>
      <w:r w:rsidRPr="00C612E8">
        <w:rPr>
          <w:rFonts w:ascii="Arial" w:eastAsia="Times New Roman" w:hAnsi="Arial" w:cs="Arial"/>
          <w:b/>
          <w:bCs/>
          <w:color w:val="2A2A2A"/>
          <w:sz w:val="27"/>
          <w:szCs w:val="27"/>
          <w:rtl/>
        </w:rPr>
        <w:t>תוכן עיקרי</w:t>
      </w:r>
      <w:r w:rsidRPr="00C612E8">
        <w:rPr>
          <w:rFonts w:ascii="Arial" w:eastAsia="Times New Roman" w:hAnsi="Arial" w:cs="Arial"/>
          <w:color w:val="2A2A2A"/>
          <w:sz w:val="27"/>
          <w:szCs w:val="27"/>
        </w:rPr>
        <w:t xml:space="preserve">: </w:t>
      </w:r>
      <w:r w:rsidRPr="00C612E8">
        <w:rPr>
          <w:rFonts w:ascii="Arial" w:eastAsia="Times New Roman" w:hAnsi="Arial" w:cs="Arial"/>
          <w:color w:val="2A2A2A"/>
          <w:sz w:val="27"/>
          <w:szCs w:val="27"/>
          <w:rtl/>
        </w:rPr>
        <w:t>כל מדינה בעולם יש חוק אזרחות הקובע באילו תנאים זכאי אדם להפוך לאזרח המדינה. מדינות שונות מדגישות תנאים שונים לקבלת האזרחות – יש מדינות המבקשות שהתושב יקבל את עקרונות המדינה כתנאי לקבלת אזרחות בה, ואחרות מדגישות את השתייכות לאומית או תרבותית לקבוצה האתנית העיקרית במדינה</w:t>
      </w:r>
      <w:r w:rsidRPr="00C612E8">
        <w:rPr>
          <w:rFonts w:ascii="Arial" w:eastAsia="Times New Roman" w:hAnsi="Arial" w:cs="Arial"/>
          <w:color w:val="7C7C7C"/>
          <w:sz w:val="27"/>
          <w:szCs w:val="27"/>
        </w:rPr>
        <w:br/>
      </w:r>
      <w:r w:rsidRPr="00C612E8">
        <w:rPr>
          <w:rFonts w:ascii="Arial" w:eastAsia="Times New Roman" w:hAnsi="Arial" w:cs="Arial"/>
          <w:b/>
          <w:bCs/>
          <w:color w:val="2A2A2A"/>
          <w:sz w:val="27"/>
          <w:szCs w:val="27"/>
          <w:rtl/>
        </w:rPr>
        <w:t>מטרות החוק</w:t>
      </w:r>
      <w:r w:rsidRPr="00C612E8">
        <w:rPr>
          <w:rFonts w:ascii="Arial" w:eastAsia="Times New Roman" w:hAnsi="Arial" w:cs="Arial"/>
          <w:color w:val="7C7C7C"/>
          <w:sz w:val="27"/>
          <w:szCs w:val="27"/>
        </w:rPr>
        <w:br/>
      </w:r>
      <w:r w:rsidRPr="00C612E8">
        <w:rPr>
          <w:rFonts w:ascii="Arial" w:eastAsia="Times New Roman" w:hAnsi="Arial" w:cs="Arial"/>
          <w:color w:val="2A2A2A"/>
          <w:sz w:val="27"/>
          <w:szCs w:val="27"/>
          <w:rtl/>
        </w:rPr>
        <w:t>א. להסדיר את הליך קבלת האזרחות במדינה</w:t>
      </w:r>
      <w:r w:rsidRPr="00C612E8">
        <w:rPr>
          <w:rFonts w:ascii="Arial" w:eastAsia="Times New Roman" w:hAnsi="Arial" w:cs="Arial"/>
          <w:color w:val="7C7C7C"/>
          <w:sz w:val="27"/>
          <w:szCs w:val="27"/>
        </w:rPr>
        <w:br/>
      </w:r>
      <w:r w:rsidRPr="00C612E8">
        <w:rPr>
          <w:rFonts w:ascii="Arial" w:eastAsia="Times New Roman" w:hAnsi="Arial" w:cs="Arial"/>
          <w:color w:val="2A2A2A"/>
          <w:sz w:val="27"/>
          <w:szCs w:val="27"/>
          <w:rtl/>
        </w:rPr>
        <w:t>ב. לשמור על הצביון היהודי של מדינת ישראל</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אזרחות מתוקף חוק השבות</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כל אדם שעלה לארץ במסגרת חוק השבות זכאי לקבל אזרחות ישראלית</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אזרחות מתוקף לידה</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כל אדם שנולד להורה בעל אזרחות ישראלית זכאי לקבל אזרחות ישראלית</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אזרחות מתוקף ישיבה בארץ ערב הקמת המדינה</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כל אדם שחי בשטח ישראל בזמן הקמת המדינה זכאי לקבל אזרחות ישראלית</w:t>
      </w:r>
      <w:r w:rsidRPr="00C612E8">
        <w:rPr>
          <w:rFonts w:ascii="Arial" w:eastAsia="Times New Roman" w:hAnsi="Arial" w:cs="Arial"/>
          <w:color w:val="2A2A2A"/>
          <w:sz w:val="27"/>
          <w:szCs w:val="27"/>
        </w:rPr>
        <w:br/>
      </w:r>
      <w:r w:rsidRPr="00C612E8">
        <w:rPr>
          <w:rFonts w:ascii="Arial" w:eastAsia="Times New Roman" w:hAnsi="Arial" w:cs="Arial"/>
          <w:b/>
          <w:bCs/>
          <w:color w:val="2A2A2A"/>
          <w:sz w:val="27"/>
          <w:szCs w:val="27"/>
          <w:rtl/>
        </w:rPr>
        <w:t>אזרחות מתוקף התאזרחות</w:t>
      </w:r>
      <w:r w:rsidRPr="00C612E8">
        <w:rPr>
          <w:rFonts w:ascii="Arial" w:eastAsia="Times New Roman" w:hAnsi="Arial" w:cs="Arial"/>
          <w:color w:val="2A2A2A"/>
          <w:sz w:val="27"/>
          <w:szCs w:val="27"/>
        </w:rPr>
        <w:t xml:space="preserve"> – </w:t>
      </w:r>
      <w:r w:rsidRPr="00C612E8">
        <w:rPr>
          <w:rFonts w:ascii="Arial" w:eastAsia="Times New Roman" w:hAnsi="Arial" w:cs="Arial"/>
          <w:color w:val="2A2A2A"/>
          <w:sz w:val="27"/>
          <w:szCs w:val="27"/>
          <w:rtl/>
        </w:rPr>
        <w:t>שר הפנים זכאי להעניק אזרחות ישראלית לכל אדם שאינו בן למשפחה יהודית, אם הוא עמד בכמה תנאים: חי בישראל ומתחייב שהוא מתכוון להמשיך לחיות בה, יודע עברית בסיסית, מצהיר אמונים למדינה ומוותר על אזרחות קודמת</w:t>
      </w:r>
      <w:r>
        <w:rPr>
          <w:rFonts w:ascii="Arial" w:eastAsia="Times New Roman" w:hAnsi="Arial" w:cs="Arial" w:hint="cs"/>
          <w:color w:val="2A2A2A"/>
          <w:sz w:val="27"/>
          <w:szCs w:val="27"/>
          <w:rtl/>
        </w:rPr>
        <w:t>.</w:t>
      </w:r>
    </w:p>
    <w:p w:rsidR="00C612E8" w:rsidRPr="00C612E8" w:rsidRDefault="00C612E8" w:rsidP="00C612E8">
      <w:pPr>
        <w:shd w:val="clear" w:color="auto" w:fill="FFFFFF"/>
        <w:bidi w:val="0"/>
        <w:spacing w:after="0" w:line="240" w:lineRule="auto"/>
        <w:jc w:val="right"/>
        <w:rPr>
          <w:rFonts w:ascii="Arial" w:eastAsia="Times New Roman" w:hAnsi="Arial" w:cs="Arial"/>
          <w:color w:val="7C7C7C"/>
          <w:sz w:val="27"/>
          <w:szCs w:val="27"/>
        </w:rPr>
      </w:pPr>
    </w:p>
    <w:p w:rsidR="00C612E8" w:rsidRDefault="00C612E8" w:rsidP="00C612E8">
      <w:pPr>
        <w:rPr>
          <w:rStyle w:val="apple-converted-space"/>
          <w:rFonts w:ascii="Arial" w:hAnsi="Arial" w:cs="Arial"/>
          <w:b/>
          <w:bCs/>
          <w:color w:val="2A2A2A"/>
          <w:sz w:val="48"/>
          <w:szCs w:val="48"/>
          <w:shd w:val="clear" w:color="auto" w:fill="FFFFFF"/>
        </w:rPr>
      </w:pPr>
      <w:r>
        <w:rPr>
          <w:rStyle w:val="Strong"/>
          <w:rFonts w:ascii="Arial" w:hAnsi="Arial" w:cs="Arial" w:hint="cs"/>
          <w:color w:val="2A2A2A"/>
          <w:sz w:val="48"/>
          <w:szCs w:val="48"/>
          <w:shd w:val="clear" w:color="auto" w:fill="FFFFFF"/>
          <w:rtl/>
        </w:rPr>
        <w:t>ח</w:t>
      </w:r>
      <w:r>
        <w:rPr>
          <w:rStyle w:val="Strong"/>
          <w:rFonts w:ascii="Arial" w:hAnsi="Arial" w:cs="Arial"/>
          <w:color w:val="2A2A2A"/>
          <w:sz w:val="48"/>
          <w:szCs w:val="48"/>
          <w:shd w:val="clear" w:color="auto" w:fill="FFFFFF"/>
          <w:rtl/>
        </w:rPr>
        <w:t>וק יסוד מקרקעי ישראל - תש"ך</w:t>
      </w:r>
      <w:r>
        <w:rPr>
          <w:rStyle w:val="Strong"/>
          <w:rFonts w:ascii="Arial" w:hAnsi="Arial" w:cs="Arial" w:hint="cs"/>
          <w:color w:val="2A2A2A"/>
          <w:sz w:val="48"/>
          <w:szCs w:val="48"/>
          <w:shd w:val="clear" w:color="auto" w:fill="FFFFFF"/>
          <w:rtl/>
        </w:rPr>
        <w:t xml:space="preserve">  </w:t>
      </w:r>
      <w:r>
        <w:rPr>
          <w:rStyle w:val="apple-converted-space"/>
          <w:rFonts w:ascii="Arial" w:hAnsi="Arial" w:cs="Arial"/>
          <w:b/>
          <w:bCs/>
          <w:color w:val="2A2A2A"/>
          <w:sz w:val="48"/>
          <w:szCs w:val="48"/>
          <w:shd w:val="clear" w:color="auto" w:fill="FFFFFF"/>
        </w:rPr>
        <w:t>1960</w:t>
      </w:r>
    </w:p>
    <w:p w:rsidR="00010253" w:rsidRDefault="00C612E8" w:rsidP="00C612E8">
      <w:r>
        <w:rPr>
          <w:rStyle w:val="apple-converted-space"/>
          <w:rFonts w:ascii="Arial" w:hAnsi="Arial" w:cs="Arial"/>
          <w:b/>
          <w:bCs/>
          <w:color w:val="2A2A2A"/>
          <w:sz w:val="48"/>
          <w:szCs w:val="48"/>
          <w:shd w:val="clear" w:color="auto" w:fill="FFFFFF"/>
        </w:rPr>
        <w:t> </w:t>
      </w:r>
      <w:r>
        <w:rPr>
          <w:rStyle w:val="Strong"/>
          <w:rFonts w:ascii="Arial" w:hAnsi="Arial" w:cs="Arial"/>
          <w:color w:val="2A2A2A"/>
          <w:sz w:val="27"/>
          <w:szCs w:val="27"/>
          <w:shd w:val="clear" w:color="auto" w:fill="FFFFFF"/>
          <w:rtl/>
        </w:rPr>
        <w:t>תוכן עיקרי</w:t>
      </w:r>
      <w:r>
        <w:rPr>
          <w:rFonts w:ascii="Arial" w:hAnsi="Arial" w:cs="Arial"/>
          <w:color w:val="2A2A2A"/>
          <w:sz w:val="27"/>
          <w:szCs w:val="27"/>
          <w:shd w:val="clear" w:color="auto" w:fill="FFFFFF"/>
        </w:rPr>
        <w:t xml:space="preserve">: </w:t>
      </w:r>
      <w:r>
        <w:rPr>
          <w:rFonts w:ascii="Arial" w:hAnsi="Arial" w:cs="Arial"/>
          <w:color w:val="2A2A2A"/>
          <w:sz w:val="27"/>
          <w:szCs w:val="27"/>
          <w:shd w:val="clear" w:color="auto" w:fill="FFFFFF"/>
          <w:rtl/>
        </w:rPr>
        <w:t>מקרקעי ישראל הם אדמות הלאום הכוללים כ - 90% מקרקעות המדינה. קרקעות אלה כוללות גם את אדמות הקרן הקיימת לישראל המהוות 17% מהן. החוק קובע שקרקעות אלה אינן ניתנות למכירה אם במכר או בדרך אחרת. כל הקרקעות האלה ניתנות לחכירה בלבד. באשר לאדמות הקק"ל, אין מחכירים אדמות אלו ללא - יהודים, מכיוון שמטרתה של</w:t>
      </w:r>
      <w:r>
        <w:rPr>
          <w:rStyle w:val="apple-converted-space"/>
          <w:rFonts w:ascii="Arial" w:hAnsi="Arial" w:cs="Arial"/>
          <w:color w:val="2A2A2A"/>
          <w:sz w:val="27"/>
          <w:szCs w:val="27"/>
          <w:shd w:val="clear" w:color="auto" w:fill="FFFFFF"/>
        </w:rPr>
        <w:t> </w:t>
      </w:r>
      <w:r>
        <w:rPr>
          <w:rFonts w:ascii="Arial" w:hAnsi="Arial" w:cs="Arial"/>
          <w:color w:val="2A2A2A"/>
          <w:sz w:val="27"/>
          <w:szCs w:val="27"/>
          <w:shd w:val="clear" w:color="auto" w:fill="FFFFFF"/>
          <w:rtl/>
        </w:rPr>
        <w:t>הקק"ל הייתה מאז ומתמיד לרכוש קרקעות להתיישבות יהודית. נוהג זה מסתמך על מטרות הקק"ל המעוגנות בחוק הקק"ל (תשי"ג - 1953 ) והוא בא לידי ביטוי גם בתקנון הקק"ל</w:t>
      </w:r>
      <w:r w:rsidR="00010253">
        <w:rPr>
          <w:rFonts w:ascii="Arial" w:hAnsi="Arial" w:cs="Arial"/>
          <w:color w:val="2A2A2A"/>
          <w:sz w:val="27"/>
          <w:szCs w:val="27"/>
        </w:rPr>
        <w:br/>
      </w:r>
      <w:bookmarkStart w:id="0" w:name="_GoBack"/>
      <w:bookmarkEnd w:id="0"/>
    </w:p>
    <w:sectPr w:rsidR="00010253"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53"/>
    <w:rsid w:val="00010253"/>
    <w:rsid w:val="00701B93"/>
    <w:rsid w:val="00C612E8"/>
    <w:rsid w:val="00DC3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0253"/>
    <w:rPr>
      <w:b/>
      <w:bCs/>
    </w:rPr>
  </w:style>
  <w:style w:type="character" w:customStyle="1" w:styleId="apple-converted-space">
    <w:name w:val="apple-converted-space"/>
    <w:basedOn w:val="DefaultParagraphFont"/>
    <w:rsid w:val="0001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0253"/>
    <w:rPr>
      <w:b/>
      <w:bCs/>
    </w:rPr>
  </w:style>
  <w:style w:type="character" w:customStyle="1" w:styleId="apple-converted-space">
    <w:name w:val="apple-converted-space"/>
    <w:basedOn w:val="DefaultParagraphFont"/>
    <w:rsid w:val="0001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802</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1</cp:revision>
  <dcterms:created xsi:type="dcterms:W3CDTF">2016-10-08T18:35:00Z</dcterms:created>
  <dcterms:modified xsi:type="dcterms:W3CDTF">2016-10-08T18:52:00Z</dcterms:modified>
</cp:coreProperties>
</file>