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למידה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מרחוק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-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היסטוריה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חמ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center"/>
        <w:rPr>
          <w:i w:val="1"/>
          <w:color w:val="2e75b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829300" cy="2018805"/>
                <wp:effectExtent b="1968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01880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848350" cy="20384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203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Gisha" w:cs="Gisha" w:eastAsia="Gisha" w:hAnsi="Gisha"/>
          <w:i w:val="1"/>
          <w:color w:val="2e75b5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הקדמה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השיעור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הקרוב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יתחלק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לשניים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בחלקו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תכירו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הפרטיזנים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וחלקו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יעסוק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שארית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הפליטה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"-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הנושא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שיחתום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לנו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לימודי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center"/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עברו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המערך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וענו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התשובות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ישירות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הקובץ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במחברותיכן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center"/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שאלת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הבגרות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בסוף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single"/>
          <w:vertAlign w:val="baseline"/>
          <w:rtl w:val="1"/>
        </w:rPr>
        <w:t xml:space="preserve">להגשה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2e75b5"/>
          <w:sz w:val="24"/>
          <w:szCs w:val="24"/>
          <w:highlight w:val="white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center"/>
        <w:rPr>
          <w:rFonts w:ascii="Gisha" w:cs="Gisha" w:eastAsia="Gisha" w:hAnsi="Gisha"/>
          <w:i w:val="1"/>
          <w:color w:val="2e75b5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b w:val="1"/>
          <w:i w:val="1"/>
          <w:color w:val="2e75b5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b w:val="1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2e75b5"/>
          <w:sz w:val="24"/>
          <w:szCs w:val="24"/>
          <w:highlight w:val="white"/>
          <w:rtl w:val="1"/>
        </w:rPr>
        <w:t xml:space="preserve">נוסף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במהלך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השיעור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תצפו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בשיעור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קצר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שלחה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מפמרי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היסטוריה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ערוך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מצויין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ומעניין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השארתי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כפי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( 9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דק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סה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וכמובן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מוזמנות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לפנות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בשאלות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rFonts w:ascii="Gisha" w:cs="Gisha" w:eastAsia="Gisha" w:hAnsi="Gisha"/>
          <w:i w:val="1"/>
          <w:color w:val="2e75b5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פרטיזנים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עסקנו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בלחימה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מאורגנת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בגטאות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ובמחנות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כעת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נעבור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להכיר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גוף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לוחם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נוסף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הפרטיזנים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40" w:lineRule="auto"/>
        <w:rPr>
          <w:rFonts w:ascii="Gisha" w:cs="Gisha" w:eastAsia="Gisha" w:hAnsi="Gisha"/>
          <w:b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Fonts w:ascii="Gisha" w:cs="Gisha" w:eastAsia="Gisha" w:hAnsi="Gisha"/>
          <w:b w:val="1"/>
          <w:color w:val="ff0000"/>
          <w:sz w:val="28"/>
          <w:szCs w:val="28"/>
          <w:highlight w:val="white"/>
          <w:rtl w:val="1"/>
        </w:rPr>
        <w:t xml:space="preserve">הגדרה</w:t>
      </w:r>
      <w:r w:rsidDel="00000000" w:rsidR="00000000" w:rsidRPr="00000000">
        <w:rPr>
          <w:rFonts w:ascii="Gisha" w:cs="Gisha" w:eastAsia="Gisha" w:hAnsi="Gisha"/>
          <w:b w:val="1"/>
          <w:color w:val="ff0000"/>
          <w:sz w:val="28"/>
          <w:szCs w:val="28"/>
          <w:highlight w:val="whit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לוחמי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מחתרת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שפעלו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ביערות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בקבוצות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צבא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קטן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ולא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סדיר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ונלחמו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בכובש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הנאצי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מנת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לשחרר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ארצם</w:t>
      </w:r>
      <w:r w:rsidDel="00000000" w:rsidR="00000000" w:rsidRPr="00000000">
        <w:rPr>
          <w:rFonts w:ascii="Gisha" w:cs="Gisha" w:eastAsia="Gisha" w:hAnsi="Gisha"/>
          <w:b w:val="1"/>
          <w:i w:val="1"/>
          <w:color w:val="ff0000"/>
          <w:sz w:val="28"/>
          <w:szCs w:val="28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4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בדומה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ללוחמים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בגטאות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ובמחנות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הפרטיזנים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התלבטו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בשאלה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לברוח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ליער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להשאר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בגטו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ניהול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סיכונים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קשה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צפי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hyperlink r:id="rId7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בסרטון</w:t>
        </w:r>
      </w:hyperlink>
      <w:hyperlink r:id="rId8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הבא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הלקוח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הסרט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התנגדות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סיפורם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המופלא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פרטיזני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ביילסקי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עליהם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עוד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נרחיב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ועני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השאלה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המצורפת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כתבי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2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טיעונים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מהצדדים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single"/>
          <w:vertAlign w:val="baseline"/>
          <w:rtl w:val="1"/>
        </w:rPr>
        <w:t xml:space="preserve">התומכים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single"/>
          <w:vertAlign w:val="baseline"/>
          <w:rtl w:val="1"/>
        </w:rPr>
        <w:t xml:space="preserve">והמתנגדים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לבריחה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מהגטו</w:t>
      </w:r>
      <w:r w:rsidDel="00000000" w:rsidR="00000000" w:rsidRPr="00000000">
        <w:rPr>
          <w:rFonts w:ascii="Gisha" w:cs="Gisha" w:eastAsia="Gisha" w:hAnsi="Gisha"/>
          <w:b w:val="0"/>
          <w:i w:val="1"/>
          <w:smallCaps w:val="0"/>
          <w:strike w:val="0"/>
          <w:color w:val="3c3c3c"/>
          <w:sz w:val="24"/>
          <w:szCs w:val="24"/>
          <w:highlight w:val="white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הפרטיזנים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השתלבו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קבוצות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אחרות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הקימו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יחידות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משל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עצמם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בין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מעשיהם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פיצוץ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גשרים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ומסילות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רכבת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התנכלות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לחיילים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נאציים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ולמחנות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צבאיים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ועוד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סה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מספר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הפרטיזנים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עמד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-20,000.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המדינות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הבולטות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פעלו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פרטיזנים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יהודים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היתה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יוגוסלביה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4,572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פרטיזנים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מתוכם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-150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קיבלו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עיטורי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כבוד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בסיום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המלחמה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מחנות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משפחה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בשל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ערך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קידוש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החיים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"-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והערבות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ההדדית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היתה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ליהודים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תופעה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ייחודית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מחנות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משפחה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"-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התגוררו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משפחות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שלמות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לצד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הלוחמים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האתגרים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הטמונים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בכך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הגדול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שבהם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מחנה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ביילסקי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אפשר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לקרוא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אודותיו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בעמ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' 201)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288290</wp:posOffset>
            </wp:positionV>
            <wp:extent cx="2192020" cy="1490345"/>
            <wp:effectExtent b="0" l="0" r="0" t="0"/>
            <wp:wrapSquare wrapText="bothSides" distB="0" distT="0" distL="114300" distR="114300"/>
            <wp:docPr descr="×ª××¦××ª ×ª××× × ×¢×××¨ ×××××¡×§×" id="3" name="image3.png"/>
            <a:graphic>
              <a:graphicData uri="http://schemas.openxmlformats.org/drawingml/2006/picture">
                <pic:pic>
                  <pic:nvPicPr>
                    <pic:cNvPr descr="×ª××¦××ª ×ª××× × ×¢×××¨ ×××××¡×§×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490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לסיום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צפו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hyperlink r:id="rId11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בעדותה</w:t>
        </w:r>
      </w:hyperlink>
      <w:hyperlink r:id="rId12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של</w:t>
        </w:r>
      </w:hyperlink>
      <w:hyperlink r:id="rId14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15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צילה</w:t>
        </w:r>
      </w:hyperlink>
      <w:hyperlink r:id="rId16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17">
        <w:r w:rsidDel="00000000" w:rsidR="00000000" w:rsidRPr="00000000">
          <w:rPr>
            <w:rFonts w:ascii="Gisha" w:cs="Gisha" w:eastAsia="Gisha" w:hAnsi="Gisha"/>
            <w:color w:val="0000ff"/>
            <w:sz w:val="24"/>
            <w:szCs w:val="24"/>
            <w:highlight w:val="white"/>
            <w:u w:val="single"/>
            <w:rtl w:val="1"/>
          </w:rPr>
          <w:t xml:space="preserve">יופן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מחנה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המשפחות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הזה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אתר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יד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ושם</w:t>
      </w:r>
      <w:r w:rsidDel="00000000" w:rsidR="00000000" w:rsidRPr="00000000">
        <w:rPr>
          <w:rFonts w:ascii="Gisha" w:cs="Gisha" w:eastAsia="Gisha" w:hAnsi="Gisha"/>
          <w:color w:val="3c3c3c"/>
          <w:sz w:val="24"/>
          <w:szCs w:val="24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left="360" w:firstLine="0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left="360" w:firstLine="0"/>
        <w:rPr>
          <w:rFonts w:ascii="Gisha" w:cs="Gisha" w:eastAsia="Gisha" w:hAnsi="Gisha"/>
          <w:color w:val="3c3c3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center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שארית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הפליטה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ומחנות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color w:val="3c3c3c"/>
          <w:sz w:val="28"/>
          <w:szCs w:val="28"/>
          <w:highlight w:val="white"/>
          <w:u w:val="single"/>
          <w:rtl w:val="1"/>
        </w:rPr>
        <w:t xml:space="preserve">העקורים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both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במשך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שנים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ארוכות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עברו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אירופה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תלאות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נוראיות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ואז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בוקר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המלחמה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נגמרה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היום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נשאל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יהיה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עכשיו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יראו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חייהם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ביום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שאחרי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המלחמה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התמודדויות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ליוו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תהליך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ההשתקמות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מנוראות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שלב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משמעות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המילה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שחרור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איך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נראה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אדם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משוחרר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ניצולי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משוחררים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להבין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מצבם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-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עיינו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hyperlink r:id="rId18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במצגת</w:t>
        </w:r>
      </w:hyperlink>
      <w:hyperlink r:id="rId19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הבאה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מצגת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תמונות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להבהל</w:t>
      </w:r>
      <w:r w:rsidDel="00000000" w:rsidR="00000000" w:rsidRPr="00000000">
        <w:rPr>
          <w:rFonts w:ascii="Gisha" w:cs="Gisha" w:eastAsia="Gisha" w:hAnsi="Gisha"/>
          <w:sz w:val="24"/>
          <w:szCs w:val="24"/>
          <w:rtl w:val="1"/>
        </w:rPr>
        <w:t xml:space="preserve">...)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וענו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השאלות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באלו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קשיים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נתקלו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שארית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הפליטה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לדעתכם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צריך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להיות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סדר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העדיפויות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בפתרון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קשיים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rPr>
          <w:rFonts w:ascii="Gisha" w:cs="Gisha" w:eastAsia="Gisha" w:hAnsi="Gisha"/>
          <w:color w:val="b45f06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rPr>
          <w:rFonts w:ascii="Gisha" w:cs="Gisha" w:eastAsia="Gisha" w:hAnsi="Gisha"/>
          <w:color w:val="b45f06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שלב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צפו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hyperlink r:id="rId21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בשיעור</w:t>
        </w:r>
      </w:hyperlink>
      <w:hyperlink r:id="rId22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23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הבא</w:t>
        </w:r>
      </w:hyperlink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צפו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hyperlink r:id="rId24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בסרטון</w:t>
        </w:r>
      </w:hyperlink>
      <w:hyperlink r:id="rId25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26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הקצר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המתאר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ניסיונות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השיקום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bidi w:val="1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כיצד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מתמודדים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הקשיים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שהצגנו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בחלק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שלב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':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צפו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hyperlink r:id="rId27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בסרטון</w:t>
        </w:r>
      </w:hyperlink>
      <w:hyperlink r:id="rId28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rFonts w:ascii="Gisha" w:cs="Gisha" w:eastAsia="Gisha" w:hAnsi="Gisha"/>
            <w:color w:val="1155cc"/>
            <w:sz w:val="24"/>
            <w:szCs w:val="24"/>
            <w:highlight w:val="white"/>
            <w:u w:val="single"/>
            <w:rtl w:val="1"/>
          </w:rPr>
          <w:t xml:space="preserve">הקצר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איתור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ילדים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שהתחבאו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בבתי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נוצרים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bidi w:val="1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חשוב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קשיים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עמדו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בפני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האנשים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שניסו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לחלץ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הילדים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שהוחבאו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במנזרים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חשוב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התהליך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השחרור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bidi w:val="1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קשיים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ימשיכו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ללוות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הילדים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השחרור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שלב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color w:val="b45f06"/>
          <w:sz w:val="24"/>
          <w:szCs w:val="24"/>
          <w:highlight w:val="white"/>
          <w:u w:val="singl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שאלות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התרגול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הבאות</w:t>
      </w:r>
      <w:r w:rsidDel="00000000" w:rsidR="00000000" w:rsidRPr="00000000">
        <w:rPr>
          <w:rFonts w:ascii="Gisha" w:cs="Gisha" w:eastAsia="Gisha" w:hAnsi="Gisha"/>
          <w:color w:val="000000"/>
          <w:sz w:val="24"/>
          <w:szCs w:val="24"/>
          <w:highlight w:val="white"/>
          <w:rtl w:val="1"/>
        </w:rPr>
        <w:t xml:space="preserve">: </w:t>
      </w:r>
      <w:r w:rsidDel="00000000" w:rsidR="00000000" w:rsidRPr="00000000">
        <w:rPr>
          <w:rFonts w:ascii="Gisha" w:cs="Gisha" w:eastAsia="Gisha" w:hAnsi="Gisha"/>
          <w:sz w:val="24"/>
          <w:szCs w:val="24"/>
        </w:rPr>
        <w:drawing>
          <wp:inline distB="0" distT="0" distL="0" distR="0">
            <wp:extent cx="1504950" cy="2152650"/>
            <wp:effectExtent b="0" l="0" r="0" t="0"/>
            <wp:docPr descr="תמונה שמכילה טקסט&#10;&#10;התיאור נוצר באופן אוטומטי" id="2" name="image2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2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69.0" w:type="dxa"/>
        <w:jc w:val="right"/>
        <w:tblLayout w:type="fixed"/>
        <w:tblLook w:val="0400"/>
      </w:tblPr>
      <w:tblGrid>
        <w:gridCol w:w="9069"/>
        <w:tblGridChange w:id="0">
          <w:tblGrid>
            <w:gridCol w:w="90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לפניך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תמונה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מספר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שנדפס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במחנה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העקורים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1947. 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0"/>
              </w:rPr>
              <w:t xml:space="preserve">(</w:t>
            </w:r>
            <w:hyperlink r:id="rId31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להגדלת</w:t>
              </w:r>
            </w:hyperlink>
            <w:hyperlink r:id="rId32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התמונה</w:t>
              </w:r>
            </w:hyperlink>
            <w:hyperlink r:id="rId34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35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לחץ</w:t>
              </w:r>
            </w:hyperlink>
            <w:hyperlink r:id="rId36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37">
              <w:r w:rsidDel="00000000" w:rsidR="00000000" w:rsidRPr="00000000">
                <w:rPr>
                  <w:rFonts w:ascii="Gisha" w:cs="Gisha" w:eastAsia="Gisha" w:hAnsi="Gisha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כא</w:t>
              </w:r>
            </w:hyperlink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ן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א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לאחר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מלחמת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העולם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השנייה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נאלצו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ניצולי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השואה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להאבק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שיקומם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וחירותם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הצג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שתי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דוגמאות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למאמצי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השיקום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ניצולי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השואה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במחנות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העקורים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פי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שני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רכיבים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מהמקור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ב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הצג</w:t>
            </w:r>
            <w:r w:rsidDel="00000000" w:rsidR="00000000" w:rsidRPr="00000000">
              <w:rPr>
                <w:rFonts w:ascii="Gisha" w:cs="Gisha" w:eastAsia="Gisha" w:hAnsi="Gisha"/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שני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קשיים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שהיו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לארגונים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יהודיים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ולאנשים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פרטיים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אחרי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השואה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ֵ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במהלך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הניסיון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להחזיר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לחיק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עמם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ילדים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יהודים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שהוסתרו</w:t>
            </w:r>
            <w:r w:rsidDel="00000000" w:rsidR="00000000" w:rsidRPr="00000000">
              <w:rPr>
                <w:rFonts w:ascii="Gisha" w:cs="Gisha" w:eastAsia="Gisha" w:hAnsi="Gisha"/>
                <w:color w:val="000000"/>
                <w:sz w:val="24"/>
                <w:szCs w:val="24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Gisha" w:cs="Gisha" w:eastAsia="Gisha" w:hAnsi="Gish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right"/>
        <w:rPr>
          <w:rFonts w:ascii="Gisha" w:cs="Gisha" w:eastAsia="Gisha" w:hAnsi="Gisha"/>
          <w:sz w:val="24"/>
          <w:szCs w:val="24"/>
        </w:rPr>
      </w:pPr>
      <w:r w:rsidDel="00000000" w:rsidR="00000000" w:rsidRPr="00000000">
        <w:rPr>
          <w:rFonts w:ascii="Gisha" w:cs="Gisha" w:eastAsia="Gisha" w:hAnsi="Gisha"/>
          <w:color w:val="414141"/>
          <w:sz w:val="24"/>
          <w:szCs w:val="24"/>
          <w:shd w:fill="fdfdfd" w:val="clear"/>
          <w:rtl w:val="1"/>
        </w:rPr>
        <w:t xml:space="preserve">בהצלחה</w:t>
      </w:r>
      <w:r w:rsidDel="00000000" w:rsidR="00000000" w:rsidRPr="00000000">
        <w:rPr>
          <w:rFonts w:ascii="Gisha" w:cs="Gisha" w:eastAsia="Gisha" w:hAnsi="Gisha"/>
          <w:color w:val="414141"/>
          <w:sz w:val="24"/>
          <w:szCs w:val="24"/>
          <w:shd w:fill="fdfdfd" w:val="clear"/>
          <w:rtl w:val="1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ish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HIdqIYhI36gIDZYliUJ67-0AmXZf8aIBlHWSxogdkuU/edit?usp=sharing" TargetMode="External"/><Relationship Id="rId22" Type="http://schemas.openxmlformats.org/officeDocument/2006/relationships/hyperlink" Target="https://www.youtube.com/watch?v=IlglqYgOUGY&amp;feature=youtu.be" TargetMode="External"/><Relationship Id="rId21" Type="http://schemas.openxmlformats.org/officeDocument/2006/relationships/hyperlink" Target="https://www.youtube.com/watch?v=IlglqYgOUGY&amp;feature=youtu.be" TargetMode="External"/><Relationship Id="rId24" Type="http://schemas.openxmlformats.org/officeDocument/2006/relationships/hyperlink" Target="https://www.youtube.com/watch?v=HM2ojjeid60&amp;feature=youtu.be" TargetMode="External"/><Relationship Id="rId23" Type="http://schemas.openxmlformats.org/officeDocument/2006/relationships/hyperlink" Target="https://www.youtube.com/watch?v=IlglqYgOUGY&amp;feature=youtu.b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6" Type="http://schemas.openxmlformats.org/officeDocument/2006/relationships/hyperlink" Target="https://www.youtube.com/watch?v=HM2ojjeid60&amp;feature=youtu.be" TargetMode="External"/><Relationship Id="rId25" Type="http://schemas.openxmlformats.org/officeDocument/2006/relationships/hyperlink" Target="https://www.youtube.com/watch?v=HM2ojjeid60&amp;feature=youtu.be" TargetMode="External"/><Relationship Id="rId28" Type="http://schemas.openxmlformats.org/officeDocument/2006/relationships/hyperlink" Target="https://www.youtube.com/watch?v=GKGyI88ZkS8&amp;spfreload=10" TargetMode="External"/><Relationship Id="rId27" Type="http://schemas.openxmlformats.org/officeDocument/2006/relationships/hyperlink" Target="https://www.youtube.com/watch?v=GKGyI88ZkS8&amp;spfreload=1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www.youtube.com/watch?v=GKGyI88ZkS8&amp;spfreload=10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31" Type="http://schemas.openxmlformats.org/officeDocument/2006/relationships/hyperlink" Target="https://docs.google.com/document/d/1dF5Fsfnz_v_DT2TiMrlMq_VaTIomjXMrVHkxAasyLy0/edit?usp=sharing" TargetMode="External"/><Relationship Id="rId30" Type="http://schemas.openxmlformats.org/officeDocument/2006/relationships/image" Target="media/image2.png"/><Relationship Id="rId11" Type="http://schemas.openxmlformats.org/officeDocument/2006/relationships/hyperlink" Target="about:blank" TargetMode="External"/><Relationship Id="rId33" Type="http://schemas.openxmlformats.org/officeDocument/2006/relationships/hyperlink" Target="https://docs.google.com/document/d/1dF5Fsfnz_v_DT2TiMrlMq_VaTIomjXMrVHkxAasyLy0/edit?usp=sharing" TargetMode="External"/><Relationship Id="rId10" Type="http://schemas.openxmlformats.org/officeDocument/2006/relationships/image" Target="media/image3.png"/><Relationship Id="rId32" Type="http://schemas.openxmlformats.org/officeDocument/2006/relationships/hyperlink" Target="https://docs.google.com/document/d/1dF5Fsfnz_v_DT2TiMrlMq_VaTIomjXMrVHkxAasyLy0/edit?usp=sharing" TargetMode="External"/><Relationship Id="rId13" Type="http://schemas.openxmlformats.org/officeDocument/2006/relationships/hyperlink" Target="about:blank" TargetMode="External"/><Relationship Id="rId35" Type="http://schemas.openxmlformats.org/officeDocument/2006/relationships/hyperlink" Target="https://docs.google.com/document/d/1dF5Fsfnz_v_DT2TiMrlMq_VaTIomjXMrVHkxAasyLy0/edit?usp=sharing" TargetMode="External"/><Relationship Id="rId12" Type="http://schemas.openxmlformats.org/officeDocument/2006/relationships/hyperlink" Target="about:blank" TargetMode="External"/><Relationship Id="rId34" Type="http://schemas.openxmlformats.org/officeDocument/2006/relationships/hyperlink" Target="https://docs.google.com/document/d/1dF5Fsfnz_v_DT2TiMrlMq_VaTIomjXMrVHkxAasyLy0/edit?usp=sharing" TargetMode="External"/><Relationship Id="rId15" Type="http://schemas.openxmlformats.org/officeDocument/2006/relationships/hyperlink" Target="about:blank" TargetMode="External"/><Relationship Id="rId37" Type="http://schemas.openxmlformats.org/officeDocument/2006/relationships/hyperlink" Target="https://docs.google.com/document/d/1dF5Fsfnz_v_DT2TiMrlMq_VaTIomjXMrVHkxAasyLy0/edit?usp=sharing" TargetMode="External"/><Relationship Id="rId14" Type="http://schemas.openxmlformats.org/officeDocument/2006/relationships/hyperlink" Target="about:blank" TargetMode="External"/><Relationship Id="rId36" Type="http://schemas.openxmlformats.org/officeDocument/2006/relationships/hyperlink" Target="https://docs.google.com/document/d/1dF5Fsfnz_v_DT2TiMrlMq_VaTIomjXMrVHkxAasyLy0/edit?usp=sharing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https://docs.google.com/presentation/d/1HIdqIYhI36gIDZYliUJ67-0AmXZf8aIBlHWSxogdkuU/edit?usp=sharing" TargetMode="External"/><Relationship Id="rId18" Type="http://schemas.openxmlformats.org/officeDocument/2006/relationships/hyperlink" Target="https://docs.google.com/presentation/d/1HIdqIYhI36gIDZYliUJ67-0AmXZf8aIBlHWSxogdku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