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6556" w14:textId="59577F62" w:rsidR="00585E87" w:rsidRDefault="00585E87" w:rsidP="00585E8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דו"ח מעבדה </w:t>
      </w:r>
      <w:r>
        <w:rPr>
          <w:b/>
          <w:bCs/>
          <w:sz w:val="32"/>
          <w:szCs w:val="32"/>
          <w:u w:val="single"/>
          <w:rtl/>
        </w:rPr>
        <w:t>–</w:t>
      </w:r>
      <w:r w:rsidR="00CE6E3E">
        <w:rPr>
          <w:rFonts w:hint="cs"/>
          <w:b/>
          <w:bCs/>
          <w:sz w:val="32"/>
          <w:szCs w:val="32"/>
          <w:u w:val="single"/>
          <w:rtl/>
        </w:rPr>
        <w:t xml:space="preserve"> ניסוי מספר 5</w:t>
      </w:r>
    </w:p>
    <w:p w14:paraId="7BD52CD8" w14:textId="272C3F71" w:rsidR="00585E87" w:rsidRDefault="00585E87" w:rsidP="00CE6E3E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שם הניסוי: </w:t>
      </w:r>
      <w:r w:rsidR="008F0F52">
        <w:rPr>
          <w:rFonts w:hint="cs"/>
          <w:sz w:val="24"/>
          <w:szCs w:val="24"/>
          <w:rtl/>
        </w:rPr>
        <w:t xml:space="preserve">קינטיקה של האנזים </w:t>
      </w:r>
      <w:proofErr w:type="spellStart"/>
      <w:r w:rsidR="008F0F52">
        <w:rPr>
          <w:rFonts w:hint="cs"/>
          <w:sz w:val="24"/>
          <w:szCs w:val="24"/>
          <w:rtl/>
        </w:rPr>
        <w:t>עמילז</w:t>
      </w:r>
      <w:proofErr w:type="spellEnd"/>
      <w:r w:rsidR="00AF51D2">
        <w:rPr>
          <w:rFonts w:hint="cs"/>
          <w:sz w:val="24"/>
          <w:szCs w:val="24"/>
          <w:rtl/>
        </w:rPr>
        <w:t>.</w:t>
      </w:r>
    </w:p>
    <w:p w14:paraId="1B937E1E" w14:textId="4C5A2383" w:rsidR="00585E87" w:rsidRDefault="00585E87" w:rsidP="00CE6E3E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משתתפים נוספים בקבוצה: </w:t>
      </w:r>
      <w:r w:rsidR="00733F77">
        <w:rPr>
          <w:rFonts w:hint="cs"/>
          <w:sz w:val="24"/>
          <w:szCs w:val="24"/>
          <w:rtl/>
        </w:rPr>
        <w:t xml:space="preserve">אורי </w:t>
      </w:r>
      <w:proofErr w:type="spellStart"/>
      <w:r w:rsidR="00733F77">
        <w:rPr>
          <w:rFonts w:hint="cs"/>
          <w:sz w:val="24"/>
          <w:szCs w:val="24"/>
          <w:rtl/>
        </w:rPr>
        <w:t>פוטוק</w:t>
      </w:r>
      <w:proofErr w:type="spellEnd"/>
      <w:r w:rsidR="00CE6E3E">
        <w:rPr>
          <w:rFonts w:hint="cs"/>
          <w:sz w:val="24"/>
          <w:szCs w:val="24"/>
          <w:rtl/>
        </w:rPr>
        <w:t>, אורי בן זקן</w:t>
      </w:r>
      <w:r w:rsidR="00A31FE4">
        <w:rPr>
          <w:sz w:val="24"/>
          <w:szCs w:val="24"/>
          <w:rtl/>
        </w:rPr>
        <w:br/>
      </w:r>
    </w:p>
    <w:p w14:paraId="69FE859B" w14:textId="7FDA73BD" w:rsidR="00AE0145" w:rsidRPr="00AE0145" w:rsidRDefault="00585E87" w:rsidP="00AE0145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נושא הניסוי: </w:t>
      </w:r>
      <w:r w:rsidR="00AF51D2">
        <w:rPr>
          <w:rFonts w:hint="cs"/>
          <w:sz w:val="24"/>
          <w:szCs w:val="24"/>
          <w:rtl/>
        </w:rPr>
        <w:t xml:space="preserve">למצוא את הקבועים הקינטיים </w:t>
      </w:r>
      <w:r w:rsidR="00AF51D2">
        <w:rPr>
          <w:rFonts w:hint="cs"/>
          <w:sz w:val="24"/>
          <w:szCs w:val="24"/>
        </w:rPr>
        <w:t>KM</w:t>
      </w:r>
      <w:r w:rsidR="00AF51D2">
        <w:rPr>
          <w:rFonts w:hint="cs"/>
          <w:sz w:val="24"/>
          <w:szCs w:val="24"/>
          <w:rtl/>
        </w:rPr>
        <w:t xml:space="preserve"> ו- </w:t>
      </w:r>
      <w:r w:rsidR="00AF51D2">
        <w:rPr>
          <w:rFonts w:hint="cs"/>
          <w:sz w:val="24"/>
          <w:szCs w:val="24"/>
        </w:rPr>
        <w:t>V</w:t>
      </w:r>
      <w:r w:rsidR="00AF51D2">
        <w:rPr>
          <w:sz w:val="24"/>
          <w:szCs w:val="24"/>
        </w:rPr>
        <w:t>max</w:t>
      </w:r>
      <w:r w:rsidR="00AF51D2">
        <w:rPr>
          <w:rFonts w:hint="cs"/>
          <w:sz w:val="24"/>
          <w:szCs w:val="24"/>
          <w:rtl/>
        </w:rPr>
        <w:t xml:space="preserve"> בניסוי שבודק את השפעת הסובסטרט על קצב האנזים </w:t>
      </w:r>
      <w:proofErr w:type="spellStart"/>
      <w:r w:rsidR="00AF51D2">
        <w:rPr>
          <w:rFonts w:hint="cs"/>
          <w:sz w:val="24"/>
          <w:szCs w:val="24"/>
          <w:rtl/>
        </w:rPr>
        <w:t>עמילז</w:t>
      </w:r>
      <w:proofErr w:type="spellEnd"/>
      <w:r w:rsidR="00AF51D2">
        <w:rPr>
          <w:rFonts w:hint="cs"/>
          <w:sz w:val="24"/>
          <w:szCs w:val="24"/>
          <w:rtl/>
        </w:rPr>
        <w:t>.</w:t>
      </w:r>
    </w:p>
    <w:p w14:paraId="6311B772" w14:textId="010E3F76" w:rsidR="00AE0145" w:rsidRPr="00AE0145" w:rsidRDefault="00585E87" w:rsidP="00EE15FA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רקע מדעי מורחב לניסוי: </w:t>
      </w:r>
      <w:proofErr w:type="spellStart"/>
      <w:r w:rsidR="00324586">
        <w:rPr>
          <w:rFonts w:hint="cs"/>
          <w:sz w:val="24"/>
          <w:szCs w:val="24"/>
          <w:rtl/>
        </w:rPr>
        <w:t>עמילז</w:t>
      </w:r>
      <w:proofErr w:type="spellEnd"/>
      <w:r w:rsidR="00324586">
        <w:rPr>
          <w:rFonts w:hint="cs"/>
          <w:sz w:val="24"/>
          <w:szCs w:val="24"/>
          <w:rtl/>
        </w:rPr>
        <w:t xml:space="preserve"> הוא אנזים המפרק קשרים </w:t>
      </w:r>
      <w:r w:rsidR="00733F77">
        <w:rPr>
          <w:rFonts w:hint="cs"/>
          <w:sz w:val="24"/>
          <w:szCs w:val="24"/>
          <w:rtl/>
        </w:rPr>
        <w:t>סוכריים</w:t>
      </w:r>
      <w:r w:rsidR="00324586">
        <w:rPr>
          <w:rFonts w:hint="cs"/>
          <w:sz w:val="24"/>
          <w:szCs w:val="24"/>
          <w:rtl/>
        </w:rPr>
        <w:t xml:space="preserve"> בעמילן. </w:t>
      </w:r>
      <w:r w:rsidR="00AE0145">
        <w:rPr>
          <w:rFonts w:hint="cs"/>
          <w:sz w:val="24"/>
          <w:szCs w:val="24"/>
          <w:rtl/>
        </w:rPr>
        <w:t xml:space="preserve">קיימים </w:t>
      </w:r>
      <w:r w:rsidR="00324586">
        <w:rPr>
          <w:rFonts w:hint="cs"/>
          <w:sz w:val="24"/>
          <w:szCs w:val="24"/>
          <w:rtl/>
        </w:rPr>
        <w:t xml:space="preserve">שני </w:t>
      </w:r>
      <w:r w:rsidR="00733F77">
        <w:rPr>
          <w:rFonts w:hint="cs"/>
          <w:sz w:val="24"/>
          <w:szCs w:val="24"/>
          <w:rtl/>
        </w:rPr>
        <w:t xml:space="preserve">סוגים לאנזים זה: </w:t>
      </w:r>
      <w:r w:rsidR="00EE15FA">
        <w:rPr>
          <w:rFonts w:hint="cs"/>
          <w:sz w:val="24"/>
          <w:szCs w:val="24"/>
          <w:rtl/>
        </w:rPr>
        <w:t xml:space="preserve">אלפא </w:t>
      </w:r>
      <w:proofErr w:type="spellStart"/>
      <w:r w:rsidR="00EE15FA">
        <w:rPr>
          <w:rFonts w:hint="cs"/>
          <w:sz w:val="24"/>
          <w:szCs w:val="24"/>
          <w:rtl/>
        </w:rPr>
        <w:t>עמילז</w:t>
      </w:r>
      <w:proofErr w:type="spellEnd"/>
      <w:r w:rsidR="00EE15FA">
        <w:rPr>
          <w:rFonts w:hint="cs"/>
          <w:sz w:val="24"/>
          <w:szCs w:val="24"/>
          <w:rtl/>
        </w:rPr>
        <w:t>,</w:t>
      </w:r>
      <w:r w:rsidR="00324586" w:rsidRPr="00324586">
        <w:rPr>
          <w:rFonts w:hint="cs"/>
          <w:sz w:val="24"/>
          <w:szCs w:val="24"/>
          <w:rtl/>
        </w:rPr>
        <w:t xml:space="preserve"> מפרק קשרים באקראיות</w:t>
      </w:r>
      <w:r w:rsidR="00324586">
        <w:rPr>
          <w:rFonts w:hint="cs"/>
          <w:sz w:val="24"/>
          <w:szCs w:val="24"/>
          <w:rtl/>
        </w:rPr>
        <w:t xml:space="preserve"> והשני </w:t>
      </w:r>
      <w:r w:rsidR="00EE15FA">
        <w:rPr>
          <w:rFonts w:hint="cs"/>
          <w:sz w:val="24"/>
          <w:szCs w:val="24"/>
          <w:rtl/>
        </w:rPr>
        <w:t xml:space="preserve">בטא </w:t>
      </w:r>
      <w:proofErr w:type="spellStart"/>
      <w:r w:rsidR="00EE15FA">
        <w:rPr>
          <w:rFonts w:hint="cs"/>
          <w:sz w:val="24"/>
          <w:szCs w:val="24"/>
          <w:rtl/>
        </w:rPr>
        <w:t>עמילז</w:t>
      </w:r>
      <w:proofErr w:type="spellEnd"/>
      <w:r w:rsidR="00EE15FA">
        <w:rPr>
          <w:rFonts w:hint="cs"/>
          <w:sz w:val="24"/>
          <w:szCs w:val="24"/>
          <w:rtl/>
        </w:rPr>
        <w:t xml:space="preserve">, </w:t>
      </w:r>
      <w:r w:rsidR="00324586">
        <w:rPr>
          <w:rFonts w:hint="cs"/>
          <w:sz w:val="24"/>
          <w:szCs w:val="24"/>
          <w:rtl/>
        </w:rPr>
        <w:t>ליחידות של הדו סוכר מלטוז.</w:t>
      </w:r>
      <w:r w:rsidR="00B425AA">
        <w:rPr>
          <w:rFonts w:hint="cs"/>
          <w:sz w:val="24"/>
          <w:szCs w:val="24"/>
          <w:rtl/>
        </w:rPr>
        <w:t xml:space="preserve"> נעבוד עם בטא </w:t>
      </w:r>
      <w:proofErr w:type="spellStart"/>
      <w:r w:rsidR="00B425AA">
        <w:rPr>
          <w:rFonts w:hint="cs"/>
          <w:sz w:val="24"/>
          <w:szCs w:val="24"/>
          <w:rtl/>
        </w:rPr>
        <w:t>עמילז</w:t>
      </w:r>
      <w:proofErr w:type="spellEnd"/>
      <w:r w:rsidR="00324586">
        <w:rPr>
          <w:rFonts w:hint="cs"/>
          <w:sz w:val="24"/>
          <w:szCs w:val="24"/>
          <w:rtl/>
        </w:rPr>
        <w:t xml:space="preserve"> </w:t>
      </w:r>
      <w:r w:rsidR="00B425AA">
        <w:rPr>
          <w:rFonts w:hint="cs"/>
          <w:sz w:val="24"/>
          <w:szCs w:val="24"/>
          <w:rtl/>
        </w:rPr>
        <w:t>ו</w:t>
      </w:r>
      <w:r w:rsidR="00324586">
        <w:rPr>
          <w:rFonts w:hint="cs"/>
          <w:sz w:val="24"/>
          <w:szCs w:val="24"/>
          <w:rtl/>
        </w:rPr>
        <w:t xml:space="preserve">נבדוק </w:t>
      </w:r>
      <w:r w:rsidR="00AE0145">
        <w:rPr>
          <w:rFonts w:hint="cs"/>
          <w:sz w:val="24"/>
          <w:szCs w:val="24"/>
          <w:rtl/>
        </w:rPr>
        <w:t xml:space="preserve">את הבליעה </w:t>
      </w:r>
      <w:r w:rsidR="00324586">
        <w:rPr>
          <w:rFonts w:hint="cs"/>
          <w:sz w:val="24"/>
          <w:szCs w:val="24"/>
          <w:rtl/>
        </w:rPr>
        <w:t xml:space="preserve">בעזרת </w:t>
      </w:r>
      <w:proofErr w:type="spellStart"/>
      <w:r w:rsidR="00324586">
        <w:rPr>
          <w:rFonts w:hint="cs"/>
          <w:sz w:val="24"/>
          <w:szCs w:val="24"/>
          <w:rtl/>
        </w:rPr>
        <w:t>סמנר</w:t>
      </w:r>
      <w:proofErr w:type="spellEnd"/>
      <w:r w:rsidR="00324586">
        <w:rPr>
          <w:rFonts w:hint="cs"/>
          <w:sz w:val="24"/>
          <w:szCs w:val="24"/>
          <w:rtl/>
        </w:rPr>
        <w:t xml:space="preserve"> ש</w:t>
      </w:r>
      <w:r w:rsidR="00AE0145">
        <w:rPr>
          <w:rFonts w:hint="cs"/>
          <w:sz w:val="24"/>
          <w:szCs w:val="24"/>
          <w:rtl/>
        </w:rPr>
        <w:t>יגיב עם המלטוז.</w:t>
      </w:r>
    </w:p>
    <w:p w14:paraId="33199AFB" w14:textId="3C3E2A42" w:rsidR="00585E87" w:rsidRDefault="00585E87" w:rsidP="00AE0145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הגדרת המשתנים: </w:t>
      </w:r>
      <w:r w:rsidR="00B425AA">
        <w:rPr>
          <w:rFonts w:hint="cs"/>
          <w:sz w:val="24"/>
          <w:szCs w:val="24"/>
          <w:rtl/>
        </w:rPr>
        <w:t>תלוי: קצב פעילות האנזים. בלתי תלוי: ריכוז סובסטרט.</w:t>
      </w:r>
      <w:r w:rsidR="00A31FE4">
        <w:rPr>
          <w:sz w:val="24"/>
          <w:szCs w:val="24"/>
          <w:rtl/>
        </w:rPr>
        <w:br/>
      </w:r>
    </w:p>
    <w:p w14:paraId="1A2F5AB9" w14:textId="359FBF03" w:rsidR="00585E87" w:rsidRDefault="00585E87" w:rsidP="00B425AA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מהלך הניסוי:</w:t>
      </w:r>
      <w:r w:rsidR="00A31FE4">
        <w:rPr>
          <w:rFonts w:hint="cs"/>
          <w:b/>
          <w:bCs/>
          <w:sz w:val="24"/>
          <w:szCs w:val="24"/>
          <w:rtl/>
        </w:rPr>
        <w:t xml:space="preserve"> </w:t>
      </w:r>
      <w:r w:rsidR="00733F77">
        <w:rPr>
          <w:rFonts w:hint="cs"/>
          <w:sz w:val="24"/>
          <w:szCs w:val="24"/>
          <w:rtl/>
        </w:rPr>
        <w:t>יש שני חלקים לניסוי. בחלק הראשון נכין</w:t>
      </w:r>
      <w:r w:rsidR="00B425AA">
        <w:rPr>
          <w:rFonts w:hint="cs"/>
          <w:sz w:val="24"/>
          <w:szCs w:val="24"/>
          <w:rtl/>
        </w:rPr>
        <w:t xml:space="preserve"> עקומת כיול של המלטוז </w:t>
      </w:r>
      <w:r w:rsidR="00733F77">
        <w:rPr>
          <w:rFonts w:hint="cs"/>
          <w:sz w:val="24"/>
          <w:szCs w:val="24"/>
          <w:rtl/>
        </w:rPr>
        <w:t>ובחלק השני נכין</w:t>
      </w:r>
      <w:r w:rsidR="007478CB">
        <w:rPr>
          <w:rFonts w:hint="cs"/>
          <w:sz w:val="24"/>
          <w:szCs w:val="24"/>
          <w:rtl/>
        </w:rPr>
        <w:t xml:space="preserve"> </w:t>
      </w:r>
      <w:r w:rsidR="00EE15FA">
        <w:rPr>
          <w:rFonts w:hint="cs"/>
          <w:sz w:val="24"/>
          <w:szCs w:val="24"/>
          <w:rtl/>
        </w:rPr>
        <w:t>טבלה שתקבע את הק</w:t>
      </w:r>
      <w:r w:rsidR="00B425AA">
        <w:rPr>
          <w:rFonts w:hint="cs"/>
          <w:sz w:val="24"/>
          <w:szCs w:val="24"/>
          <w:rtl/>
        </w:rPr>
        <w:t xml:space="preserve">בועים הקינטיים של </w:t>
      </w:r>
      <w:proofErr w:type="spellStart"/>
      <w:r w:rsidR="00733F77">
        <w:rPr>
          <w:rFonts w:hint="cs"/>
          <w:sz w:val="24"/>
          <w:szCs w:val="24"/>
          <w:rtl/>
        </w:rPr>
        <w:t>העמילז</w:t>
      </w:r>
      <w:proofErr w:type="spellEnd"/>
      <w:r w:rsidR="00A31FE4">
        <w:rPr>
          <w:sz w:val="24"/>
          <w:szCs w:val="24"/>
          <w:rtl/>
        </w:rPr>
        <w:br/>
      </w:r>
    </w:p>
    <w:p w14:paraId="37A3D230" w14:textId="33A9DDDD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תוצאות</w:t>
      </w:r>
      <w:r w:rsidR="00A31FE4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(מ</w:t>
      </w:r>
      <w:r w:rsidRPr="00585E87">
        <w:rPr>
          <w:rFonts w:hint="cs"/>
          <w:sz w:val="24"/>
          <w:szCs w:val="24"/>
          <w:rtl/>
        </w:rPr>
        <w:t>וצגות בטבלה ובגרף</w:t>
      </w:r>
      <w:r>
        <w:rPr>
          <w:rFonts w:hint="cs"/>
          <w:sz w:val="24"/>
          <w:szCs w:val="24"/>
          <w:rtl/>
        </w:rPr>
        <w:t>)</w:t>
      </w:r>
    </w:p>
    <w:p w14:paraId="16B12567" w14:textId="4690D17B" w:rsidR="00B425AA" w:rsidRDefault="00B425AA" w:rsidP="00B425AA">
      <w:pPr>
        <w:pStyle w:val="a7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5A675A66" wp14:editId="131EC36E">
            <wp:extent cx="4826001" cy="2533651"/>
            <wp:effectExtent l="0" t="0" r="12700" b="0"/>
            <wp:docPr id="1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13ED2346-15E3-44DC-B723-0E2FB884DB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bidiVisual/>
        <w:tblW w:w="7572" w:type="dxa"/>
        <w:tblInd w:w="360" w:type="dxa"/>
        <w:tblLook w:val="04A0" w:firstRow="1" w:lastRow="0" w:firstColumn="1" w:lastColumn="0" w:noHBand="0" w:noVBand="1"/>
      </w:tblPr>
      <w:tblGrid>
        <w:gridCol w:w="2524"/>
        <w:gridCol w:w="2524"/>
        <w:gridCol w:w="2524"/>
      </w:tblGrid>
      <w:tr w:rsidR="00B425AA" w:rsidRPr="00B425AA" w14:paraId="448B6CF8" w14:textId="77777777" w:rsidTr="00CD66B2">
        <w:trPr>
          <w:trHeight w:val="766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890E" w14:textId="281E2F98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תמיסת מ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לטוז בריכוז 2.5 מ"ג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A18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 xml:space="preserve">ריכוז </w:t>
            </w:r>
            <w:proofErr w:type="spellStart"/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מולטוז</w:t>
            </w:r>
            <w:proofErr w:type="spellEnd"/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 xml:space="preserve"> מ"ל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95DE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בליעה</w:t>
            </w:r>
          </w:p>
        </w:tc>
      </w:tr>
      <w:tr w:rsidR="00B425AA" w:rsidRPr="00B425AA" w14:paraId="40A5B823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1B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26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1FE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</w:tr>
      <w:tr w:rsidR="00B425AA" w:rsidRPr="00B425AA" w14:paraId="1708633E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DAA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EF0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7A4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0.039</w:t>
            </w:r>
          </w:p>
        </w:tc>
      </w:tr>
      <w:tr w:rsidR="00B425AA" w:rsidRPr="00B425AA" w14:paraId="093854E1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0CC1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9A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093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0.11</w:t>
            </w:r>
          </w:p>
        </w:tc>
      </w:tr>
      <w:tr w:rsidR="00B425AA" w:rsidRPr="00B425AA" w14:paraId="4CA3B73B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03B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F3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01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</w:t>
            </w:r>
          </w:p>
        </w:tc>
      </w:tr>
      <w:tr w:rsidR="00B425AA" w:rsidRPr="00B425AA" w14:paraId="37017B41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ED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2B0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92B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0.42</w:t>
            </w:r>
          </w:p>
        </w:tc>
      </w:tr>
      <w:tr w:rsidR="00B425AA" w:rsidRPr="00B425AA" w14:paraId="48F9EE14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415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2A9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616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0.545</w:t>
            </w:r>
          </w:p>
        </w:tc>
      </w:tr>
      <w:tr w:rsidR="00B425AA" w:rsidRPr="00B425AA" w14:paraId="0413D228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4A4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98C2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1F1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0.682</w:t>
            </w:r>
          </w:p>
        </w:tc>
      </w:tr>
    </w:tbl>
    <w:p w14:paraId="3CC14901" w14:textId="4038FA2E" w:rsidR="00B425AA" w:rsidRDefault="00B425AA" w:rsidP="00B425AA">
      <w:pPr>
        <w:pStyle w:val="a7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126"/>
        <w:bidiVisual/>
        <w:tblW w:w="9710" w:type="dxa"/>
        <w:tblLook w:val="04A0" w:firstRow="1" w:lastRow="0" w:firstColumn="1" w:lastColumn="0" w:noHBand="0" w:noVBand="1"/>
      </w:tblPr>
      <w:tblGrid>
        <w:gridCol w:w="399"/>
        <w:gridCol w:w="679"/>
        <w:gridCol w:w="286"/>
        <w:gridCol w:w="398"/>
        <w:gridCol w:w="284"/>
        <w:gridCol w:w="398"/>
        <w:gridCol w:w="284"/>
        <w:gridCol w:w="401"/>
        <w:gridCol w:w="287"/>
        <w:gridCol w:w="398"/>
        <w:gridCol w:w="284"/>
        <w:gridCol w:w="432"/>
        <w:gridCol w:w="320"/>
        <w:gridCol w:w="447"/>
        <w:gridCol w:w="309"/>
        <w:gridCol w:w="578"/>
        <w:gridCol w:w="453"/>
        <w:gridCol w:w="436"/>
        <w:gridCol w:w="460"/>
        <w:gridCol w:w="398"/>
        <w:gridCol w:w="319"/>
        <w:gridCol w:w="448"/>
        <w:gridCol w:w="498"/>
        <w:gridCol w:w="514"/>
      </w:tblGrid>
      <w:tr w:rsidR="00B425AA" w:rsidRPr="00B425AA" w14:paraId="5484F343" w14:textId="77777777" w:rsidTr="00B425AA">
        <w:trPr>
          <w:gridAfter w:val="1"/>
          <w:wAfter w:w="514" w:type="dxa"/>
          <w:trHeight w:val="682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1C1AC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lastRenderedPageBreak/>
              <w:t>מס' מבחנה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D2D3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מים מ"ל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5B5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עמילן 1%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30BE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אנזים מ"ל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904A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ריכוז עמילן [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]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140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בליעה ב- 540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CB2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הפרש בליעה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753D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 xml:space="preserve">שינוי </w:t>
            </w:r>
            <w:proofErr w:type="spellStart"/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בבליעהה</w:t>
            </w:r>
            <w:proofErr w:type="spellEnd"/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 xml:space="preserve"> לדקה [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]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6034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שינוי בריכוז מלטוז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9D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1/S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42C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1/V</w:t>
            </w:r>
          </w:p>
        </w:tc>
      </w:tr>
      <w:tr w:rsidR="00B425AA" w:rsidRPr="00B425AA" w14:paraId="7AEA459C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391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D54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59A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93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8BE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331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C7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8DE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2C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562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E1C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D11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B425AA" w:rsidRPr="00B425AA" w14:paraId="440C9669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79F8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E227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1C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B4C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92B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6D28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E49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CBFD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8510D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5789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E75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6313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64AB0BA1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11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143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280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79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40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53F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5D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0.075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D1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0.007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3D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0.0014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700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0.010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BD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D79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110.000</w:t>
            </w:r>
          </w:p>
        </w:tc>
      </w:tr>
      <w:tr w:rsidR="00B425AA" w:rsidRPr="00B425AA" w14:paraId="2699AB15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13C8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8F88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73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1.8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51F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14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88DAD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832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0.068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1618A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E0FE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65D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29C6F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120F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5FDCEB2B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22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487A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B2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F26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521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D9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B2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0.162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1F8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24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0.012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A03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0.048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E7F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4E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83.333</w:t>
            </w:r>
          </w:p>
        </w:tc>
      </w:tr>
      <w:tr w:rsidR="00B425AA" w:rsidRPr="00B425AA" w14:paraId="02E3E35B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BB9F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4ED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A7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7E5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9A8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45D3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12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0.102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427A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185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892A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D5A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D610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09321008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EB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060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C7C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A2B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16C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85C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AC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0.215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E9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0.128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BE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0.0256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DC7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0.097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CD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3.333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3AA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39.063</w:t>
            </w:r>
          </w:p>
        </w:tc>
      </w:tr>
      <w:tr w:rsidR="00B425AA" w:rsidRPr="00B425AA" w14:paraId="134AD3AE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DC3F1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7DE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80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9103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E87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713CC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53C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A48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A17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249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00D25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513F0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36CD49B4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667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707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E68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C9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E7F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9E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AF9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0.27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A43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138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0.0382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5F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F76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F6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26.178</w:t>
            </w:r>
          </w:p>
        </w:tc>
      </w:tr>
      <w:tr w:rsidR="00B425AA" w:rsidRPr="00B425AA" w14:paraId="7AB2A3C6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5ED2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5B9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8B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5E69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CFF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01D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624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0.079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4171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6B5C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840F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12E9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37DB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1DD7E679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D8B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D300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7DC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AF1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B2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DF7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11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0.277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90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0.154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6A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0.0308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39F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0.116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66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4C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32.468</w:t>
            </w:r>
          </w:p>
        </w:tc>
      </w:tr>
      <w:tr w:rsidR="00B425AA" w:rsidRPr="00B425AA" w14:paraId="06E4840D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81ED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65B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B9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6473D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D65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7FA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E6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0.123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ECB2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278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4F1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188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98732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64E28336" w14:textId="075165CA" w:rsidR="00B425AA" w:rsidRDefault="00B425AA" w:rsidP="00B425AA">
      <w:pPr>
        <w:pStyle w:val="a7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5014D23" wp14:editId="1531FCA2">
            <wp:extent cx="4076700" cy="2019300"/>
            <wp:effectExtent l="0" t="0" r="0" b="0"/>
            <wp:docPr id="2" name="תרשים 2">
              <a:extLst xmlns:a="http://schemas.openxmlformats.org/drawingml/2006/main">
                <a:ext uri="{FF2B5EF4-FFF2-40B4-BE49-F238E27FC236}">
                  <a16:creationId xmlns:a16="http://schemas.microsoft.com/office/drawing/2014/main" id="{6BCBA79B-E401-4E11-9F83-42910A5ACB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071"/>
        <w:bidiVisual/>
        <w:tblW w:w="9296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CD66B2" w:rsidRPr="00B425AA" w14:paraId="151729BC" w14:textId="77777777" w:rsidTr="00CD66B2">
        <w:trPr>
          <w:trHeight w:val="83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C31" w14:textId="77777777" w:rsidR="00CD66B2" w:rsidRPr="00B425AA" w:rsidRDefault="00CD66B2" w:rsidP="00CD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ריכוז עמילן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397B" w14:textId="77777777" w:rsidR="00CD66B2" w:rsidRPr="00B425AA" w:rsidRDefault="00CD66B2" w:rsidP="00CD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שינוי בריכוז מלטוז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9E5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1/S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13D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1/V</w:t>
            </w:r>
          </w:p>
        </w:tc>
      </w:tr>
      <w:tr w:rsidR="00CD66B2" w:rsidRPr="00B425AA" w14:paraId="5A869FD3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119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0B7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501" w14:textId="3E94DA25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B525A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301E" w14:textId="6F8184D8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B525A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CD66B2" w:rsidRPr="00B425AA" w14:paraId="19304EF4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52F1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9F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0A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C466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110</w:t>
            </w:r>
          </w:p>
        </w:tc>
      </w:tr>
      <w:tr w:rsidR="00CD66B2" w:rsidRPr="00B425AA" w14:paraId="578428B0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AE92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F43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0.048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0A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157D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83.333</w:t>
            </w:r>
          </w:p>
        </w:tc>
      </w:tr>
      <w:tr w:rsidR="00CD66B2" w:rsidRPr="00B425AA" w14:paraId="69CBE030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BE55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6E9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0.097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626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3.333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132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39.063</w:t>
            </w:r>
          </w:p>
        </w:tc>
      </w:tr>
      <w:tr w:rsidR="00CD66B2" w:rsidRPr="00B425AA" w14:paraId="06AF3459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789D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FD72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D32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014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26.176</w:t>
            </w:r>
          </w:p>
        </w:tc>
      </w:tr>
      <w:tr w:rsidR="00CD66B2" w:rsidRPr="00B425AA" w14:paraId="66FA0AF7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EF16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CDAC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0.116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F8A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C1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32.468</w:t>
            </w:r>
          </w:p>
        </w:tc>
      </w:tr>
    </w:tbl>
    <w:p w14:paraId="3A3D4787" w14:textId="58BAB40C" w:rsidR="00B425AA" w:rsidRDefault="00B425AA" w:rsidP="00B425AA">
      <w:pPr>
        <w:pStyle w:val="a7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0E581065" wp14:editId="024E6DF1">
            <wp:extent cx="4105275" cy="2333625"/>
            <wp:effectExtent l="0" t="0" r="9525" b="9525"/>
            <wp:docPr id="3" name="תרשים 3">
              <a:extLst xmlns:a="http://schemas.openxmlformats.org/drawingml/2006/main">
                <a:ext uri="{FF2B5EF4-FFF2-40B4-BE49-F238E27FC236}">
                  <a16:creationId xmlns:a16="http://schemas.microsoft.com/office/drawing/2014/main" id="{AFA375AF-E17C-4133-9AA9-4CAAE2658B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09BEFA" w14:textId="2CE180A5" w:rsidR="00B425AA" w:rsidRPr="00CD66B2" w:rsidRDefault="00B425AA" w:rsidP="00B425AA">
      <w:pPr>
        <w:rPr>
          <w:b/>
          <w:bCs/>
          <w:sz w:val="24"/>
          <w:szCs w:val="24"/>
        </w:rPr>
      </w:pPr>
    </w:p>
    <w:p w14:paraId="75E153A9" w14:textId="008D8F4B" w:rsidR="00585E87" w:rsidRPr="00A31FE4" w:rsidRDefault="00585E87" w:rsidP="00EE15FA">
      <w:pPr>
        <w:pStyle w:val="a7"/>
        <w:ind w:left="36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5ג. תיאור מילולי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B525A9">
        <w:rPr>
          <w:rFonts w:hint="cs"/>
          <w:sz w:val="24"/>
          <w:szCs w:val="24"/>
          <w:rtl/>
        </w:rPr>
        <w:t xml:space="preserve">על פי תוצאות הניסוי ועל פי גרף </w:t>
      </w:r>
      <w:proofErr w:type="spellStart"/>
      <w:r w:rsidR="00B525A9">
        <w:rPr>
          <w:rFonts w:hint="cs"/>
          <w:sz w:val="24"/>
          <w:szCs w:val="24"/>
          <w:rtl/>
        </w:rPr>
        <w:t>מיכאליס</w:t>
      </w:r>
      <w:proofErr w:type="spellEnd"/>
      <w:r w:rsidR="00B525A9">
        <w:rPr>
          <w:rFonts w:hint="cs"/>
          <w:sz w:val="24"/>
          <w:szCs w:val="24"/>
          <w:rtl/>
        </w:rPr>
        <w:t xml:space="preserve"> </w:t>
      </w:r>
      <w:proofErr w:type="spellStart"/>
      <w:r w:rsidR="00B525A9">
        <w:rPr>
          <w:rFonts w:hint="cs"/>
          <w:sz w:val="24"/>
          <w:szCs w:val="24"/>
          <w:rtl/>
        </w:rPr>
        <w:t>מנטן</w:t>
      </w:r>
      <w:proofErr w:type="spellEnd"/>
      <w:r w:rsidR="00B525A9">
        <w:rPr>
          <w:rFonts w:hint="cs"/>
          <w:sz w:val="24"/>
          <w:szCs w:val="24"/>
          <w:rtl/>
        </w:rPr>
        <w:t xml:space="preserve"> </w:t>
      </w:r>
      <w:r w:rsidR="00733F77">
        <w:rPr>
          <w:rFonts w:hint="cs"/>
          <w:sz w:val="24"/>
          <w:szCs w:val="24"/>
          <w:rtl/>
        </w:rPr>
        <w:t xml:space="preserve">אני רואים שבריכוז עמילן גבוה עולה קצב פעילות האנזים </w:t>
      </w:r>
      <w:r w:rsidR="00EE15FA">
        <w:rPr>
          <w:rFonts w:hint="cs"/>
          <w:sz w:val="24"/>
          <w:szCs w:val="24"/>
          <w:rtl/>
        </w:rPr>
        <w:t>עד לנקודה בה כל האנזימים עובדים וריכוז העמילן גבוה מדי, הגרף צריך להתיישר</w:t>
      </w:r>
      <w:r w:rsidR="00B525A9">
        <w:rPr>
          <w:rFonts w:hint="cs"/>
          <w:sz w:val="24"/>
          <w:szCs w:val="24"/>
          <w:rtl/>
        </w:rPr>
        <w:t>.</w:t>
      </w:r>
      <w:r w:rsidR="00A31FE4">
        <w:rPr>
          <w:sz w:val="24"/>
          <w:szCs w:val="24"/>
          <w:rtl/>
        </w:rPr>
        <w:br/>
      </w:r>
    </w:p>
    <w:p w14:paraId="20E5AFA2" w14:textId="07E8190A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מסקנות הניסוי</w:t>
      </w:r>
      <w:r w:rsidR="00B525A9">
        <w:rPr>
          <w:rFonts w:hint="cs"/>
          <w:b/>
          <w:bCs/>
          <w:sz w:val="24"/>
          <w:szCs w:val="24"/>
          <w:rtl/>
        </w:rPr>
        <w:t xml:space="preserve">: </w:t>
      </w:r>
      <w:r w:rsidR="00EB770B" w:rsidRPr="00EB770B">
        <w:rPr>
          <w:rFonts w:hint="cs"/>
          <w:sz w:val="24"/>
          <w:szCs w:val="24"/>
          <w:rtl/>
        </w:rPr>
        <w:t xml:space="preserve">ניתן להסיק מן הניסוי שהקבועים הקינטיים הם </w:t>
      </w:r>
      <w:r w:rsidR="00EB770B" w:rsidRPr="00EB770B">
        <w:rPr>
          <w:rFonts w:hint="cs"/>
          <w:sz w:val="24"/>
          <w:szCs w:val="24"/>
        </w:rPr>
        <w:t>KM</w:t>
      </w:r>
      <w:r w:rsidR="00EB770B" w:rsidRPr="00EB770B">
        <w:rPr>
          <w:rFonts w:hint="cs"/>
          <w:sz w:val="24"/>
          <w:szCs w:val="24"/>
          <w:rtl/>
        </w:rPr>
        <w:t xml:space="preserve">=1.1111923 ו- </w:t>
      </w:r>
      <w:r w:rsidR="00EB770B" w:rsidRPr="00EB770B">
        <w:rPr>
          <w:rFonts w:hint="cs"/>
          <w:sz w:val="24"/>
          <w:szCs w:val="24"/>
        </w:rPr>
        <w:t>V</w:t>
      </w:r>
      <w:r w:rsidR="00EB770B" w:rsidRPr="00EB770B">
        <w:rPr>
          <w:sz w:val="24"/>
          <w:szCs w:val="24"/>
        </w:rPr>
        <w:t>max</w:t>
      </w:r>
      <w:r w:rsidR="00EB770B" w:rsidRPr="00EB770B">
        <w:rPr>
          <w:rFonts w:hint="cs"/>
          <w:sz w:val="24"/>
          <w:szCs w:val="24"/>
          <w:rtl/>
        </w:rPr>
        <w:t>= 0.1043569</w:t>
      </w:r>
      <w:r w:rsidR="00EB770B">
        <w:rPr>
          <w:rFonts w:hint="cs"/>
          <w:b/>
          <w:bCs/>
          <w:sz w:val="24"/>
          <w:szCs w:val="24"/>
          <w:rtl/>
        </w:rPr>
        <w:t xml:space="preserve"> </w:t>
      </w:r>
      <w:r w:rsidR="00733F77">
        <w:rPr>
          <w:rFonts w:hint="cs"/>
          <w:sz w:val="24"/>
          <w:szCs w:val="24"/>
          <w:rtl/>
        </w:rPr>
        <w:t>ע"פ הניסוי</w:t>
      </w:r>
      <w:r w:rsidR="00EB770B">
        <w:rPr>
          <w:rFonts w:hint="cs"/>
          <w:sz w:val="24"/>
          <w:szCs w:val="24"/>
          <w:rtl/>
        </w:rPr>
        <w:t xml:space="preserve"> ו</w:t>
      </w:r>
      <w:r w:rsidR="00733F77">
        <w:rPr>
          <w:rFonts w:hint="cs"/>
          <w:sz w:val="24"/>
          <w:szCs w:val="24"/>
          <w:rtl/>
        </w:rPr>
        <w:t>ה</w:t>
      </w:r>
      <w:r w:rsidR="00EB770B">
        <w:rPr>
          <w:rFonts w:hint="cs"/>
          <w:sz w:val="24"/>
          <w:szCs w:val="24"/>
          <w:rtl/>
        </w:rPr>
        <w:t xml:space="preserve">סיכום </w:t>
      </w:r>
      <w:r w:rsidR="00733F77">
        <w:rPr>
          <w:rFonts w:hint="cs"/>
          <w:sz w:val="24"/>
          <w:szCs w:val="24"/>
          <w:rtl/>
        </w:rPr>
        <w:t xml:space="preserve">שעשינו </w:t>
      </w:r>
      <w:r w:rsidR="00EB770B">
        <w:rPr>
          <w:rFonts w:hint="cs"/>
          <w:sz w:val="24"/>
          <w:szCs w:val="24"/>
          <w:rtl/>
        </w:rPr>
        <w:t>באקסל.</w:t>
      </w:r>
      <w:r w:rsidR="00EB770B">
        <w:rPr>
          <w:b/>
          <w:bCs/>
          <w:sz w:val="24"/>
          <w:szCs w:val="24"/>
          <w:rtl/>
        </w:rPr>
        <w:br/>
      </w:r>
      <w:r w:rsidR="00733F77">
        <w:rPr>
          <w:rFonts w:hint="cs"/>
          <w:sz w:val="24"/>
          <w:szCs w:val="24"/>
          <w:rtl/>
        </w:rPr>
        <w:t xml:space="preserve">ישנם </w:t>
      </w:r>
      <w:r w:rsidR="00EB770B">
        <w:rPr>
          <w:rFonts w:hint="cs"/>
          <w:sz w:val="24"/>
          <w:szCs w:val="24"/>
          <w:rtl/>
        </w:rPr>
        <w:t xml:space="preserve"> סטיות ואי דיו</w:t>
      </w:r>
      <w:r w:rsidR="00EE15FA">
        <w:rPr>
          <w:rFonts w:hint="cs"/>
          <w:sz w:val="24"/>
          <w:szCs w:val="24"/>
          <w:rtl/>
        </w:rPr>
        <w:t xml:space="preserve">ק בניסוי </w:t>
      </w:r>
      <w:r w:rsidR="00733F77">
        <w:rPr>
          <w:rFonts w:hint="cs"/>
          <w:sz w:val="24"/>
          <w:szCs w:val="24"/>
          <w:rtl/>
        </w:rPr>
        <w:t>ש</w:t>
      </w:r>
      <w:r w:rsidR="00EE15FA">
        <w:rPr>
          <w:rFonts w:hint="cs"/>
          <w:sz w:val="24"/>
          <w:szCs w:val="24"/>
          <w:rtl/>
        </w:rPr>
        <w:t xml:space="preserve">נובעות </w:t>
      </w:r>
      <w:r w:rsidR="00733F77">
        <w:rPr>
          <w:rFonts w:hint="cs"/>
          <w:sz w:val="24"/>
          <w:szCs w:val="24"/>
          <w:rtl/>
        </w:rPr>
        <w:t>מתקלה שהתרחשה במהלך הניסוי</w:t>
      </w:r>
      <w:r w:rsidR="00EE15FA">
        <w:rPr>
          <w:rFonts w:hint="cs"/>
          <w:sz w:val="24"/>
          <w:szCs w:val="24"/>
          <w:rtl/>
        </w:rPr>
        <w:t xml:space="preserve"> </w:t>
      </w:r>
      <w:r w:rsidR="00EB770B">
        <w:rPr>
          <w:rFonts w:hint="cs"/>
          <w:sz w:val="24"/>
          <w:szCs w:val="24"/>
          <w:rtl/>
        </w:rPr>
        <w:t xml:space="preserve">בתהליך הקירור, כאשר נכנסו מעט מים לתוך המבחנות ופגעו בדיוק. ניתן לתקן את התוצאות בביצוע הניסוי באופן מדויק </w:t>
      </w:r>
      <w:r w:rsidR="00EE15FA">
        <w:rPr>
          <w:rFonts w:hint="cs"/>
          <w:sz w:val="24"/>
          <w:szCs w:val="24"/>
          <w:rtl/>
        </w:rPr>
        <w:t xml:space="preserve">יותר והימנעות </w:t>
      </w:r>
      <w:r w:rsidR="00733F77">
        <w:rPr>
          <w:rFonts w:hint="cs"/>
          <w:sz w:val="24"/>
          <w:szCs w:val="24"/>
          <w:rtl/>
        </w:rPr>
        <w:t>מהפרעה של תלמידים אחרים</w:t>
      </w:r>
      <w:r w:rsidR="00EB770B">
        <w:rPr>
          <w:rFonts w:hint="cs"/>
          <w:sz w:val="24"/>
          <w:szCs w:val="24"/>
          <w:rtl/>
        </w:rPr>
        <w:t xml:space="preserve">, </w:t>
      </w:r>
      <w:r w:rsidR="00733F77">
        <w:rPr>
          <w:rFonts w:hint="cs"/>
          <w:sz w:val="24"/>
          <w:szCs w:val="24"/>
          <w:rtl/>
        </w:rPr>
        <w:t>שהפריעו לניסוי שלנו</w:t>
      </w:r>
      <w:r w:rsidR="00EB770B">
        <w:rPr>
          <w:rFonts w:hint="cs"/>
          <w:sz w:val="24"/>
          <w:szCs w:val="24"/>
          <w:rtl/>
        </w:rPr>
        <w:t>.</w:t>
      </w:r>
      <w:r w:rsidR="00334BB8">
        <w:rPr>
          <w:rFonts w:hint="cs"/>
          <w:sz w:val="24"/>
          <w:szCs w:val="24"/>
          <w:rtl/>
        </w:rPr>
        <w:t xml:space="preserve">  </w:t>
      </w:r>
      <w:r w:rsidR="00A31FE4">
        <w:rPr>
          <w:sz w:val="24"/>
          <w:szCs w:val="24"/>
          <w:rtl/>
        </w:rPr>
        <w:br/>
      </w:r>
    </w:p>
    <w:p w14:paraId="785ED4FF" w14:textId="44B31EC5" w:rsidR="00585E87" w:rsidRPr="00585E87" w:rsidRDefault="00585E87" w:rsidP="00334BB8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שאלה:</w:t>
      </w:r>
      <w:r w:rsidR="00334BB8">
        <w:rPr>
          <w:rFonts w:hint="cs"/>
          <w:b/>
          <w:bCs/>
          <w:sz w:val="24"/>
          <w:szCs w:val="24"/>
          <w:rtl/>
        </w:rPr>
        <w:t xml:space="preserve"> </w:t>
      </w:r>
      <w:r w:rsidR="00334BB8">
        <w:rPr>
          <w:rFonts w:hint="cs"/>
          <w:sz w:val="24"/>
          <w:szCs w:val="24"/>
          <w:rtl/>
        </w:rPr>
        <w:t>למה משמשת מבחנה מספר 0?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334BB8">
        <w:rPr>
          <w:rFonts w:hint="cs"/>
          <w:b/>
          <w:bCs/>
          <w:sz w:val="24"/>
          <w:szCs w:val="24"/>
          <w:rtl/>
        </w:rPr>
        <w:t xml:space="preserve"> </w:t>
      </w:r>
      <w:r w:rsidR="00733F77">
        <w:rPr>
          <w:rFonts w:hint="cs"/>
          <w:sz w:val="24"/>
          <w:szCs w:val="24"/>
          <w:rtl/>
        </w:rPr>
        <w:t xml:space="preserve">מבחנה זו משמשת כבקרה שבודקת את </w:t>
      </w:r>
      <w:proofErr w:type="spellStart"/>
      <w:r w:rsidR="00733F77">
        <w:rPr>
          <w:rFonts w:hint="cs"/>
          <w:sz w:val="24"/>
          <w:szCs w:val="24"/>
          <w:rtl/>
        </w:rPr>
        <w:t>הסמנר</w:t>
      </w:r>
      <w:proofErr w:type="spellEnd"/>
      <w:r w:rsidR="00733F77">
        <w:rPr>
          <w:rFonts w:hint="cs"/>
          <w:sz w:val="24"/>
          <w:szCs w:val="24"/>
          <w:rtl/>
        </w:rPr>
        <w:t xml:space="preserve"> לבדו</w:t>
      </w:r>
      <w:r w:rsidR="00334BB8">
        <w:rPr>
          <w:rFonts w:hint="cs"/>
          <w:sz w:val="24"/>
          <w:szCs w:val="24"/>
          <w:rtl/>
        </w:rPr>
        <w:t>.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 w:rsidR="00334BB8">
        <w:rPr>
          <w:rFonts w:hint="cs"/>
          <w:b/>
          <w:bCs/>
          <w:sz w:val="24"/>
          <w:szCs w:val="24"/>
          <w:rtl/>
        </w:rPr>
        <w:t xml:space="preserve"> </w:t>
      </w:r>
      <w:r w:rsidR="00334BB8">
        <w:rPr>
          <w:rFonts w:hint="cs"/>
          <w:sz w:val="24"/>
          <w:szCs w:val="24"/>
          <w:rtl/>
        </w:rPr>
        <w:t>מהו סוכר מחזר?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334BB8">
        <w:rPr>
          <w:rFonts w:hint="cs"/>
          <w:b/>
          <w:bCs/>
          <w:sz w:val="24"/>
          <w:szCs w:val="24"/>
          <w:rtl/>
        </w:rPr>
        <w:t xml:space="preserve"> </w:t>
      </w:r>
      <w:r w:rsidR="00334BB8">
        <w:rPr>
          <w:rFonts w:hint="cs"/>
          <w:sz w:val="24"/>
          <w:szCs w:val="24"/>
          <w:rtl/>
        </w:rPr>
        <w:t>סוכר מחזר הוא סוכר מסוג חד\דו סוכרי</w:t>
      </w:r>
    </w:p>
    <w:sectPr w:rsidR="00585E87" w:rsidRPr="00585E87" w:rsidSect="00B525A9">
      <w:headerReference w:type="first" r:id="rId11"/>
      <w:pgSz w:w="11906" w:h="16838"/>
      <w:pgMar w:top="1440" w:right="1800" w:bottom="1440" w:left="180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86A9" w14:textId="77777777" w:rsidR="00E40086" w:rsidRDefault="00E40086" w:rsidP="00585E87">
      <w:pPr>
        <w:spacing w:after="0" w:line="240" w:lineRule="auto"/>
      </w:pPr>
      <w:r>
        <w:separator/>
      </w:r>
    </w:p>
  </w:endnote>
  <w:endnote w:type="continuationSeparator" w:id="0">
    <w:p w14:paraId="34BFD18A" w14:textId="77777777" w:rsidR="00E40086" w:rsidRDefault="00E40086" w:rsidP="0058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E5F4" w14:textId="77777777" w:rsidR="00E40086" w:rsidRDefault="00E40086" w:rsidP="00585E87">
      <w:pPr>
        <w:spacing w:after="0" w:line="240" w:lineRule="auto"/>
      </w:pPr>
      <w:r>
        <w:separator/>
      </w:r>
    </w:p>
  </w:footnote>
  <w:footnote w:type="continuationSeparator" w:id="0">
    <w:p w14:paraId="1B9944C8" w14:textId="77777777" w:rsidR="00E40086" w:rsidRDefault="00E40086" w:rsidP="0058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2C9E" w14:textId="7A06954F" w:rsidR="00585E87" w:rsidRDefault="00CE6E3E" w:rsidP="00CE6E3E">
    <w:pPr>
      <w:pStyle w:val="a3"/>
    </w:pPr>
    <w:r>
      <w:rPr>
        <w:rFonts w:hint="cs"/>
        <w:rtl/>
      </w:rPr>
      <w:t xml:space="preserve">בס"ד כ"ו טבת </w:t>
    </w:r>
    <w:proofErr w:type="spellStart"/>
    <w:r>
      <w:rPr>
        <w:rFonts w:hint="cs"/>
        <w:rtl/>
      </w:rPr>
      <w:t>התשפ"ה</w:t>
    </w:r>
    <w:proofErr w:type="spellEnd"/>
    <w:r w:rsidR="00585E87" w:rsidRPr="00585E87">
      <w:rPr>
        <w:rtl/>
      </w:rPr>
      <w:ptab w:relativeTo="margin" w:alignment="center" w:leader="none"/>
    </w:r>
    <w:r w:rsidR="00733F77">
      <w:rPr>
        <w:rFonts w:hint="cs"/>
        <w:rtl/>
      </w:rPr>
      <w:t xml:space="preserve">גלעד </w:t>
    </w:r>
    <w:proofErr w:type="spellStart"/>
    <w:r w:rsidR="00733F77">
      <w:rPr>
        <w:rFonts w:hint="cs"/>
        <w:rtl/>
      </w:rPr>
      <w:t>הכסטר</w:t>
    </w:r>
    <w:proofErr w:type="spellEnd"/>
    <w:r w:rsidR="00585E87" w:rsidRPr="00585E87">
      <w:rPr>
        <w:rtl/>
      </w:rPr>
      <w:ptab w:relativeTo="margin" w:alignment="right" w:leader="none"/>
    </w:r>
    <w:r>
      <w:rPr>
        <w:rFonts w:hint="cs"/>
        <w:rtl/>
      </w:rPr>
      <w:t>26</w:t>
    </w:r>
    <w:r w:rsidR="00585E87">
      <w:rPr>
        <w:rFonts w:hint="cs"/>
        <w:rtl/>
      </w:rPr>
      <w:t>/</w:t>
    </w:r>
    <w:r>
      <w:rPr>
        <w:rFonts w:hint="cs"/>
        <w:rtl/>
      </w:rPr>
      <w:t>01</w:t>
    </w:r>
    <w:r w:rsidR="00585E87">
      <w:rPr>
        <w:rFonts w:hint="cs"/>
        <w:rtl/>
      </w:rPr>
      <w:t>/</w:t>
    </w:r>
    <w:r>
      <w:rPr>
        <w:rFonts w:hint="cs"/>
        <w:rtl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12256"/>
    <w:multiLevelType w:val="hybridMultilevel"/>
    <w:tmpl w:val="3730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87"/>
    <w:rsid w:val="00324586"/>
    <w:rsid w:val="00334BB8"/>
    <w:rsid w:val="004356EE"/>
    <w:rsid w:val="00585E87"/>
    <w:rsid w:val="00733F77"/>
    <w:rsid w:val="00737C8F"/>
    <w:rsid w:val="007478CB"/>
    <w:rsid w:val="008A1D67"/>
    <w:rsid w:val="008F0F52"/>
    <w:rsid w:val="00A31FE4"/>
    <w:rsid w:val="00AE0145"/>
    <w:rsid w:val="00AF51D2"/>
    <w:rsid w:val="00B425AA"/>
    <w:rsid w:val="00B525A9"/>
    <w:rsid w:val="00CD66B2"/>
    <w:rsid w:val="00CE6E3E"/>
    <w:rsid w:val="00D82E60"/>
    <w:rsid w:val="00E40086"/>
    <w:rsid w:val="00EB770B"/>
    <w:rsid w:val="00ED4D29"/>
    <w:rsid w:val="00EE15FA"/>
    <w:rsid w:val="00F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C1AF3"/>
  <w15:chartTrackingRefBased/>
  <w15:docId w15:val="{F3C67162-E18E-40B8-9700-B50F879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85E87"/>
  </w:style>
  <w:style w:type="paragraph" w:styleId="a5">
    <w:name w:val="footer"/>
    <w:basedOn w:val="a"/>
    <w:link w:val="a6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85E87"/>
  </w:style>
  <w:style w:type="paragraph" w:styleId="a7">
    <w:name w:val="List Paragraph"/>
    <w:basedOn w:val="a"/>
    <w:uiPriority w:val="34"/>
    <w:qFormat/>
    <w:rsid w:val="0058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491;&#1493;&#1495;%20&#1504;&#1497;&#1505;&#1493;&#1497;%20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491;&#1493;&#1495;%20&#1504;&#1497;&#1505;&#1493;&#1497;%20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491;&#1493;&#1495;%20&#1504;&#1497;&#1505;&#1493;&#1497;%20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קשר</a:t>
            </a:r>
            <a:r>
              <a:rPr lang="he-IL" baseline="0"/>
              <a:t> בין ריכוז המלטוז לבליעה</a:t>
            </a:r>
            <a:endParaRPr lang="he-I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גיליון1!$D$1</c:f>
              <c:strCache>
                <c:ptCount val="1"/>
                <c:pt idx="0">
                  <c:v>בליעה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0.40002515310586179"/>
                  <c:y val="-7.9115631379410908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e-IL"/>
                </a:p>
              </c:txPr>
            </c:trendlineLbl>
          </c:trendline>
          <c:xVal>
            <c:numRef>
              <c:f>גיליון1!$C$2:$C$8</c:f>
              <c:numCache>
                <c:formatCode>General</c:formatCode>
                <c:ptCount val="7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2</c:v>
                </c:pt>
                <c:pt idx="6">
                  <c:v>2.5</c:v>
                </c:pt>
              </c:numCache>
            </c:numRef>
          </c:xVal>
          <c:yVal>
            <c:numRef>
              <c:f>גיליון1!$D$2:$D$8</c:f>
              <c:numCache>
                <c:formatCode>General</c:formatCode>
                <c:ptCount val="7"/>
                <c:pt idx="0">
                  <c:v>0</c:v>
                </c:pt>
                <c:pt idx="1">
                  <c:v>3.9E-2</c:v>
                </c:pt>
                <c:pt idx="2">
                  <c:v>0.11</c:v>
                </c:pt>
                <c:pt idx="3">
                  <c:v>0.36</c:v>
                </c:pt>
                <c:pt idx="4">
                  <c:v>0.42</c:v>
                </c:pt>
                <c:pt idx="5">
                  <c:v>0.54500000000000004</c:v>
                </c:pt>
                <c:pt idx="6">
                  <c:v>0.68200000000000005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202-4398-97C7-8C87CFAF8F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501671616"/>
        <c:axId val="1501679936"/>
      </c:scatterChart>
      <c:valAx>
        <c:axId val="1501671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ריכוז מלטוז מ"ל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501679936"/>
        <c:crosses val="autoZero"/>
        <c:crossBetween val="midCat"/>
      </c:valAx>
      <c:valAx>
        <c:axId val="150167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בליעה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5016716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גרף</a:t>
            </a:r>
            <a:r>
              <a:rPr lang="he-IL" baseline="0"/>
              <a:t> מיכאליס מנטן</a:t>
            </a:r>
            <a:endParaRPr lang="he-I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גיליון1!$P$20</c:f>
              <c:strCache>
                <c:ptCount val="1"/>
                <c:pt idx="0">
                  <c:v>שינוי בריכוז מלטוז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גיליון1!$O$21:$O$26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</c:numCache>
            </c:numRef>
          </c:xVal>
          <c:yVal>
            <c:numRef>
              <c:f>גיליון1!$P$21:$P$26</c:f>
              <c:numCache>
                <c:formatCode>General</c:formatCode>
                <c:ptCount val="6"/>
                <c:pt idx="0">
                  <c:v>5.0000000000000001E-3</c:v>
                </c:pt>
                <c:pt idx="1">
                  <c:v>0.01</c:v>
                </c:pt>
                <c:pt idx="2">
                  <c:v>4.8000000000000001E-2</c:v>
                </c:pt>
                <c:pt idx="3">
                  <c:v>9.7000000000000003E-2</c:v>
                </c:pt>
                <c:pt idx="4">
                  <c:v>0.14199999999999999</c:v>
                </c:pt>
                <c:pt idx="5">
                  <c:v>0.11600000000000001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FD3-4841-8451-B815B3586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8541824"/>
        <c:axId val="1918536832"/>
      </c:scatterChart>
      <c:valAx>
        <c:axId val="191854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ריכוז עמילן [</a:t>
                </a:r>
                <a:r>
                  <a:rPr lang="en-US"/>
                  <a:t>S</a:t>
                </a:r>
                <a:r>
                  <a:rPr lang="he-IL"/>
                  <a:t>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918536832"/>
        <c:crosses val="autoZero"/>
        <c:crossBetween val="midCat"/>
      </c:valAx>
      <c:valAx>
        <c:axId val="191853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ריכוז המלטוז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9185418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גרף ליינוובר</a:t>
            </a:r>
            <a:r>
              <a:rPr lang="he-IL" baseline="0"/>
              <a:t> וברק</a:t>
            </a:r>
            <a:endParaRPr lang="he-I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backward val="6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0.15809367216568926"/>
                  <c:y val="-5.286924848679629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e-IL"/>
                </a:p>
              </c:txPr>
            </c:trendlineLbl>
          </c:trendline>
          <c:xVal>
            <c:numRef>
              <c:f>גיליון1!$Q$22:$Q$26</c:f>
              <c:numCache>
                <c:formatCode>General</c:formatCode>
                <c:ptCount val="5"/>
                <c:pt idx="0">
                  <c:v>10</c:v>
                </c:pt>
                <c:pt idx="1">
                  <c:v>5</c:v>
                </c:pt>
                <c:pt idx="2">
                  <c:v>3.3330000000000002</c:v>
                </c:pt>
                <c:pt idx="3">
                  <c:v>2.5</c:v>
                </c:pt>
                <c:pt idx="4">
                  <c:v>2</c:v>
                </c:pt>
              </c:numCache>
            </c:numRef>
          </c:xVal>
          <c:yVal>
            <c:numRef>
              <c:f>גיליון1!$R$22:$R$26</c:f>
              <c:numCache>
                <c:formatCode>General</c:formatCode>
                <c:ptCount val="5"/>
                <c:pt idx="0">
                  <c:v>110</c:v>
                </c:pt>
                <c:pt idx="1">
                  <c:v>83.332999999999998</c:v>
                </c:pt>
                <c:pt idx="2">
                  <c:v>39.063000000000002</c:v>
                </c:pt>
                <c:pt idx="3">
                  <c:v>26.175999999999998</c:v>
                </c:pt>
                <c:pt idx="4">
                  <c:v>32.468000000000004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4D2-4936-9BE8-F282BD53E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7546432"/>
        <c:axId val="1927546848"/>
      </c:scatterChart>
      <c:valAx>
        <c:axId val="1927546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1</a:t>
                </a:r>
                <a:r>
                  <a:rPr lang="he-IL"/>
                  <a:t>/</a:t>
                </a:r>
                <a:r>
                  <a:rPr lang="en-US"/>
                  <a:t>S</a:t>
                </a:r>
                <a:endParaRPr lang="he-I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927546848"/>
        <c:crosses val="autoZero"/>
        <c:crossBetween val="midCat"/>
      </c:valAx>
      <c:valAx>
        <c:axId val="192754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1/</a:t>
                </a:r>
                <a:r>
                  <a:rPr lang="en-US"/>
                  <a:t>V</a:t>
                </a:r>
                <a:endParaRPr lang="he-I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92754643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6049-34D1-4B52-8AA4-B9FAC7E9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Potok Law</dc:creator>
  <cp:keywords/>
  <dc:description/>
  <cp:lastModifiedBy>Administrator</cp:lastModifiedBy>
  <cp:revision>2</cp:revision>
  <dcterms:created xsi:type="dcterms:W3CDTF">2025-04-21T17:50:00Z</dcterms:created>
  <dcterms:modified xsi:type="dcterms:W3CDTF">2025-04-21T17:50:00Z</dcterms:modified>
</cp:coreProperties>
</file>